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15C00" w:rsidTr="0010095E">
        <w:trPr>
          <w:trHeight w:hRule="exact" w:val="1418"/>
        </w:trPr>
        <w:tc>
          <w:tcPr>
            <w:tcW w:w="6804" w:type="dxa"/>
            <w:shd w:val="clear" w:color="auto" w:fill="auto"/>
            <w:vAlign w:val="center"/>
          </w:tcPr>
          <w:p w:rsidR="00751A4A" w:rsidRPr="00715C00" w:rsidRDefault="000D4142" w:rsidP="0010095E">
            <w:pPr>
              <w:pStyle w:val="EPName"/>
            </w:pPr>
            <w:r w:rsidRPr="00715C00">
              <w:t>Ευρωπαϊκό Κοινοβούλιο</w:t>
            </w:r>
          </w:p>
          <w:p w:rsidR="00751A4A" w:rsidRPr="00715C00" w:rsidRDefault="005F1B17" w:rsidP="005F1B17">
            <w:pPr>
              <w:pStyle w:val="EPTerm"/>
              <w:rPr>
                <w:rStyle w:val="HideTWBExt"/>
                <w:noProof w:val="0"/>
                <w:vanish w:val="0"/>
                <w:color w:val="auto"/>
              </w:rPr>
            </w:pPr>
            <w:r w:rsidRPr="00715C00">
              <w:t>2024</w:t>
            </w:r>
            <w:r w:rsidR="00817416" w:rsidRPr="00715C00">
              <w:t>-202</w:t>
            </w:r>
            <w:r w:rsidRPr="00715C00">
              <w:t>9</w:t>
            </w:r>
          </w:p>
        </w:tc>
        <w:tc>
          <w:tcPr>
            <w:tcW w:w="2268" w:type="dxa"/>
            <w:shd w:val="clear" w:color="auto" w:fill="auto"/>
          </w:tcPr>
          <w:p w:rsidR="00751A4A" w:rsidRPr="00715C00" w:rsidRDefault="00187494" w:rsidP="0010095E">
            <w:pPr>
              <w:pStyle w:val="EPLogo"/>
            </w:pPr>
            <w:r w:rsidRPr="00715C0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15C00" w:rsidRDefault="00D058B8" w:rsidP="004C5D52">
      <w:pPr>
        <w:pStyle w:val="LineTop"/>
      </w:pPr>
    </w:p>
    <w:p w:rsidR="00680577" w:rsidRPr="00715C00" w:rsidRDefault="000D4142" w:rsidP="00680577">
      <w:pPr>
        <w:pStyle w:val="EPBodyTA1"/>
      </w:pPr>
      <w:r w:rsidRPr="00715C00">
        <w:t>ΚΕΙΜΕΝΑ ΠΟΥ ΕΓΚΡΙΘΗΚΑΝ</w:t>
      </w:r>
    </w:p>
    <w:p w:rsidR="00D058B8" w:rsidRPr="00715C00" w:rsidRDefault="00D058B8" w:rsidP="00D058B8">
      <w:pPr>
        <w:pStyle w:val="LineBottom"/>
      </w:pPr>
    </w:p>
    <w:p w:rsidR="000D4142" w:rsidRPr="00715C00" w:rsidRDefault="000D4142" w:rsidP="000D4142">
      <w:pPr>
        <w:pStyle w:val="ATHeading1"/>
      </w:pPr>
      <w:bookmarkStart w:id="0" w:name="TANumber"/>
      <w:r w:rsidRPr="00715C00">
        <w:t>P10_TA(2024)00</w:t>
      </w:r>
      <w:r w:rsidR="00285115" w:rsidRPr="00CB5A36">
        <w:t>41</w:t>
      </w:r>
      <w:bookmarkEnd w:id="0"/>
    </w:p>
    <w:p w:rsidR="000D4142" w:rsidRPr="00715C00" w:rsidRDefault="000D4142" w:rsidP="000D4142">
      <w:pPr>
        <w:pStyle w:val="ATHeading2"/>
      </w:pPr>
      <w:bookmarkStart w:id="1" w:name="title"/>
      <w:r w:rsidRPr="00715C00">
        <w:t>Γενετικώς τροποποιημένος αραβόσιτος MON 810</w:t>
      </w:r>
      <w:bookmarkEnd w:id="1"/>
    </w:p>
    <w:p w:rsidR="000D4142" w:rsidRPr="00715C00" w:rsidRDefault="000D4142" w:rsidP="000D4142">
      <w:pPr>
        <w:rPr>
          <w:i/>
          <w:vanish/>
        </w:rPr>
      </w:pPr>
      <w:r w:rsidRPr="00715C00">
        <w:rPr>
          <w:i/>
        </w:rPr>
        <w:fldChar w:fldCharType="begin"/>
      </w:r>
      <w:r w:rsidRPr="00715C00">
        <w:rPr>
          <w:i/>
        </w:rPr>
        <w:instrText xml:space="preserve"> TC"(</w:instrText>
      </w:r>
      <w:bookmarkStart w:id="2" w:name="DocNumber"/>
      <w:r w:rsidRPr="00715C00">
        <w:rPr>
          <w:i/>
        </w:rPr>
        <w:instrText>B10-0146/2024</w:instrText>
      </w:r>
      <w:bookmarkEnd w:id="2"/>
      <w:r w:rsidRPr="00715C00">
        <w:rPr>
          <w:i/>
        </w:rPr>
        <w:instrText xml:space="preserve">)"\l3 \n&gt; \* MERGEFORMAT </w:instrText>
      </w:r>
      <w:r w:rsidRPr="00715C00">
        <w:rPr>
          <w:i/>
        </w:rPr>
        <w:fldChar w:fldCharType="end"/>
      </w:r>
    </w:p>
    <w:p w:rsidR="000D4142" w:rsidRPr="00715C00" w:rsidRDefault="000D4142" w:rsidP="000D4142">
      <w:pPr>
        <w:rPr>
          <w:vanish/>
        </w:rPr>
      </w:pPr>
      <w:bookmarkStart w:id="3" w:name="PE"/>
      <w:r w:rsidRPr="00715C00">
        <w:rPr>
          <w:vanish/>
        </w:rPr>
        <w:t>PE763.280</w:t>
      </w:r>
      <w:bookmarkEnd w:id="3"/>
    </w:p>
    <w:p w:rsidR="000D4142" w:rsidRPr="00715C00" w:rsidRDefault="000D4142" w:rsidP="000D4142">
      <w:pPr>
        <w:pStyle w:val="ATHeading3"/>
      </w:pPr>
      <w:bookmarkStart w:id="4" w:name="Sujet"/>
      <w:r w:rsidRPr="00715C00">
        <w:t xml:space="preserve">Ψήφισμα του Ευρωπαϊκού Κοινοβουλίου </w:t>
      </w:r>
      <w:r w:rsidR="007D494E">
        <w:t xml:space="preserve">της </w:t>
      </w:r>
      <w:r w:rsidR="00B22CB0">
        <w:t>26ης</w:t>
      </w:r>
      <w:r w:rsidR="007D494E">
        <w:t xml:space="preserve"> Νοεμβρίου 2024 </w:t>
      </w:r>
      <w:r w:rsidRPr="00715C00">
        <w:t>σχετικά με την εκτελεστική απόφαση (ΕΕ) 2024/1828 της Επιτροπής για την ανανέωση της έγκρισης της διάθεσης στην αγορά ζωοτροφών που περιέχουν γενετικώς τροποποιημένο αραβόσιτο MON 810 ή αποτελούνται από αυτόν και τροφίμων και ζωοτροφών που παράγονται από γενετικώς τροποποιημένο αραβόσιτο MON 810, σύμφωνα με τον κανονισμό (ΕΚ) αριθ. 1829/2003 του Ευρωπαϊκού Κοινοβουλίου και του Συμβουλίου, και για την κατάργηση της εκτελεστικής απόφασης (ΕΕ) 2017/1207 της Επιτροπής</w:t>
      </w:r>
      <w:bookmarkEnd w:id="4"/>
      <w:r w:rsidRPr="00715C00">
        <w:t xml:space="preserve"> </w:t>
      </w:r>
      <w:bookmarkStart w:id="5" w:name="References"/>
      <w:r w:rsidRPr="00715C00">
        <w:t>(2024/2840(RSP))</w:t>
      </w:r>
      <w:bookmarkEnd w:id="5"/>
    </w:p>
    <w:p w:rsidR="00BC76D5" w:rsidRPr="00715C00" w:rsidRDefault="00BC76D5" w:rsidP="00BC76D5">
      <w:pPr>
        <w:pStyle w:val="EPComma"/>
      </w:pPr>
      <w:bookmarkStart w:id="6" w:name="TextBodyBegin"/>
      <w:bookmarkEnd w:id="6"/>
      <w:r w:rsidRPr="00715C00">
        <w:rPr>
          <w:i/>
          <w:iCs/>
        </w:rPr>
        <w:t>Το Ευρωπαϊκό Κοινοβούλιο</w:t>
      </w:r>
      <w:r w:rsidRPr="00715C00">
        <w:t>,</w:t>
      </w:r>
    </w:p>
    <w:p w:rsidR="00BC76D5" w:rsidRPr="00715C00" w:rsidRDefault="00BC76D5" w:rsidP="00BC76D5">
      <w:pPr>
        <w:pStyle w:val="NormalHanging12a"/>
      </w:pPr>
      <w:r w:rsidRPr="00715C00">
        <w:t>–</w:t>
      </w:r>
      <w:r w:rsidRPr="00715C00">
        <w:tab/>
        <w:t>έχοντας υπόψη την εκτελεστική απόφαση (ΕΕ) 2024/1828 της Επιτροπής για την ανανέωση της έγκρισης της διάθεσης στην αγορά ζωοτροφών που περιέχουν γενετικώς τροποποιημένο αραβόσιτο MON 810 ή αποτελούνται από αυτόν και τροφίμων και ζωοτροφών που παράγονται από γενετικώς τροποποιημένο αραβόσιτο MON 810, σύμφωνα με τον κανονισμό (ΕΚ) αριθ. 1829/2003 του Ευρωπαϊκού Κοινοβουλίου και του Συμβουλίου, και για την κατάργηση της εκτελεστικής απόφασης (ΕΕ) 2017/1207 της Επιτροπής</w:t>
      </w:r>
      <w:r w:rsidRPr="00715C00">
        <w:rPr>
          <w:rStyle w:val="FootnoteReference"/>
        </w:rPr>
        <w:footnoteReference w:id="1"/>
      </w:r>
      <w:r w:rsidRPr="00715C00">
        <w:t>,</w:t>
      </w:r>
    </w:p>
    <w:p w:rsidR="00BC76D5" w:rsidRPr="00715C00" w:rsidRDefault="00BC76D5" w:rsidP="00BC76D5">
      <w:pPr>
        <w:pStyle w:val="NormalHanging12a"/>
      </w:pPr>
      <w:r w:rsidRPr="00715C00">
        <w:t>–</w:t>
      </w:r>
      <w:r w:rsidRPr="00715C00">
        <w:tab/>
        <w:t>έχοντας υπόψη τον κανονισμό (ΕΚ) αριθ. 1829/2003 του Ευρωπαϊκού Κοινοβουλίου και του Συμβουλίου, της 22ας Σεπτεμβρίου 2003, για τα γενετικώς τροποποιημένα τρόφιμα και ζωοτροφές</w:t>
      </w:r>
      <w:r w:rsidRPr="00715C00">
        <w:rPr>
          <w:rStyle w:val="FootnoteReference"/>
        </w:rPr>
        <w:footnoteReference w:id="2"/>
      </w:r>
      <w:r w:rsidRPr="00715C00">
        <w:t>, και ειδικότερα το άρθρο 11 παράγραφος 3 και το άρθρο 23 παράγραφος 3,</w:t>
      </w:r>
    </w:p>
    <w:p w:rsidR="00BC76D5" w:rsidRPr="00715C00" w:rsidRDefault="00BC76D5" w:rsidP="00BC76D5">
      <w:pPr>
        <w:pStyle w:val="NormalHanging12a"/>
      </w:pPr>
      <w:r w:rsidRPr="00715C00">
        <w:t>–</w:t>
      </w:r>
      <w:r w:rsidRPr="00715C00">
        <w:tab/>
        <w:t>έχοντας υπόψη την ψη</w:t>
      </w:r>
      <w:r w:rsidRPr="00715C00">
        <w:rPr>
          <w:shd w:val="clear" w:color="auto" w:fill="FFFFFF"/>
        </w:rPr>
        <w:t xml:space="preserve">φοφορία στη μόνιμη επιτροπή φυτών, ζώων, τροφίμων και ζωοτροφών, που αναφέρεται στο άρθρο 35 του κανονισμού (ΕΚ) αριθ. 1829/2003, η οποία πραγματοποιήθηκε στις 26 Απριλίου 2024 και κατά την οποία δεν εκδόθηκε γνωμοδότηση, και την ψηφοφορία στην επιτροπή προσφυγών στις 29 Μαΐου 2024, που κατέληξε επίσης σε μη έκδοση </w:t>
      </w:r>
      <w:r w:rsidRPr="00715C00">
        <w:t>γνωμοδότησης,</w:t>
      </w:r>
    </w:p>
    <w:p w:rsidR="00BC76D5" w:rsidRPr="00715C00" w:rsidRDefault="00BC76D5" w:rsidP="00BC76D5">
      <w:pPr>
        <w:pStyle w:val="NormalHanging12a"/>
      </w:pPr>
      <w:r w:rsidRPr="00715C00">
        <w:t>–</w:t>
      </w:r>
      <w:r w:rsidRPr="00715C00">
        <w:tab/>
        <w:t xml:space="preserve">έχοντας υπόψη το άρθρο 11 του κανονισμού (ΕE) αριθ. 182/2011 του Ευρωπαϊκού Κοινοβουλίου και του Συμβουλίου, της 16ης Φεβρουαρίου 2011, για τη θέσπιση κανόνων και γενικών αρχών σχετικά με τους τρόπους ελέγχου από τα κράτη μέλη της </w:t>
      </w:r>
      <w:r w:rsidRPr="00715C00">
        <w:lastRenderedPageBreak/>
        <w:t>άσκησης των εκτελεστικών αρμοδιοτήτων από την Επιτροπή</w:t>
      </w:r>
      <w:r w:rsidRPr="00715C00">
        <w:rPr>
          <w:rStyle w:val="FootnoteReference"/>
        </w:rPr>
        <w:footnoteReference w:id="3"/>
      </w:r>
      <w:r w:rsidRPr="00715C00">
        <w:t>,</w:t>
      </w:r>
    </w:p>
    <w:p w:rsidR="00BC76D5" w:rsidRPr="00715C00" w:rsidRDefault="00BC76D5" w:rsidP="00BC76D5">
      <w:pPr>
        <w:pStyle w:val="NormalHanging12a"/>
      </w:pPr>
      <w:r w:rsidRPr="00715C00">
        <w:t>–</w:t>
      </w:r>
      <w:r w:rsidRPr="00715C00">
        <w:tab/>
        <w:t>έχοντας υπόψη τη γνωμοδότηση που εκδόθηκε από την Ευρωπαϊκή Αρχή για την Ασφάλεια των Τροφίμων (EFSA) στις 30 Νοεμβρίου 2023 και δημοσιεύθηκε στις 19 Ιανουαρίου 2024</w:t>
      </w:r>
      <w:r w:rsidRPr="00715C00">
        <w:rPr>
          <w:rStyle w:val="FootnoteReference"/>
        </w:rPr>
        <w:footnoteReference w:id="4"/>
      </w:r>
      <w:r w:rsidRPr="00715C00">
        <w:t>,</w:t>
      </w:r>
    </w:p>
    <w:p w:rsidR="00BC76D5" w:rsidRPr="00715C00" w:rsidRDefault="00BC76D5" w:rsidP="00BC76D5">
      <w:pPr>
        <w:pStyle w:val="NormalHanging12a"/>
        <w:rPr>
          <w:szCs w:val="24"/>
          <w:shd w:val="clear" w:color="auto" w:fill="FFFFFF"/>
        </w:rPr>
      </w:pPr>
      <w:r w:rsidRPr="00715C00">
        <w:t>–</w:t>
      </w:r>
      <w:r w:rsidRPr="00715C00">
        <w:tab/>
      </w:r>
      <w:r w:rsidRPr="00715C00">
        <w:rPr>
          <w:shd w:val="clear" w:color="auto" w:fill="FFFFFF"/>
        </w:rPr>
        <w:t>έχοντας υπόψη τα προηγούμενα ψηφίσματά του που διατύπωναν αντίρρηση στην έγκριση γενετικώς τροποποιημένων οργανισμών (ΓΤΟ)</w:t>
      </w:r>
      <w:r w:rsidRPr="00715C00">
        <w:rPr>
          <w:szCs w:val="24"/>
          <w:shd w:val="clear" w:color="auto" w:fill="FFFFFF"/>
          <w:vertAlign w:val="superscript"/>
        </w:rPr>
        <w:footnoteReference w:id="5"/>
      </w:r>
      <w:r w:rsidRPr="00715C00">
        <w:rPr>
          <w:shd w:val="clear" w:color="auto" w:fill="FFFFFF"/>
        </w:rPr>
        <w:t>,</w:t>
      </w:r>
    </w:p>
    <w:p w:rsidR="00BC76D5" w:rsidRPr="00715C00" w:rsidRDefault="00BC76D5" w:rsidP="00BC76D5">
      <w:pPr>
        <w:pStyle w:val="NormalHanging12a"/>
      </w:pPr>
      <w:r w:rsidRPr="00715C00">
        <w:t>–</w:t>
      </w:r>
      <w:r w:rsidRPr="00715C00">
        <w:tab/>
        <w:t>έχοντας υπόψη το άρθρο 115 παράγραφοι 2 και 3 του Κανονισμού του,</w:t>
      </w:r>
    </w:p>
    <w:p w:rsidR="00BC76D5" w:rsidRPr="00715C00" w:rsidRDefault="00BC76D5" w:rsidP="00BC76D5">
      <w:pPr>
        <w:pStyle w:val="NormalHanging12a"/>
      </w:pPr>
      <w:r w:rsidRPr="00715C00">
        <w:t>–</w:t>
      </w:r>
      <w:r w:rsidRPr="00715C00">
        <w:tab/>
        <w:t>έχοντας υπόψη την πρόταση ψηφίσματος της Επιτροπής Περιβάλλοντος, Δημόσιας Υγείας και Ασφάλειας των Τροφίμων,</w:t>
      </w:r>
    </w:p>
    <w:p w:rsidR="00BC76D5" w:rsidRPr="00715C00" w:rsidRDefault="00BC76D5" w:rsidP="00BC76D5">
      <w:pPr>
        <w:pStyle w:val="NormalHanging12a"/>
      </w:pPr>
      <w:r w:rsidRPr="00715C00">
        <w:t>Α.</w:t>
      </w:r>
      <w:r w:rsidRPr="00715C00">
        <w:tab/>
        <w:t xml:space="preserve">λαμβάνοντας υπόψη ότι στις 6 Οκτωβρίου 2022 η Bayer </w:t>
      </w:r>
      <w:proofErr w:type="spellStart"/>
      <w:r w:rsidRPr="00715C00">
        <w:t>Agriculture</w:t>
      </w:r>
      <w:proofErr w:type="spellEnd"/>
      <w:r w:rsidRPr="00715C00">
        <w:t xml:space="preserve"> BV, με έδρα το Βέλγιο, υπέβαλε στην Επιτροπή αίτηση για λογαριασμό της Bayer CropScience LP, με έδρα τις Ηνωμένες Πολιτείες, για την ανανέωση των εκτελεστικών αποφάσεων 2013/649/ΕΕ</w:t>
      </w:r>
      <w:r w:rsidRPr="00715C00">
        <w:rPr>
          <w:rStyle w:val="FootnoteReference"/>
        </w:rPr>
        <w:footnoteReference w:id="6"/>
      </w:r>
      <w:r w:rsidRPr="00715C00">
        <w:t xml:space="preserve"> και (ΕΕ) 2017/1207</w:t>
      </w:r>
      <w:r w:rsidRPr="00715C00">
        <w:rPr>
          <w:rStyle w:val="FootnoteReference"/>
        </w:rPr>
        <w:footnoteReference w:id="7"/>
      </w:r>
      <w:r w:rsidRPr="00715C00">
        <w:t xml:space="preserve"> της Επιτροπής· λαμβάνοντας υπόψη ότι σύμφωνα με το άρθρο 11 παράγραφος 4 του κανονισμού (ΕΚ) αριθ. 1829/2003, η περίοδος της έγκρισης της γενετικώς τροποποιημένης γύρης που παράγεται από γενετικώς τροποποιημένο αραβόσιτο MON 810 («ΓΤ αραβόσιτος») για χρήσεις σε τρόφιμα, η οποία καλύπτεται από την εκτελεστική απόφαση 2013/649/ΕΕ, παρατείνεται αυτομάτως έως ότου ληφθεί απόφαση σχετικά με την αίτηση ανανέωσης·</w:t>
      </w:r>
    </w:p>
    <w:p w:rsidR="00BC76D5" w:rsidRPr="00715C00" w:rsidRDefault="00BC76D5" w:rsidP="00BC76D5">
      <w:pPr>
        <w:pStyle w:val="NormalHanging12a"/>
      </w:pPr>
      <w:r w:rsidRPr="00715C00">
        <w:t>Β.</w:t>
      </w:r>
      <w:r w:rsidRPr="00715C00">
        <w:tab/>
        <w:t xml:space="preserve">λαμβάνοντας υπόψη ότι, στις 30 Νοεμβρίου 2023, η EFSA εξέδωσε θετική γνώμη, η οποία δημοσιεύθηκε στις 19 Ιανουαρίου 2024· </w:t>
      </w:r>
    </w:p>
    <w:p w:rsidR="00BC76D5" w:rsidRPr="00715C00" w:rsidRDefault="00BC76D5" w:rsidP="00BC76D5">
      <w:pPr>
        <w:pStyle w:val="NormalHanging12a"/>
      </w:pPr>
      <w:r w:rsidRPr="00715C00">
        <w:t>Γ.</w:t>
      </w:r>
      <w:r w:rsidRPr="00715C00">
        <w:tab/>
        <w:t xml:space="preserve">λαμβάνοντας υπόψη ότι ο ΓΤ αραβόσιτος έχει τροποποιηθεί για την παραγωγή εντομοκτόνων («τοξίνες </w:t>
      </w:r>
      <w:proofErr w:type="spellStart"/>
      <w:r w:rsidRPr="00715C00">
        <w:t>Bt</w:t>
      </w:r>
      <w:proofErr w:type="spellEnd"/>
      <w:r w:rsidRPr="00715C00">
        <w:t>»)·</w:t>
      </w:r>
    </w:p>
    <w:p w:rsidR="00BC76D5" w:rsidRPr="00715C00" w:rsidRDefault="00BC76D5" w:rsidP="00BC76D5">
      <w:pPr>
        <w:pStyle w:val="NormalHanging12a"/>
        <w:ind w:left="0" w:firstLine="0"/>
        <w:rPr>
          <w:b/>
          <w:i/>
        </w:rPr>
      </w:pPr>
      <w:r w:rsidRPr="00715C00">
        <w:rPr>
          <w:b/>
          <w:i/>
        </w:rPr>
        <w:t xml:space="preserve">Εκκρεμή ζητήματα σχετικά με τις τοξίνες </w:t>
      </w:r>
      <w:proofErr w:type="spellStart"/>
      <w:r w:rsidRPr="00715C00">
        <w:rPr>
          <w:b/>
          <w:i/>
        </w:rPr>
        <w:t>Bt</w:t>
      </w:r>
      <w:proofErr w:type="spellEnd"/>
    </w:p>
    <w:p w:rsidR="00BC76D5" w:rsidRPr="00715C00" w:rsidRDefault="00BC76D5" w:rsidP="00BC76D5">
      <w:pPr>
        <w:pStyle w:val="NormalHanging12a"/>
      </w:pPr>
      <w:r w:rsidRPr="00715C00">
        <w:t>Δ.</w:t>
      </w:r>
      <w:r w:rsidRPr="00715C00">
        <w:tab/>
        <w:t xml:space="preserve">λαμβάνοντας υπόψη ότι, σύμφωνα με διάφορες μελέτες, έχουν παρατηρηθεί παρενέργειες που ενδεχομένως επηρεάζουν το ανθρώπινο ανοσοποιητικό σύστημα </w:t>
      </w:r>
      <w:r w:rsidRPr="00715C00">
        <w:lastRenderedPageBreak/>
        <w:t xml:space="preserve">έπειτα από έκθεση σε τοξίνες </w:t>
      </w:r>
      <w:proofErr w:type="spellStart"/>
      <w:r w:rsidRPr="00715C00">
        <w:t>Bt</w:t>
      </w:r>
      <w:proofErr w:type="spellEnd"/>
      <w:r w:rsidRPr="00715C00">
        <w:t xml:space="preserve"> και ότι ορισμένες τοξίνες </w:t>
      </w:r>
      <w:proofErr w:type="spellStart"/>
      <w:r w:rsidRPr="00715C00">
        <w:t>Bt</w:t>
      </w:r>
      <w:proofErr w:type="spellEnd"/>
      <w:r w:rsidRPr="00715C00">
        <w:t xml:space="preserve"> ενδέχεται να έχουν ανοσοενισχυτικές ιδιότητες</w:t>
      </w:r>
      <w:r w:rsidRPr="00715C00">
        <w:rPr>
          <w:rStyle w:val="FootnoteReference"/>
        </w:rPr>
        <w:footnoteReference w:id="8"/>
      </w:r>
      <w:r w:rsidRPr="00715C00">
        <w:t>, δηλαδή να ενισχύουν την αλλεργιογόνο δράση άλλων πρωτεϊνών με τις οποίες έρχονται σε επαφή·</w:t>
      </w:r>
    </w:p>
    <w:p w:rsidR="00BC76D5" w:rsidRPr="00715C00" w:rsidRDefault="00BC76D5" w:rsidP="00BC76D5">
      <w:pPr>
        <w:pStyle w:val="NormalHanging12a"/>
        <w:ind w:left="0" w:firstLine="0"/>
        <w:rPr>
          <w:b/>
          <w:i/>
        </w:rPr>
      </w:pPr>
      <w:r w:rsidRPr="00715C00">
        <w:rPr>
          <w:b/>
          <w:i/>
        </w:rPr>
        <w:t xml:space="preserve">Καλλιέργειες </w:t>
      </w:r>
      <w:proofErr w:type="spellStart"/>
      <w:r w:rsidRPr="00715C00">
        <w:rPr>
          <w:b/>
          <w:i/>
        </w:rPr>
        <w:t>Bt</w:t>
      </w:r>
      <w:proofErr w:type="spellEnd"/>
      <w:r w:rsidRPr="00715C00">
        <w:rPr>
          <w:b/>
          <w:i/>
        </w:rPr>
        <w:t>: επιδράσεις σε μη στοχευόμενους οργανισμούς</w:t>
      </w:r>
    </w:p>
    <w:p w:rsidR="00BC76D5" w:rsidRPr="00715C00" w:rsidRDefault="00BC76D5" w:rsidP="00BC76D5">
      <w:pPr>
        <w:pStyle w:val="NormalHanging12a"/>
        <w:rPr>
          <w:b/>
          <w:i/>
        </w:rPr>
      </w:pPr>
      <w:r w:rsidRPr="00715C00">
        <w:t>Ε.</w:t>
      </w:r>
      <w:r w:rsidRPr="00715C00">
        <w:tab/>
        <w:t xml:space="preserve">λαμβάνοντας υπόψη ότι, σε αντίθεση με τη χρήση εντομοκτόνων, όπου η έκθεση πραγματοποιείται κατά τον χρόνο του ψεκασμού και για περιορισμένο χρονικό διάστημα στη συνέχεια, η χρήση γενετικά τροποποιημένων καλλιεργειών </w:t>
      </w:r>
      <w:proofErr w:type="spellStart"/>
      <w:r w:rsidRPr="00715C00">
        <w:t>Bt</w:t>
      </w:r>
      <w:proofErr w:type="spellEnd"/>
      <w:r w:rsidRPr="00715C00">
        <w:t xml:space="preserve"> οδηγεί σε συνεχή έκθεση των στοχευόμενων και μη στοχευόμενων οργανισμών στις τοξίνες </w:t>
      </w:r>
      <w:proofErr w:type="spellStart"/>
      <w:r w:rsidRPr="00715C00">
        <w:t>Bt</w:t>
      </w:r>
      <w:proofErr w:type="spellEnd"/>
      <w:r w:rsidRPr="00715C00">
        <w:t>·</w:t>
      </w:r>
    </w:p>
    <w:p w:rsidR="00BC76D5" w:rsidRPr="00715C00" w:rsidRDefault="00BC76D5" w:rsidP="00BC76D5">
      <w:pPr>
        <w:pStyle w:val="NormalHanging12a"/>
      </w:pPr>
      <w:r w:rsidRPr="00715C00">
        <w:t>ΣΤ.</w:t>
      </w:r>
      <w:r w:rsidRPr="00715C00">
        <w:tab/>
        <w:t xml:space="preserve">λαμβάνοντας υπόψη ότι η υπόθεση ότι οι τοξίνες </w:t>
      </w:r>
      <w:proofErr w:type="spellStart"/>
      <w:r w:rsidRPr="00715C00">
        <w:t>Bt</w:t>
      </w:r>
      <w:proofErr w:type="spellEnd"/>
      <w:r w:rsidRPr="00715C00">
        <w:t xml:space="preserve"> παρουσιάζουν έναν μοναδικό τρόπο δράσης ειδικά για συγκεκριμένο στόχο δεν μπορεί πλέον να θεωρείται ορθή και δεν μπορούν να αποκλειστούν οι επιπτώσεις σε μη στοχευόμενους οργανισμούς· λαμβάνοντας υπόψη ότι αναφέρεται ότι όλο και περισσότεροι μη </w:t>
      </w:r>
      <w:proofErr w:type="spellStart"/>
      <w:r w:rsidRPr="00715C00">
        <w:t>στοχευόμενοι</w:t>
      </w:r>
      <w:proofErr w:type="spellEnd"/>
      <w:r w:rsidRPr="00715C00">
        <w:t xml:space="preserve"> οργανισμοί επηρεάζονται με πολλούς τρόπους· λαμβάνοντας υπόψη ότι σε πρόσφατη επισκόπηση αναφέρονται 39 δημοσιεύσεις αξιολογημένες από ομοτίμους, οι οποίες αναφέρουν σημαντικές δυσμενείς επιπτώσεις των τοξινών </w:t>
      </w:r>
      <w:proofErr w:type="spellStart"/>
      <w:r w:rsidRPr="00715C00">
        <w:t>Bt</w:t>
      </w:r>
      <w:proofErr w:type="spellEnd"/>
      <w:r w:rsidRPr="00715C00">
        <w:t xml:space="preserve"> σε πολλά είδη «εκτός πεδίου»</w:t>
      </w:r>
      <w:r w:rsidRPr="00715C00">
        <w:rPr>
          <w:rStyle w:val="FootnoteReference"/>
        </w:rPr>
        <w:footnoteReference w:id="9"/>
      </w:r>
      <w:r w:rsidRPr="00715C00">
        <w:t>·</w:t>
      </w:r>
    </w:p>
    <w:p w:rsidR="00BC76D5" w:rsidRPr="00715C00" w:rsidRDefault="00BC76D5" w:rsidP="00BC76D5">
      <w:pPr>
        <w:pStyle w:val="NormalHanging12a"/>
        <w:ind w:left="0" w:firstLine="0"/>
        <w:rPr>
          <w:b/>
          <w:i/>
        </w:rPr>
      </w:pPr>
      <w:r w:rsidRPr="00715C00">
        <w:rPr>
          <w:b/>
          <w:i/>
        </w:rPr>
        <w:t>Παρατηρήσεις των κρατών μελών</w:t>
      </w:r>
    </w:p>
    <w:p w:rsidR="00BC76D5" w:rsidRPr="00715C00" w:rsidRDefault="00BC76D5" w:rsidP="00BC76D5">
      <w:pPr>
        <w:pStyle w:val="NormalHanging12a"/>
      </w:pPr>
      <w:r w:rsidRPr="00715C00">
        <w:t>Ζ.</w:t>
      </w:r>
      <w:r w:rsidRPr="00715C00">
        <w:tab/>
        <w:t>λαμβάνοντας υπόψη ότι τα κράτη μέλη υπέβαλαν στην EFSA πολλές επικριτικές παρατηρήσεις κατά τη διάρκεια της τρίμηνης περιόδου διαβούλευσης</w:t>
      </w:r>
      <w:r w:rsidRPr="00715C00">
        <w:rPr>
          <w:rStyle w:val="FootnoteReference"/>
        </w:rPr>
        <w:footnoteReference w:id="10"/>
      </w:r>
      <w:r w:rsidRPr="00715C00">
        <w:t xml:space="preserve">, μεταξύ των οποίων ότι τα δεδομένα σύνθεσης για τον ΓΤ αραβόσιτο θα πρέπει να ελέγχονται και να αναλύονται εκ νέου και ότι η ανάλυση θα πρέπει να πληροί τις παρούσες απαιτήσεις της EFSA, μεταξύ άλλων δοκιμές ισοδυναμίας, και ότι η ανασκόπηση της βιβλιογραφίας δεν περιλάμβανε μελέτες σχετικά με την τύχη της Cry1Ab στο περιβάλλον ή σχετικά με τις πιθανές επιπτώσεις των υπολειμμάτων καλλιεργειών </w:t>
      </w:r>
      <w:proofErr w:type="spellStart"/>
      <w:r w:rsidRPr="00715C00">
        <w:t>Bt</w:t>
      </w:r>
      <w:proofErr w:type="spellEnd"/>
      <w:r w:rsidRPr="00715C00">
        <w:t xml:space="preserve"> σε μη </w:t>
      </w:r>
      <w:proofErr w:type="spellStart"/>
      <w:r w:rsidRPr="00715C00">
        <w:t>στοχευόμενους</w:t>
      </w:r>
      <w:proofErr w:type="spellEnd"/>
      <w:r w:rsidRPr="00715C00">
        <w:t xml:space="preserve"> οργανισμούς, γεγονός που είναι προβληματικό διότι οι δημοσιεύσεις δείχνουν ότι η μεταφορά από ΓΤ ζωοτροφές αραβοσίτου στην κοπριά μπορεί να οδηγήσει σε έκθεση των οργανισμών του εδάφους στην Cry1Ab και ότι αυτό μπορεί να προκαλέσει αρνητικές επιπτώσεις στους οργανισμούς του εδάφους με συνέπειες για τη βιοποικιλότητα και τις υπηρεσίες οικοσυστήματος· </w:t>
      </w:r>
    </w:p>
    <w:p w:rsidR="00BC76D5" w:rsidRPr="00715C00" w:rsidRDefault="00BC76D5" w:rsidP="00BC76D5">
      <w:pPr>
        <w:pStyle w:val="NormalHanging12a"/>
      </w:pPr>
      <w:r w:rsidRPr="00715C00">
        <w:lastRenderedPageBreak/>
        <w:t>Η.</w:t>
      </w:r>
      <w:r w:rsidRPr="00715C00">
        <w:tab/>
        <w:t>λαμβάνοντας υπόψη ότι, σύμφωνα με τον κανονισμό (ΕΚ) αριθ. 1829/2003, τα ΓΤ τρόφιμα ή ζωοτροφές δεν πρέπει να έχουν δυσμενείς επιπτώσεις στην υγεία του ανθρώπου, στην υγεία των ζώων ή στο περιβάλλον, και ότι η Επιτροπή, κατά τη σύνταξη της απόφασής της, οφείλει να λαμβάνει υπόψη τυχόν συναφείς διατάξεις της ενωσιακής νομοθεσίας και άλλους κατά νόμο παράγοντες που αφορούν το υπό εξέταση ζήτημα· λαμβάνοντας υπόψη ότι στους εν λόγω παράγοντες θα πρέπει να περιλαμβάνονται οι υποχρεώσεις της Ένωσης στο πλαίσιο των Στόχων Βιώσιμης Ανάπτυξης των Ηνωμένων Εθνών (ΣΒΑ) και της Σύμβασης των Ηνωμένων Εθνών για τη Βιολογική Ποικιλότητα («ΣΒΠ»)·</w:t>
      </w:r>
    </w:p>
    <w:p w:rsidR="00BC76D5" w:rsidRPr="00715C00" w:rsidRDefault="00BC76D5" w:rsidP="00BC76D5">
      <w:pPr>
        <w:pStyle w:val="NormalHanging12a"/>
        <w:ind w:left="0" w:firstLine="0"/>
        <w:rPr>
          <w:b/>
          <w:i/>
        </w:rPr>
      </w:pPr>
      <w:r w:rsidRPr="00715C00">
        <w:rPr>
          <w:b/>
          <w:i/>
        </w:rPr>
        <w:t>Μείωση της εξάρτησης από εισαγόμενες ζωοτροφές</w:t>
      </w:r>
    </w:p>
    <w:p w:rsidR="00BC76D5" w:rsidRPr="00715C00" w:rsidRDefault="00BC76D5" w:rsidP="00BC76D5">
      <w:pPr>
        <w:pStyle w:val="NormalHanging12a"/>
      </w:pPr>
      <w:r w:rsidRPr="00715C00">
        <w:t>Θ.</w:t>
      </w:r>
      <w:r w:rsidRPr="00715C00">
        <w:tab/>
        <w:t xml:space="preserve">λαμβάνοντας υπόψη ότι ένα από τα διδάγματα από την κρίση </w:t>
      </w:r>
      <w:r w:rsidR="00EF0C2C">
        <w:t xml:space="preserve">της </w:t>
      </w:r>
      <w:r w:rsidRPr="00715C00">
        <w:t xml:space="preserve">COVID-19 και τον συνεχιζόμενο πόλεμο στην Ουκρανία είναι η ανάγκη να τερματίσει η Ένωση τις εξαρτήσεις από ορισμένα κρίσιμα υλικά· λαμβάνοντας υπόψη ότι στην επιστολή ανάθεσης καθηκόντων προς τον ορισθέντα Επίτροπο </w:t>
      </w:r>
      <w:proofErr w:type="spellStart"/>
      <w:r w:rsidRPr="00715C00">
        <w:t>Christophe</w:t>
      </w:r>
      <w:proofErr w:type="spellEnd"/>
      <w:r w:rsidRPr="00715C00">
        <w:t xml:space="preserve"> </w:t>
      </w:r>
      <w:proofErr w:type="spellStart"/>
      <w:r w:rsidRPr="00715C00">
        <w:t>Hansen</w:t>
      </w:r>
      <w:proofErr w:type="spellEnd"/>
      <w:r w:rsidRPr="00715C00">
        <w:t xml:space="preserve">, η Πρόεδρος της Επιτροπής </w:t>
      </w:r>
      <w:proofErr w:type="spellStart"/>
      <w:r w:rsidRPr="00715C00">
        <w:t>Ursula</w:t>
      </w:r>
      <w:proofErr w:type="spellEnd"/>
      <w:r w:rsidRPr="00715C00">
        <w:t xml:space="preserve"> </w:t>
      </w:r>
      <w:proofErr w:type="spellStart"/>
      <w:r w:rsidRPr="00715C00">
        <w:t>von</w:t>
      </w:r>
      <w:proofErr w:type="spellEnd"/>
      <w:r w:rsidRPr="00715C00">
        <w:t xml:space="preserve"> </w:t>
      </w:r>
      <w:proofErr w:type="spellStart"/>
      <w:r w:rsidRPr="00715C00">
        <w:t>der</w:t>
      </w:r>
      <w:proofErr w:type="spellEnd"/>
      <w:r w:rsidRPr="00715C00">
        <w:t xml:space="preserve"> </w:t>
      </w:r>
      <w:proofErr w:type="spellStart"/>
      <w:r w:rsidRPr="00715C00">
        <w:t>Leyen</w:t>
      </w:r>
      <w:proofErr w:type="spellEnd"/>
      <w:r w:rsidRPr="00715C00">
        <w:t xml:space="preserve"> του ζητεί να εξετάσει τρόπους μείωσης των εισαγωγών κρίσιμων βασικών προϊόντων</w:t>
      </w:r>
      <w:r w:rsidRPr="00715C00">
        <w:rPr>
          <w:rStyle w:val="FootnoteReference"/>
        </w:rPr>
        <w:footnoteReference w:id="11"/>
      </w:r>
      <w:r w:rsidRPr="00715C00">
        <w:t xml:space="preserve">· </w:t>
      </w:r>
    </w:p>
    <w:p w:rsidR="00BC76D5" w:rsidRPr="00715C00" w:rsidRDefault="00BC76D5" w:rsidP="00BC76D5">
      <w:pPr>
        <w:pStyle w:val="NormalHanging12a"/>
        <w:ind w:left="0" w:firstLine="0"/>
        <w:rPr>
          <w:b/>
          <w:i/>
        </w:rPr>
      </w:pPr>
      <w:r w:rsidRPr="00715C00">
        <w:rPr>
          <w:b/>
          <w:i/>
        </w:rPr>
        <w:t>Μη δημοκρατική διαδικασία λήψης αποφάσεων</w:t>
      </w:r>
    </w:p>
    <w:p w:rsidR="00BC76D5" w:rsidRPr="00715C00" w:rsidRDefault="00BC76D5" w:rsidP="00BC76D5">
      <w:pPr>
        <w:pStyle w:val="NormalHanging12a"/>
        <w:rPr>
          <w:b/>
          <w:i/>
        </w:rPr>
      </w:pPr>
      <w:r w:rsidRPr="00715C00">
        <w:t>Ι.</w:t>
      </w:r>
      <w:r w:rsidRPr="00715C00">
        <w:tab/>
      </w:r>
      <w:r w:rsidRPr="00715C00">
        <w:rPr>
          <w:shd w:val="clear" w:color="auto" w:fill="FFFFFF"/>
        </w:rPr>
        <w:t>λαμβάνοντας υπόψη ότι η ψηφοφορία της 26ης Απριλίου 2024 στη μόνιμη επιτροπή φυτών, ζώων, τροφίμων και ζωοτροφών, που αναφέρεται στο άρθρο 35 του κανονισμού (ΕΚ) αριθ. 1829/2003, δεν οδήγησε σε έκδοση γνωμοδότησης, κάτι που σημαίνει ότι η αδειοδότηση δεν υποστηρίχθηκε από μια ειδική πλειοψηφία των κρατών μελών· λαμβάνοντας υπόψη ότι ούτε η ψηφοφορία της 29ης Μαΐου 2024 στην επιτροπή προσφυγών οδήγησε σε γνωμοδότηση·</w:t>
      </w:r>
    </w:p>
    <w:p w:rsidR="00BC76D5" w:rsidRPr="00715C00" w:rsidRDefault="00BC76D5" w:rsidP="00BC76D5">
      <w:pPr>
        <w:pStyle w:val="NormalHanging12a"/>
      </w:pPr>
      <w:r w:rsidRPr="00715C00">
        <w:t>ΙΑ.</w:t>
      </w:r>
      <w:r w:rsidRPr="00715C00">
        <w:tab/>
        <w:t>λαμβάνοντας υπόψη ότι, κατά την όγδοη κοινοβουλευτική του περίοδο, το Κοινοβούλιο ενέκρινε συνολικά 36 ψηφίσματα που αντιτίθενται στη διάθεση στην αγορά ΓΤΟ για τρόφιμα και ζωοτροφές (33 ψηφίσματα) και στην καλλιέργεια ΓΤΟ στην Ένωση (τρία ψηφίσματα)· λαμβάνοντας υπόψη ότι, κατά την ένατη κοινοβουλευτική του περίοδο, το Κοινοβούλιο ενέκρινε 38 ενστάσεις για τη διάθεση ΓΤΟ στην αγορά·</w:t>
      </w:r>
    </w:p>
    <w:p w:rsidR="00BC76D5" w:rsidRPr="00715C00" w:rsidRDefault="00BC76D5" w:rsidP="00BC76D5">
      <w:pPr>
        <w:pStyle w:val="NormalHanging12a"/>
      </w:pPr>
      <w:r w:rsidRPr="00715C00">
        <w:t>ΙΒ.</w:t>
      </w:r>
      <w:r w:rsidRPr="00715C00">
        <w:tab/>
        <w:t>λαμβάνοντας υπόψη ότι η Επιτροπή εξακολουθεί να εγκρίνει ΓΤΟ, παρά το γεγονός ότι αναγνωρίζει και η ίδια την ύπαρξη δημοκρατικού ελλείμματος, την έλλειψη στήριξης από την πλευρά των κρατών μελών και τις ενστάσεις του Κοινοβουλίου·</w:t>
      </w:r>
    </w:p>
    <w:p w:rsidR="00BC76D5" w:rsidRPr="00715C00" w:rsidRDefault="00BC76D5" w:rsidP="00BC76D5">
      <w:pPr>
        <w:pStyle w:val="NormalHanging12a"/>
      </w:pPr>
      <w:r w:rsidRPr="00715C00">
        <w:t>ΙΓ.</w:t>
      </w:r>
      <w:r w:rsidRPr="00715C00">
        <w:tab/>
      </w:r>
      <w:r w:rsidR="00CB5A36">
        <w:t>λαμβάνοντας υπόψη ότι δεν απαιτείται καμία τροποποίηση της νομοθεσίας ώστε να είναι σε θέση η Επιτροπή να μην εγκρίνει ΓΤΟ όταν δεν υπάρχει ειδική πλειοψηφία κρατών μελών υπέρ της έγκρισης στην επιτροπή προσφυγών</w:t>
      </w:r>
      <w:bookmarkStart w:id="7" w:name="_GoBack"/>
      <w:bookmarkEnd w:id="7"/>
      <w:r w:rsidRPr="00715C00">
        <w:rPr>
          <w:rStyle w:val="FootnoteReference"/>
        </w:rPr>
        <w:footnoteReference w:id="12"/>
      </w:r>
      <w:r w:rsidRPr="00715C00">
        <w:t>·</w:t>
      </w:r>
    </w:p>
    <w:p w:rsidR="00BC76D5" w:rsidRPr="00715C00" w:rsidRDefault="00BC76D5" w:rsidP="00BC76D5">
      <w:pPr>
        <w:pStyle w:val="NormalHanging12a"/>
      </w:pPr>
      <w:r w:rsidRPr="00715C00">
        <w:t>ΙΔ.</w:t>
      </w:r>
      <w:r w:rsidRPr="00715C00">
        <w:tab/>
        <w:t>λαμβάνοντας υπόψη ότι, στις 2 Ιουλίου 2024, η Επιτροπή ανανέωσε την έγκριση για τη διάθεση στην αγορά του ΓΤ αραβοσίτου·</w:t>
      </w:r>
    </w:p>
    <w:p w:rsidR="00BC76D5" w:rsidRPr="00715C00" w:rsidRDefault="00285115" w:rsidP="00285115">
      <w:pPr>
        <w:pStyle w:val="NormalHanging12a"/>
        <w:ind w:hanging="570"/>
      </w:pPr>
      <w:r w:rsidRPr="00715C00">
        <w:t>1.</w:t>
      </w:r>
      <w:r w:rsidRPr="00715C00">
        <w:tab/>
      </w:r>
      <w:r w:rsidR="00BC76D5" w:rsidRPr="00715C00">
        <w:t>εκτιμά ότι η εκτελεστική απόφαση (EΕ) 2024/1828 υπερβαίνει τις εκτελεστικές αρμοδιότητες που προβλέπει ο κανονισμός (ΕΚ) αριθ. 1829/2003·</w:t>
      </w:r>
    </w:p>
    <w:p w:rsidR="00BC76D5" w:rsidRPr="00715C00" w:rsidRDefault="00285115" w:rsidP="00285115">
      <w:pPr>
        <w:pStyle w:val="NormalHanging12a"/>
        <w:ind w:hanging="570"/>
      </w:pPr>
      <w:r w:rsidRPr="00715C00">
        <w:lastRenderedPageBreak/>
        <w:t>2.</w:t>
      </w:r>
      <w:r w:rsidRPr="00715C00">
        <w:tab/>
      </w:r>
      <w:r w:rsidR="00BC76D5" w:rsidRPr="00715C00">
        <w:t>θεωρεί ότι η εκτελεστική απόφαση (EΕ) 2024/1828 δεν είναι σύμφωνη με το δίκαιο της Ένωσης, υπό την έννοια ότι δεν συνάδει με τον σκοπό του κανονισμού (ΕΚ) αριθ. 1829/2003, ο οποίος είναι, σύμφωνα με τις γενικές αρχές που καθορίζονται στον κανονισμό (ΕΚ) αριθ. 178/2002 του Ευρωπαϊκού Κοινοβουλίου και του Συμβουλίου</w:t>
      </w:r>
      <w:r w:rsidR="00BC76D5" w:rsidRPr="00715C00">
        <w:rPr>
          <w:rStyle w:val="FootnoteReference"/>
        </w:rPr>
        <w:footnoteReference w:id="13"/>
      </w:r>
      <w:r w:rsidR="00BC76D5" w:rsidRPr="00715C00">
        <w:t>, να προσφέρει τη βάση για την εξασφάλιση υψηλού επιπέδου προστασίας της ζωής και της υγείας του ανθρώπου, της υγείας και της καλής διαβίωσης των ζώων, του περιβάλλοντος και των συμφερόντων των καταναλωτών σε σχέση με τα ΓΤ τρόφιμα και ζωοτροφές, εξασφαλίζοντας παράλληλα την αποτελεσματική λειτουργία της εσωτερικής αγοράς·</w:t>
      </w:r>
    </w:p>
    <w:p w:rsidR="00BC76D5" w:rsidRPr="00715C00" w:rsidRDefault="00285115" w:rsidP="00285115">
      <w:pPr>
        <w:pStyle w:val="NormalHanging12a"/>
        <w:ind w:hanging="570"/>
      </w:pPr>
      <w:r w:rsidRPr="00715C00">
        <w:t>3.</w:t>
      </w:r>
      <w:r w:rsidRPr="00715C00">
        <w:tab/>
      </w:r>
      <w:r w:rsidR="00BC76D5" w:rsidRPr="00715C00">
        <w:t>ζητεί από την Επιτροπή να καταργήσει την εκτελεστική απόφαση (ΕΕ) 2024/1828·</w:t>
      </w:r>
    </w:p>
    <w:p w:rsidR="00BC76D5" w:rsidRPr="00715C00" w:rsidRDefault="00285115" w:rsidP="00285115">
      <w:pPr>
        <w:pStyle w:val="NormalHanging12a"/>
        <w:ind w:hanging="570"/>
      </w:pPr>
      <w:r w:rsidRPr="00715C00">
        <w:t>4.</w:t>
      </w:r>
      <w:r w:rsidRPr="00715C00">
        <w:tab/>
      </w:r>
      <w:r w:rsidR="00BC76D5" w:rsidRPr="00715C00">
        <w:t>εκφράζει την ικανοποίησή του για το γεγονός ότι η Επιτροπή αναγνώρισε τελικά, σε επιστολή της με ημερομηνία 11 Σεπτεμβρίου 2020 προς τους βουλευτές, την ανάγκη να λαμβάνεται υπόψη η βιωσιμότητα κατά τη λήψη αποφάσεων για την έγκριση ΓΤΟ</w:t>
      </w:r>
      <w:r w:rsidR="00BC76D5" w:rsidRPr="00715C00">
        <w:rPr>
          <w:rStyle w:val="FootnoteReference"/>
        </w:rPr>
        <w:footnoteReference w:id="14"/>
      </w:r>
      <w:r w:rsidR="00BC76D5" w:rsidRPr="00715C00">
        <w:t>· εκφράζει, ωστόσο, τη βαθιά απογοήτευσή του καθώς έκτοτε η Επιτροπή συνεχίζει να εγκρίνει ΓΤΟ για εισαγωγή στην Ένωση, παρά τις επανειλημμένες αντιρρήσεις του Κοινοβουλίου και το γεγονός ότι η πλειοψηφία των κρατών μελών ψηφίζει απορριπτικά·</w:t>
      </w:r>
    </w:p>
    <w:p w:rsidR="00BC76D5" w:rsidRPr="00715C00" w:rsidRDefault="00285115" w:rsidP="00285115">
      <w:pPr>
        <w:pStyle w:val="NormalHanging12a"/>
        <w:ind w:hanging="570"/>
      </w:pPr>
      <w:r w:rsidRPr="00715C00">
        <w:t>5.</w:t>
      </w:r>
      <w:r w:rsidRPr="00715C00">
        <w:tab/>
      </w:r>
      <w:r w:rsidR="00BC76D5" w:rsidRPr="00715C00">
        <w:t>για άλλη μια φορά, καλεί επιτακτικά την Επιτροπή να λάβει υπόψη τις υποχρεώσεις της Ένωσης στο πλαίσιο διεθνών συμφωνιών, όπως η συμφωνία του Παρισιού για το κλίμα, η ΣΒΠ και οι ΣΒΑ των Ηνωμένων Εθνών· επαναλαμβάνει την έκκλησή του να συνοδεύονται τα σχέδια εκτελεστικών πράξεων από αιτιολογική έκθεση στην οποία να εξηγείται πώς τηρούν την αρχή της «μη πρόκλησης σημαντικής βλάβης»</w:t>
      </w:r>
      <w:r w:rsidR="00BC76D5" w:rsidRPr="00715C00">
        <w:rPr>
          <w:rStyle w:val="FootnoteReference"/>
        </w:rPr>
        <w:footnoteReference w:id="15"/>
      </w:r>
      <w:r w:rsidR="00BC76D5" w:rsidRPr="00715C00">
        <w:t xml:space="preserve">· </w:t>
      </w:r>
    </w:p>
    <w:p w:rsidR="00715C00" w:rsidRPr="00715C00" w:rsidRDefault="00285115" w:rsidP="00285115">
      <w:pPr>
        <w:pStyle w:val="NormalHanging12a"/>
        <w:ind w:hanging="570"/>
      </w:pPr>
      <w:r w:rsidRPr="00715C00">
        <w:t>6.</w:t>
      </w:r>
      <w:r w:rsidRPr="00715C00">
        <w:tab/>
      </w:r>
      <w:r w:rsidR="00BC76D5" w:rsidRPr="00715C00">
        <w:t>αναθέτει στην Πρόεδρό του να διαβιβάσει το παρόν ψήφισμα στο Συμβούλιο και στην Επιτροπή, καθώς και στις κυβερνήσεις και στα κοινοβούλια των κρατών μελών.</w:t>
      </w:r>
    </w:p>
    <w:p w:rsidR="00E365E1" w:rsidRPr="00715C00" w:rsidRDefault="00E365E1" w:rsidP="000D4142"/>
    <w:sectPr w:rsidR="00E365E1" w:rsidRPr="00715C00" w:rsidSect="00715C0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4142" w:rsidRPr="00715C00" w:rsidRDefault="000D4142">
      <w:r w:rsidRPr="00715C00">
        <w:separator/>
      </w:r>
    </w:p>
  </w:endnote>
  <w:endnote w:type="continuationSeparator" w:id="0">
    <w:p w:rsidR="000D4142" w:rsidRPr="00715C00" w:rsidRDefault="000D4142">
      <w:r w:rsidRPr="00715C0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4142" w:rsidRPr="00715C00" w:rsidRDefault="000D4142">
      <w:r w:rsidRPr="00715C00">
        <w:separator/>
      </w:r>
    </w:p>
  </w:footnote>
  <w:footnote w:type="continuationSeparator" w:id="0">
    <w:p w:rsidR="000D4142" w:rsidRPr="00715C00" w:rsidRDefault="000D4142">
      <w:r w:rsidRPr="00715C00">
        <w:continuationSeparator/>
      </w:r>
    </w:p>
  </w:footnote>
  <w:footnote w:id="1">
    <w:p w:rsidR="00BC76D5" w:rsidRPr="00285115" w:rsidRDefault="00BC76D5" w:rsidP="00715C00">
      <w:pPr>
        <w:pStyle w:val="FootnoteText"/>
        <w:ind w:left="567" w:hanging="567"/>
        <w:rPr>
          <w:sz w:val="24"/>
          <w:lang w:val="fi-FI"/>
        </w:rPr>
      </w:pPr>
      <w:r w:rsidRPr="00715C00">
        <w:rPr>
          <w:rStyle w:val="FootnoteReference"/>
          <w:sz w:val="24"/>
          <w:lang w:val="el-GR"/>
        </w:rPr>
        <w:footnoteRef/>
      </w:r>
      <w:r w:rsidR="00715C00" w:rsidRPr="00285115">
        <w:rPr>
          <w:sz w:val="24"/>
          <w:lang w:val="fi-FI"/>
        </w:rPr>
        <w:t xml:space="preserve"> </w:t>
      </w:r>
      <w:r w:rsidR="00715C00" w:rsidRPr="00285115">
        <w:rPr>
          <w:sz w:val="24"/>
          <w:lang w:val="fi-FI"/>
        </w:rPr>
        <w:tab/>
      </w:r>
      <w:r w:rsidRPr="00715C00">
        <w:rPr>
          <w:sz w:val="24"/>
          <w:lang w:val="el-GR"/>
        </w:rPr>
        <w:t>ΕΕ</w:t>
      </w:r>
      <w:r w:rsidRPr="00285115">
        <w:rPr>
          <w:sz w:val="24"/>
          <w:lang w:val="fi-FI"/>
        </w:rPr>
        <w:t xml:space="preserve"> L, 2024/1828, 4.7.2024, ELI: </w:t>
      </w:r>
      <w:r w:rsidR="00CB5A36">
        <w:fldChar w:fldCharType="begin"/>
      </w:r>
      <w:r w:rsidR="00CB5A36" w:rsidRPr="00CB5A36">
        <w:rPr>
          <w:lang w:val="fi-FI"/>
        </w:rPr>
        <w:instrText xml:space="preserve"> HYPERLINK </w:instrText>
      </w:r>
      <w:r w:rsidR="00CB5A36" w:rsidRPr="00CB5A36">
        <w:rPr>
          <w:lang w:val="fi-FI"/>
        </w:rPr>
        <w:instrText>"http://data.europa.eu/eli/dec_impl/2024/1828/oj" \o "</w:instrText>
      </w:r>
      <w:r w:rsidR="00CB5A36">
        <w:instrText>Επιτρέπει</w:instrText>
      </w:r>
      <w:r w:rsidR="00CB5A36" w:rsidRPr="00CB5A36">
        <w:rPr>
          <w:lang w:val="fi-FI"/>
        </w:rPr>
        <w:instrText xml:space="preserve"> </w:instrText>
      </w:r>
      <w:r w:rsidR="00CB5A36">
        <w:instrText>πρόσβαση</w:instrText>
      </w:r>
      <w:r w:rsidR="00CB5A36" w:rsidRPr="00CB5A36">
        <w:rPr>
          <w:lang w:val="fi-FI"/>
        </w:rPr>
        <w:instrText xml:space="preserve"> </w:instrText>
      </w:r>
      <w:r w:rsidR="00CB5A36">
        <w:instrText>στο</w:instrText>
      </w:r>
      <w:r w:rsidR="00CB5A36" w:rsidRPr="00CB5A36">
        <w:rPr>
          <w:lang w:val="fi-FI"/>
        </w:rPr>
        <w:instrText xml:space="preserve"> </w:instrText>
      </w:r>
      <w:r w:rsidR="00CB5A36">
        <w:instrText>έγγραφο</w:instrText>
      </w:r>
      <w:r w:rsidR="00CB5A36" w:rsidRPr="00CB5A36">
        <w:rPr>
          <w:lang w:val="fi-FI"/>
        </w:rPr>
        <w:instrText xml:space="preserve"> </w:instrText>
      </w:r>
      <w:r w:rsidR="00CB5A36">
        <w:instrText>μέσω</w:instrText>
      </w:r>
      <w:r w:rsidR="00CB5A36" w:rsidRPr="00CB5A36">
        <w:rPr>
          <w:lang w:val="fi-FI"/>
        </w:rPr>
        <w:instrText xml:space="preserve"> </w:instrText>
      </w:r>
      <w:r w:rsidR="00CB5A36">
        <w:instrText>του</w:instrText>
      </w:r>
      <w:r w:rsidR="00CB5A36" w:rsidRPr="00CB5A36">
        <w:rPr>
          <w:lang w:val="fi-FI"/>
        </w:rPr>
        <w:instrText xml:space="preserve"> ELI URI." </w:instrText>
      </w:r>
      <w:r w:rsidR="00CB5A36">
        <w:fldChar w:fldCharType="separate"/>
      </w:r>
      <w:r w:rsidRPr="00285115">
        <w:rPr>
          <w:rStyle w:val="Hyperlink"/>
          <w:color w:val="337AB7"/>
          <w:sz w:val="24"/>
          <w:shd w:val="clear" w:color="auto" w:fill="FFFFFF"/>
          <w:lang w:val="fi-FI"/>
        </w:rPr>
        <w:t>http://data.europa.eu/eli/dec_impl/2024/1828/oj</w:t>
      </w:r>
      <w:r w:rsidR="00CB5A36">
        <w:rPr>
          <w:rStyle w:val="Hyperlink"/>
          <w:color w:val="337AB7"/>
          <w:sz w:val="24"/>
          <w:shd w:val="clear" w:color="auto" w:fill="FFFFFF"/>
          <w:lang w:val="fi-FI"/>
        </w:rPr>
        <w:fldChar w:fldCharType="end"/>
      </w:r>
      <w:r w:rsidRPr="00285115">
        <w:rPr>
          <w:sz w:val="24"/>
          <w:lang w:val="fi-FI"/>
        </w:rPr>
        <w:t>.</w:t>
      </w:r>
    </w:p>
  </w:footnote>
  <w:footnote w:id="2">
    <w:p w:rsidR="00BC76D5" w:rsidRPr="00715C00" w:rsidRDefault="00BC76D5" w:rsidP="00715C00">
      <w:pPr>
        <w:pStyle w:val="FootnoteText"/>
        <w:ind w:left="567" w:hanging="567"/>
        <w:rPr>
          <w:sz w:val="24"/>
          <w:lang w:val="el-GR"/>
        </w:rPr>
      </w:pPr>
      <w:r w:rsidRPr="00715C00">
        <w:rPr>
          <w:rStyle w:val="FootnoteReference"/>
          <w:sz w:val="24"/>
          <w:lang w:val="el-GR"/>
        </w:rPr>
        <w:footnoteRef/>
      </w:r>
      <w:r w:rsidR="00715C00" w:rsidRPr="00715C00">
        <w:rPr>
          <w:sz w:val="24"/>
          <w:lang w:val="el-GR"/>
        </w:rPr>
        <w:t xml:space="preserve"> </w:t>
      </w:r>
      <w:r w:rsidR="00715C00" w:rsidRPr="00715C00">
        <w:rPr>
          <w:sz w:val="24"/>
          <w:lang w:val="el-GR"/>
        </w:rPr>
        <w:tab/>
      </w:r>
      <w:r w:rsidRPr="00715C00">
        <w:rPr>
          <w:sz w:val="24"/>
          <w:lang w:val="el-GR"/>
        </w:rPr>
        <w:t xml:space="preserve">ΕΕ L 268 της 18.10.2003, σ. 1, ELI: </w:t>
      </w:r>
      <w:r w:rsidR="00CB5A36">
        <w:fldChar w:fldCharType="begin"/>
      </w:r>
      <w:r w:rsidR="00CB5A36" w:rsidRPr="00CB5A36">
        <w:rPr>
          <w:lang w:val="el-GR"/>
        </w:rPr>
        <w:instrText xml:space="preserve"> </w:instrText>
      </w:r>
      <w:r w:rsidR="00CB5A36">
        <w:instrText>HYPERLINK</w:instrText>
      </w:r>
      <w:r w:rsidR="00CB5A36" w:rsidRPr="00CB5A36">
        <w:rPr>
          <w:lang w:val="el-GR"/>
        </w:rPr>
        <w:instrText xml:space="preserve"> "</w:instrText>
      </w:r>
      <w:r w:rsidR="00CB5A36">
        <w:instrText>http</w:instrText>
      </w:r>
      <w:r w:rsidR="00CB5A36" w:rsidRPr="00CB5A36">
        <w:rPr>
          <w:lang w:val="el-GR"/>
        </w:rPr>
        <w:instrText>://</w:instrText>
      </w:r>
      <w:r w:rsidR="00CB5A36">
        <w:instrText>data</w:instrText>
      </w:r>
      <w:r w:rsidR="00CB5A36" w:rsidRPr="00CB5A36">
        <w:rPr>
          <w:lang w:val="el-GR"/>
        </w:rPr>
        <w:instrText>.</w:instrText>
      </w:r>
      <w:r w:rsidR="00CB5A36">
        <w:instrText>europa</w:instrText>
      </w:r>
      <w:r w:rsidR="00CB5A36" w:rsidRPr="00CB5A36">
        <w:rPr>
          <w:lang w:val="el-GR"/>
        </w:rPr>
        <w:instrText>.</w:instrText>
      </w:r>
      <w:r w:rsidR="00CB5A36">
        <w:instrText>eu</w:instrText>
      </w:r>
      <w:r w:rsidR="00CB5A36" w:rsidRPr="00CB5A36">
        <w:rPr>
          <w:lang w:val="el-GR"/>
        </w:rPr>
        <w:instrText>/</w:instrText>
      </w:r>
      <w:r w:rsidR="00CB5A36">
        <w:instrText>eli</w:instrText>
      </w:r>
      <w:r w:rsidR="00CB5A36" w:rsidRPr="00CB5A36">
        <w:rPr>
          <w:lang w:val="el-GR"/>
        </w:rPr>
        <w:instrText>/</w:instrText>
      </w:r>
      <w:r w:rsidR="00CB5A36">
        <w:instrText>reg</w:instrText>
      </w:r>
      <w:r w:rsidR="00CB5A36" w:rsidRPr="00CB5A36">
        <w:rPr>
          <w:lang w:val="el-GR"/>
        </w:rPr>
        <w:instrText>/2003/1829/</w:instrText>
      </w:r>
      <w:r w:rsidR="00CB5A36">
        <w:instrText>oj</w:instrText>
      </w:r>
      <w:r w:rsidR="00CB5A36" w:rsidRPr="00CB5A36">
        <w:rPr>
          <w:lang w:val="el-GR"/>
        </w:rPr>
        <w:instrText>" \</w:instrText>
      </w:r>
      <w:r w:rsidR="00CB5A36">
        <w:instrText>o</w:instrText>
      </w:r>
      <w:r w:rsidR="00CB5A36" w:rsidRPr="00CB5A36">
        <w:rPr>
          <w:lang w:val="el-GR"/>
        </w:rPr>
        <w:instrText xml:space="preserve"> "Ε</w:instrText>
      </w:r>
      <w:r w:rsidR="00CB5A36" w:rsidRPr="00CB5A36">
        <w:rPr>
          <w:lang w:val="el-GR"/>
        </w:rPr>
        <w:instrText xml:space="preserve">πιτρέπει πρόσβαση στο έγγραφο μέσω του </w:instrText>
      </w:r>
      <w:r w:rsidR="00CB5A36">
        <w:instrText>ELI</w:instrText>
      </w:r>
      <w:r w:rsidR="00CB5A36" w:rsidRPr="00CB5A36">
        <w:rPr>
          <w:lang w:val="el-GR"/>
        </w:rPr>
        <w:instrText xml:space="preserve"> </w:instrText>
      </w:r>
      <w:r w:rsidR="00CB5A36">
        <w:instrText>URI</w:instrText>
      </w:r>
      <w:r w:rsidR="00CB5A36" w:rsidRPr="00CB5A36">
        <w:rPr>
          <w:lang w:val="el-GR"/>
        </w:rPr>
        <w:instrText xml:space="preserve">." </w:instrText>
      </w:r>
      <w:r w:rsidR="00CB5A36">
        <w:fldChar w:fldCharType="separate"/>
      </w:r>
      <w:r w:rsidRPr="00715C00">
        <w:rPr>
          <w:rStyle w:val="Hyperlink"/>
          <w:color w:val="337AB7"/>
          <w:sz w:val="24"/>
          <w:shd w:val="clear" w:color="auto" w:fill="FFFFFF"/>
          <w:lang w:val="el-GR"/>
        </w:rPr>
        <w:t>http://data.europa.eu/eli/reg/2003/1829/oj</w:t>
      </w:r>
      <w:r w:rsidR="00CB5A36">
        <w:rPr>
          <w:rStyle w:val="Hyperlink"/>
          <w:color w:val="337AB7"/>
          <w:sz w:val="24"/>
          <w:shd w:val="clear" w:color="auto" w:fill="FFFFFF"/>
          <w:lang w:val="el-GR"/>
        </w:rPr>
        <w:fldChar w:fldCharType="end"/>
      </w:r>
      <w:r w:rsidRPr="00715C00">
        <w:rPr>
          <w:sz w:val="24"/>
          <w:lang w:val="el-GR"/>
        </w:rPr>
        <w:t>.</w:t>
      </w:r>
    </w:p>
  </w:footnote>
  <w:footnote w:id="3">
    <w:p w:rsidR="00BC76D5" w:rsidRPr="00715C00" w:rsidRDefault="00BC76D5" w:rsidP="00715C00">
      <w:pPr>
        <w:pStyle w:val="FootnoteText"/>
        <w:ind w:left="567" w:hanging="567"/>
        <w:rPr>
          <w:sz w:val="24"/>
          <w:lang w:val="el-GR"/>
        </w:rPr>
      </w:pPr>
      <w:r w:rsidRPr="00715C00">
        <w:rPr>
          <w:rStyle w:val="FootnoteReference"/>
          <w:sz w:val="24"/>
          <w:lang w:val="el-GR"/>
        </w:rPr>
        <w:footnoteRef/>
      </w:r>
      <w:r w:rsidR="00715C00" w:rsidRPr="00715C00">
        <w:rPr>
          <w:sz w:val="24"/>
          <w:lang w:val="el-GR"/>
        </w:rPr>
        <w:t xml:space="preserve"> </w:t>
      </w:r>
      <w:r w:rsidR="00715C00" w:rsidRPr="00715C00">
        <w:rPr>
          <w:sz w:val="24"/>
          <w:lang w:val="el-GR"/>
        </w:rPr>
        <w:tab/>
      </w:r>
      <w:r w:rsidRPr="00715C00">
        <w:rPr>
          <w:sz w:val="24"/>
          <w:lang w:val="el-GR"/>
        </w:rPr>
        <w:t xml:space="preserve">ΕΕ L 55 της 28.2.2011, σ. 13, ELI: </w:t>
      </w:r>
      <w:r w:rsidR="00CB5A36">
        <w:fldChar w:fldCharType="begin"/>
      </w:r>
      <w:r w:rsidR="00CB5A36" w:rsidRPr="00CB5A36">
        <w:rPr>
          <w:lang w:val="el-GR"/>
        </w:rPr>
        <w:instrText xml:space="preserve"> </w:instrText>
      </w:r>
      <w:r w:rsidR="00CB5A36">
        <w:instrText>HYPERLINK</w:instrText>
      </w:r>
      <w:r w:rsidR="00CB5A36" w:rsidRPr="00CB5A36">
        <w:rPr>
          <w:lang w:val="el-GR"/>
        </w:rPr>
        <w:instrText xml:space="preserve"> "</w:instrText>
      </w:r>
      <w:r w:rsidR="00CB5A36">
        <w:instrText>http</w:instrText>
      </w:r>
      <w:r w:rsidR="00CB5A36" w:rsidRPr="00CB5A36">
        <w:rPr>
          <w:lang w:val="el-GR"/>
        </w:rPr>
        <w:instrText>://</w:instrText>
      </w:r>
      <w:r w:rsidR="00CB5A36">
        <w:instrText>data</w:instrText>
      </w:r>
      <w:r w:rsidR="00CB5A36" w:rsidRPr="00CB5A36">
        <w:rPr>
          <w:lang w:val="el-GR"/>
        </w:rPr>
        <w:instrText>.</w:instrText>
      </w:r>
      <w:r w:rsidR="00CB5A36">
        <w:instrText>europa</w:instrText>
      </w:r>
      <w:r w:rsidR="00CB5A36" w:rsidRPr="00CB5A36">
        <w:rPr>
          <w:lang w:val="el-GR"/>
        </w:rPr>
        <w:instrText>.</w:instrText>
      </w:r>
      <w:r w:rsidR="00CB5A36">
        <w:instrText>eu</w:instrText>
      </w:r>
      <w:r w:rsidR="00CB5A36" w:rsidRPr="00CB5A36">
        <w:rPr>
          <w:lang w:val="el-GR"/>
        </w:rPr>
        <w:instrText>/</w:instrText>
      </w:r>
      <w:r w:rsidR="00CB5A36">
        <w:instrText>eli</w:instrText>
      </w:r>
      <w:r w:rsidR="00CB5A36" w:rsidRPr="00CB5A36">
        <w:rPr>
          <w:lang w:val="el-GR"/>
        </w:rPr>
        <w:instrText>/</w:instrText>
      </w:r>
      <w:r w:rsidR="00CB5A36">
        <w:instrText>reg</w:instrText>
      </w:r>
      <w:r w:rsidR="00CB5A36" w:rsidRPr="00CB5A36">
        <w:rPr>
          <w:lang w:val="el-GR"/>
        </w:rPr>
        <w:instrText>/2011/182/</w:instrText>
      </w:r>
      <w:r w:rsidR="00CB5A36">
        <w:instrText>oj</w:instrText>
      </w:r>
      <w:r w:rsidR="00CB5A36" w:rsidRPr="00CB5A36">
        <w:rPr>
          <w:lang w:val="el-GR"/>
        </w:rPr>
        <w:instrText>" \</w:instrText>
      </w:r>
      <w:r w:rsidR="00CB5A36">
        <w:instrText>o</w:instrText>
      </w:r>
      <w:r w:rsidR="00CB5A36" w:rsidRPr="00CB5A36">
        <w:rPr>
          <w:lang w:val="el-GR"/>
        </w:rPr>
        <w:instrText xml:space="preserve"> "Επιτρέπει πρόσβαση στο έγγραφο μέσω του </w:instrText>
      </w:r>
      <w:r w:rsidR="00CB5A36">
        <w:instrText>ELI</w:instrText>
      </w:r>
      <w:r w:rsidR="00CB5A36" w:rsidRPr="00CB5A36">
        <w:rPr>
          <w:lang w:val="el-GR"/>
        </w:rPr>
        <w:instrText xml:space="preserve"> </w:instrText>
      </w:r>
      <w:r w:rsidR="00CB5A36">
        <w:instrText>URI</w:instrText>
      </w:r>
      <w:r w:rsidR="00CB5A36" w:rsidRPr="00CB5A36">
        <w:rPr>
          <w:lang w:val="el-GR"/>
        </w:rPr>
        <w:instrText xml:space="preserve">." </w:instrText>
      </w:r>
      <w:r w:rsidR="00CB5A36">
        <w:fldChar w:fldCharType="separate"/>
      </w:r>
      <w:r w:rsidRPr="00715C00">
        <w:rPr>
          <w:rStyle w:val="Hyperlink"/>
          <w:color w:val="337AB7"/>
          <w:sz w:val="24"/>
          <w:shd w:val="clear" w:color="auto" w:fill="FFFFFF"/>
          <w:lang w:val="el-GR"/>
        </w:rPr>
        <w:t>http://data.europa.eu/eli/reg/2011/182/oj</w:t>
      </w:r>
      <w:r w:rsidR="00CB5A36">
        <w:rPr>
          <w:rStyle w:val="Hyperlink"/>
          <w:color w:val="337AB7"/>
          <w:sz w:val="24"/>
          <w:shd w:val="clear" w:color="auto" w:fill="FFFFFF"/>
          <w:lang w:val="el-GR"/>
        </w:rPr>
        <w:fldChar w:fldCharType="end"/>
      </w:r>
      <w:r w:rsidRPr="00715C00">
        <w:rPr>
          <w:sz w:val="24"/>
          <w:lang w:val="el-GR"/>
        </w:rPr>
        <w:t>.</w:t>
      </w:r>
    </w:p>
  </w:footnote>
  <w:footnote w:id="4">
    <w:p w:rsidR="00BC76D5" w:rsidRPr="00715C00" w:rsidRDefault="00BC76D5" w:rsidP="00715C00">
      <w:pPr>
        <w:pStyle w:val="FootnoteText"/>
        <w:ind w:left="567" w:hanging="567"/>
        <w:rPr>
          <w:sz w:val="24"/>
          <w:lang w:val="el-GR"/>
        </w:rPr>
      </w:pPr>
      <w:r w:rsidRPr="00715C00">
        <w:rPr>
          <w:rStyle w:val="FootnoteReference"/>
          <w:sz w:val="24"/>
          <w:lang w:val="el-GR"/>
        </w:rPr>
        <w:footnoteRef/>
      </w:r>
      <w:r w:rsidR="00715C00" w:rsidRPr="00715C00">
        <w:rPr>
          <w:sz w:val="24"/>
          <w:lang w:val="el-GR"/>
        </w:rPr>
        <w:t xml:space="preserve"> </w:t>
      </w:r>
      <w:r w:rsidR="00715C00" w:rsidRPr="00715C00">
        <w:rPr>
          <w:sz w:val="24"/>
          <w:lang w:val="el-GR"/>
        </w:rPr>
        <w:tab/>
      </w:r>
      <w:r w:rsidRPr="00715C00">
        <w:rPr>
          <w:sz w:val="24"/>
          <w:lang w:val="el-GR"/>
        </w:rPr>
        <w:t>Επιστημονική γνώμη της ομάδας της EFSA για τους γενετικώς τροποποιημένους οργανισμούς σχετικά με την αξιολόγηση του γενετικώς τροποποιημένου αραβοσίτου MON 810 για την ανανέωση της έγκρισης βάσει του κανονισμού (ΕΚ) αριθ. 1829/2003 (φάκελος GMFF-2022-9450), EFSA Journal, 2024</w:t>
      </w:r>
      <w:r w:rsidR="00EF0C2C">
        <w:rPr>
          <w:sz w:val="24"/>
          <w:lang w:val="el-GR"/>
        </w:rPr>
        <w:t xml:space="preserve">· </w:t>
      </w:r>
      <w:r w:rsidRPr="00715C00">
        <w:rPr>
          <w:sz w:val="24"/>
          <w:lang w:val="el-GR"/>
        </w:rPr>
        <w:t xml:space="preserve">22(1):8489, </w:t>
      </w:r>
      <w:r w:rsidR="00CB5A36">
        <w:fldChar w:fldCharType="begin"/>
      </w:r>
      <w:r w:rsidR="00CB5A36" w:rsidRPr="00CB5A36">
        <w:rPr>
          <w:lang w:val="el-GR"/>
        </w:rPr>
        <w:instrText xml:space="preserve"> </w:instrText>
      </w:r>
      <w:r w:rsidR="00CB5A36">
        <w:instrText>HYPERLINK</w:instrText>
      </w:r>
      <w:r w:rsidR="00CB5A36" w:rsidRPr="00CB5A36">
        <w:rPr>
          <w:lang w:val="el-GR"/>
        </w:rPr>
        <w:instrText xml:space="preserve"> "</w:instrText>
      </w:r>
      <w:r w:rsidR="00CB5A36">
        <w:instrText>https</w:instrText>
      </w:r>
      <w:r w:rsidR="00CB5A36" w:rsidRPr="00CB5A36">
        <w:rPr>
          <w:lang w:val="el-GR"/>
        </w:rPr>
        <w:instrText>://</w:instrText>
      </w:r>
      <w:r w:rsidR="00CB5A36">
        <w:instrText>doi</w:instrText>
      </w:r>
      <w:r w:rsidR="00CB5A36" w:rsidRPr="00CB5A36">
        <w:rPr>
          <w:lang w:val="el-GR"/>
        </w:rPr>
        <w:instrText>.</w:instrText>
      </w:r>
      <w:r w:rsidR="00CB5A36">
        <w:instrText>org</w:instrText>
      </w:r>
      <w:r w:rsidR="00CB5A36" w:rsidRPr="00CB5A36">
        <w:rPr>
          <w:lang w:val="el-GR"/>
        </w:rPr>
        <w:instrText>/10.2903/</w:instrText>
      </w:r>
      <w:r w:rsidR="00CB5A36">
        <w:instrText>j</w:instrText>
      </w:r>
      <w:r w:rsidR="00CB5A36" w:rsidRPr="00CB5A36">
        <w:rPr>
          <w:lang w:val="el-GR"/>
        </w:rPr>
        <w:instrText>.</w:instrText>
      </w:r>
      <w:r w:rsidR="00CB5A36">
        <w:instrText>efsa</w:instrText>
      </w:r>
      <w:r w:rsidR="00CB5A36" w:rsidRPr="00CB5A36">
        <w:rPr>
          <w:lang w:val="el-GR"/>
        </w:rPr>
        <w:instrText xml:space="preserve">.2024.8489" </w:instrText>
      </w:r>
      <w:r w:rsidR="00CB5A36">
        <w:fldChar w:fldCharType="separate"/>
      </w:r>
      <w:r w:rsidRPr="00715C00">
        <w:rPr>
          <w:rStyle w:val="Hyperlink"/>
          <w:sz w:val="24"/>
          <w:lang w:val="el-GR"/>
        </w:rPr>
        <w:t>https://doi.org/10.2903/j.efsa.2024.8489</w:t>
      </w:r>
      <w:r w:rsidR="00CB5A36">
        <w:rPr>
          <w:rStyle w:val="Hyperlink"/>
          <w:sz w:val="24"/>
          <w:lang w:val="el-GR"/>
        </w:rPr>
        <w:fldChar w:fldCharType="end"/>
      </w:r>
      <w:r w:rsidRPr="00715C00">
        <w:rPr>
          <w:sz w:val="24"/>
          <w:lang w:val="el-GR"/>
        </w:rPr>
        <w:t>.</w:t>
      </w:r>
    </w:p>
  </w:footnote>
  <w:footnote w:id="5">
    <w:p w:rsidR="00BC76D5" w:rsidRPr="00715C00" w:rsidRDefault="00BC76D5" w:rsidP="00715C00">
      <w:pPr>
        <w:pStyle w:val="FootnoteText"/>
        <w:ind w:left="567" w:hanging="567"/>
        <w:rPr>
          <w:sz w:val="24"/>
          <w:lang w:val="el-GR"/>
        </w:rPr>
      </w:pPr>
      <w:r w:rsidRPr="00715C00">
        <w:rPr>
          <w:rStyle w:val="FootnoteReference"/>
          <w:sz w:val="24"/>
          <w:lang w:val="el-GR"/>
        </w:rPr>
        <w:footnoteRef/>
      </w:r>
      <w:r w:rsidR="00715C00" w:rsidRPr="00715C00">
        <w:rPr>
          <w:color w:val="000000" w:themeColor="text1"/>
          <w:sz w:val="24"/>
          <w:lang w:val="el-GR"/>
        </w:rPr>
        <w:t xml:space="preserve"> </w:t>
      </w:r>
      <w:r w:rsidR="00715C00" w:rsidRPr="00715C00">
        <w:rPr>
          <w:color w:val="000000" w:themeColor="text1"/>
          <w:sz w:val="24"/>
          <w:lang w:val="el-GR"/>
        </w:rPr>
        <w:tab/>
      </w:r>
      <w:r w:rsidRPr="00715C00">
        <w:rPr>
          <w:color w:val="000000" w:themeColor="text1"/>
          <w:sz w:val="24"/>
          <w:lang w:val="el-GR"/>
        </w:rPr>
        <w:t xml:space="preserve">Κατά την όγδοη κοινοβουλευτική περίοδο, το Κοινοβούλιο ενέκρινε 36 ψηφίσματα και, κατά την ένατη κοινοβουλευτική του περίοδο, το Κοινοβούλιο ενέκρινε 38 ψηφίσματα που αντιτίθενται στην έγκριση ΓΤΟ. </w:t>
      </w:r>
    </w:p>
  </w:footnote>
  <w:footnote w:id="6">
    <w:p w:rsidR="00BC76D5" w:rsidRPr="00715C00" w:rsidRDefault="00BC76D5" w:rsidP="00715C00">
      <w:pPr>
        <w:pStyle w:val="FootnoteText"/>
        <w:ind w:left="567" w:hanging="567"/>
        <w:rPr>
          <w:sz w:val="24"/>
          <w:lang w:val="el-GR"/>
        </w:rPr>
      </w:pPr>
      <w:r w:rsidRPr="00715C00">
        <w:rPr>
          <w:rStyle w:val="FootnoteReference"/>
          <w:sz w:val="24"/>
          <w:lang w:val="el-GR"/>
        </w:rPr>
        <w:footnoteRef/>
      </w:r>
      <w:r w:rsidR="00715C00" w:rsidRPr="00715C00">
        <w:rPr>
          <w:sz w:val="24"/>
          <w:lang w:val="el-GR"/>
        </w:rPr>
        <w:t xml:space="preserve"> </w:t>
      </w:r>
      <w:r w:rsidR="00715C00" w:rsidRPr="00715C00">
        <w:rPr>
          <w:sz w:val="24"/>
          <w:lang w:val="el-GR"/>
        </w:rPr>
        <w:tab/>
      </w:r>
      <w:r w:rsidRPr="00715C00">
        <w:rPr>
          <w:sz w:val="24"/>
          <w:lang w:val="el-GR"/>
        </w:rPr>
        <w:t xml:space="preserve">Εκτελεστική απόφαση 2013/649/ΕΕ της Επιτροπής, της 6ης Νοεμβρίου 2013, για την έγκριση της διάθεσης στην αγορά γύρης που παράγεται από αραβόσιτο MON 810 (MON-ØØ81Ø-6) σύμφωνα με τον κανονισμό (ΕΚ) αριθ. 1829/2003 του Ευρωπαϊκού Κοινοβουλίου και του Συμβουλίου (ΕΕ L 302 της 13.11.2013, σ. 44, ELI: </w:t>
      </w:r>
      <w:r w:rsidR="00CB5A36">
        <w:fldChar w:fldCharType="begin"/>
      </w:r>
      <w:r w:rsidR="00CB5A36" w:rsidRPr="00CB5A36">
        <w:rPr>
          <w:lang w:val="el-GR"/>
        </w:rPr>
        <w:instrText xml:space="preserve"> </w:instrText>
      </w:r>
      <w:r w:rsidR="00CB5A36">
        <w:instrText>HYPERLINK</w:instrText>
      </w:r>
      <w:r w:rsidR="00CB5A36" w:rsidRPr="00CB5A36">
        <w:rPr>
          <w:lang w:val="el-GR"/>
        </w:rPr>
        <w:instrText xml:space="preserve"> "</w:instrText>
      </w:r>
      <w:r w:rsidR="00CB5A36">
        <w:instrText>http</w:instrText>
      </w:r>
      <w:r w:rsidR="00CB5A36" w:rsidRPr="00CB5A36">
        <w:rPr>
          <w:lang w:val="el-GR"/>
        </w:rPr>
        <w:instrText>://</w:instrText>
      </w:r>
      <w:r w:rsidR="00CB5A36">
        <w:instrText>data</w:instrText>
      </w:r>
      <w:r w:rsidR="00CB5A36" w:rsidRPr="00CB5A36">
        <w:rPr>
          <w:lang w:val="el-GR"/>
        </w:rPr>
        <w:instrText>.</w:instrText>
      </w:r>
      <w:r w:rsidR="00CB5A36">
        <w:instrText>europa</w:instrText>
      </w:r>
      <w:r w:rsidR="00CB5A36" w:rsidRPr="00CB5A36">
        <w:rPr>
          <w:lang w:val="el-GR"/>
        </w:rPr>
        <w:instrText>.</w:instrText>
      </w:r>
      <w:r w:rsidR="00CB5A36">
        <w:instrText>eu</w:instrText>
      </w:r>
      <w:r w:rsidR="00CB5A36" w:rsidRPr="00CB5A36">
        <w:rPr>
          <w:lang w:val="el-GR"/>
        </w:rPr>
        <w:instrText>/</w:instrText>
      </w:r>
      <w:r w:rsidR="00CB5A36">
        <w:instrText>eli</w:instrText>
      </w:r>
      <w:r w:rsidR="00CB5A36" w:rsidRPr="00CB5A36">
        <w:rPr>
          <w:lang w:val="el-GR"/>
        </w:rPr>
        <w:instrText>/</w:instrText>
      </w:r>
      <w:r w:rsidR="00CB5A36">
        <w:instrText>dec</w:instrText>
      </w:r>
      <w:r w:rsidR="00CB5A36" w:rsidRPr="00CB5A36">
        <w:rPr>
          <w:lang w:val="el-GR"/>
        </w:rPr>
        <w:instrText>_</w:instrText>
      </w:r>
      <w:r w:rsidR="00CB5A36">
        <w:instrText>impl</w:instrText>
      </w:r>
      <w:r w:rsidR="00CB5A36" w:rsidRPr="00CB5A36">
        <w:rPr>
          <w:lang w:val="el-GR"/>
        </w:rPr>
        <w:instrText>/2013/649/</w:instrText>
      </w:r>
      <w:r w:rsidR="00CB5A36">
        <w:instrText>oj</w:instrText>
      </w:r>
      <w:r w:rsidR="00CB5A36" w:rsidRPr="00CB5A36">
        <w:rPr>
          <w:lang w:val="el-GR"/>
        </w:rPr>
        <w:instrText>" \</w:instrText>
      </w:r>
      <w:r w:rsidR="00CB5A36">
        <w:instrText>o</w:instrText>
      </w:r>
      <w:r w:rsidR="00CB5A36" w:rsidRPr="00CB5A36">
        <w:rPr>
          <w:lang w:val="el-GR"/>
        </w:rPr>
        <w:instrText xml:space="preserve"> "Επιτρέπει πρόσβαση σ</w:instrText>
      </w:r>
      <w:r w:rsidR="00CB5A36" w:rsidRPr="00CB5A36">
        <w:rPr>
          <w:lang w:val="el-GR"/>
        </w:rPr>
        <w:instrText xml:space="preserve">το έγγραφο μέσω του </w:instrText>
      </w:r>
      <w:r w:rsidR="00CB5A36">
        <w:instrText>ELI</w:instrText>
      </w:r>
      <w:r w:rsidR="00CB5A36" w:rsidRPr="00CB5A36">
        <w:rPr>
          <w:lang w:val="el-GR"/>
        </w:rPr>
        <w:instrText xml:space="preserve"> </w:instrText>
      </w:r>
      <w:r w:rsidR="00CB5A36">
        <w:instrText>URI</w:instrText>
      </w:r>
      <w:r w:rsidR="00CB5A36" w:rsidRPr="00CB5A36">
        <w:rPr>
          <w:lang w:val="el-GR"/>
        </w:rPr>
        <w:instrText xml:space="preserve">." </w:instrText>
      </w:r>
      <w:r w:rsidR="00CB5A36">
        <w:fldChar w:fldCharType="separate"/>
      </w:r>
      <w:r w:rsidRPr="00715C00">
        <w:rPr>
          <w:rStyle w:val="Hyperlink"/>
          <w:color w:val="337AB7"/>
          <w:sz w:val="24"/>
          <w:shd w:val="clear" w:color="auto" w:fill="FFFFFF"/>
          <w:lang w:val="el-GR"/>
        </w:rPr>
        <w:t>http://data.europa.eu/eli/dec_impl/2013/649/oj</w:t>
      </w:r>
      <w:r w:rsidR="00CB5A36">
        <w:rPr>
          <w:rStyle w:val="Hyperlink"/>
          <w:color w:val="337AB7"/>
          <w:sz w:val="24"/>
          <w:shd w:val="clear" w:color="auto" w:fill="FFFFFF"/>
          <w:lang w:val="el-GR"/>
        </w:rPr>
        <w:fldChar w:fldCharType="end"/>
      </w:r>
      <w:r w:rsidRPr="00715C00">
        <w:rPr>
          <w:sz w:val="24"/>
          <w:lang w:val="el-GR"/>
        </w:rPr>
        <w:t>).</w:t>
      </w:r>
    </w:p>
  </w:footnote>
  <w:footnote w:id="7">
    <w:p w:rsidR="00BC76D5" w:rsidRPr="00715C00" w:rsidRDefault="00BC76D5" w:rsidP="00715C00">
      <w:pPr>
        <w:pStyle w:val="FootnoteText"/>
        <w:ind w:left="567" w:hanging="567"/>
        <w:rPr>
          <w:sz w:val="24"/>
          <w:lang w:val="el-GR"/>
        </w:rPr>
      </w:pPr>
      <w:r w:rsidRPr="00715C00">
        <w:rPr>
          <w:rStyle w:val="FootnoteReference"/>
          <w:sz w:val="24"/>
          <w:lang w:val="el-GR"/>
        </w:rPr>
        <w:footnoteRef/>
      </w:r>
      <w:r w:rsidR="00715C00" w:rsidRPr="00715C00">
        <w:rPr>
          <w:sz w:val="24"/>
          <w:lang w:val="el-GR"/>
        </w:rPr>
        <w:t xml:space="preserve"> </w:t>
      </w:r>
      <w:r w:rsidR="00715C00" w:rsidRPr="00715C00">
        <w:rPr>
          <w:sz w:val="24"/>
          <w:lang w:val="el-GR"/>
        </w:rPr>
        <w:tab/>
      </w:r>
      <w:r w:rsidRPr="00715C00">
        <w:rPr>
          <w:sz w:val="24"/>
          <w:lang w:val="el-GR"/>
        </w:rPr>
        <w:t xml:space="preserve">Εκτελεστική απόφαση (ΕΕ) 2017/1207 της Επιτροπής, της 4ης Ιουλίου 2017, για την ανανέωση της έγκρισης της διάθεσης στην αγορά γενετικώς τροποποιημένου αραβοσίτου MON 810 (MON-ØØ81Ø-6) σύμφωνα με τον κανονισμό (ΕΚ) αριθ. 1829/2003 του Ευρωπαϊκού Κοινοβουλίου και του Συμβουλίου (ΕΕ L 173 της 6.7.2017, σ. 18, ELI: </w:t>
      </w:r>
      <w:r w:rsidR="00CB5A36">
        <w:fldChar w:fldCharType="begin"/>
      </w:r>
      <w:r w:rsidR="00CB5A36" w:rsidRPr="00CB5A36">
        <w:rPr>
          <w:lang w:val="el-GR"/>
        </w:rPr>
        <w:instrText xml:space="preserve"> </w:instrText>
      </w:r>
      <w:r w:rsidR="00CB5A36">
        <w:instrText>HYPERLINK</w:instrText>
      </w:r>
      <w:r w:rsidR="00CB5A36" w:rsidRPr="00CB5A36">
        <w:rPr>
          <w:lang w:val="el-GR"/>
        </w:rPr>
        <w:instrText xml:space="preserve"> "</w:instrText>
      </w:r>
      <w:r w:rsidR="00CB5A36">
        <w:instrText>http</w:instrText>
      </w:r>
      <w:r w:rsidR="00CB5A36" w:rsidRPr="00CB5A36">
        <w:rPr>
          <w:lang w:val="el-GR"/>
        </w:rPr>
        <w:instrText>://</w:instrText>
      </w:r>
      <w:r w:rsidR="00CB5A36">
        <w:instrText>data</w:instrText>
      </w:r>
      <w:r w:rsidR="00CB5A36" w:rsidRPr="00CB5A36">
        <w:rPr>
          <w:lang w:val="el-GR"/>
        </w:rPr>
        <w:instrText>.</w:instrText>
      </w:r>
      <w:r w:rsidR="00CB5A36">
        <w:instrText>europa</w:instrText>
      </w:r>
      <w:r w:rsidR="00CB5A36" w:rsidRPr="00CB5A36">
        <w:rPr>
          <w:lang w:val="el-GR"/>
        </w:rPr>
        <w:instrText>.</w:instrText>
      </w:r>
      <w:r w:rsidR="00CB5A36">
        <w:instrText>eu</w:instrText>
      </w:r>
      <w:r w:rsidR="00CB5A36" w:rsidRPr="00CB5A36">
        <w:rPr>
          <w:lang w:val="el-GR"/>
        </w:rPr>
        <w:instrText>/</w:instrText>
      </w:r>
      <w:r w:rsidR="00CB5A36">
        <w:instrText>eli</w:instrText>
      </w:r>
      <w:r w:rsidR="00CB5A36" w:rsidRPr="00CB5A36">
        <w:rPr>
          <w:lang w:val="el-GR"/>
        </w:rPr>
        <w:instrText>/</w:instrText>
      </w:r>
      <w:r w:rsidR="00CB5A36">
        <w:instrText>dec</w:instrText>
      </w:r>
      <w:r w:rsidR="00CB5A36" w:rsidRPr="00CB5A36">
        <w:rPr>
          <w:lang w:val="el-GR"/>
        </w:rPr>
        <w:instrText>_</w:instrText>
      </w:r>
      <w:r w:rsidR="00CB5A36">
        <w:instrText>impl</w:instrText>
      </w:r>
      <w:r w:rsidR="00CB5A36" w:rsidRPr="00CB5A36">
        <w:rPr>
          <w:lang w:val="el-GR"/>
        </w:rPr>
        <w:instrText>/2017/1207/</w:instrText>
      </w:r>
      <w:r w:rsidR="00CB5A36">
        <w:instrText>oj</w:instrText>
      </w:r>
      <w:r w:rsidR="00CB5A36" w:rsidRPr="00CB5A36">
        <w:rPr>
          <w:lang w:val="el-GR"/>
        </w:rPr>
        <w:instrText>" \</w:instrText>
      </w:r>
      <w:r w:rsidR="00CB5A36">
        <w:instrText>o</w:instrText>
      </w:r>
      <w:r w:rsidR="00CB5A36" w:rsidRPr="00CB5A36">
        <w:rPr>
          <w:lang w:val="el-GR"/>
        </w:rPr>
        <w:instrText xml:space="preserve"> "Επιτρέπει πρόσβαση στο έγγραφο μέσω του </w:instrText>
      </w:r>
      <w:r w:rsidR="00CB5A36">
        <w:instrText>ELI</w:instrText>
      </w:r>
      <w:r w:rsidR="00CB5A36" w:rsidRPr="00CB5A36">
        <w:rPr>
          <w:lang w:val="el-GR"/>
        </w:rPr>
        <w:instrText xml:space="preserve"> </w:instrText>
      </w:r>
      <w:r w:rsidR="00CB5A36">
        <w:instrText>URI</w:instrText>
      </w:r>
      <w:r w:rsidR="00CB5A36" w:rsidRPr="00CB5A36">
        <w:rPr>
          <w:lang w:val="el-GR"/>
        </w:rPr>
        <w:instrText>."</w:instrText>
      </w:r>
      <w:r w:rsidR="00CB5A36" w:rsidRPr="00CB5A36">
        <w:rPr>
          <w:lang w:val="el-GR"/>
        </w:rPr>
        <w:instrText xml:space="preserve"> </w:instrText>
      </w:r>
      <w:r w:rsidR="00CB5A36">
        <w:fldChar w:fldCharType="separate"/>
      </w:r>
      <w:r w:rsidRPr="00715C00">
        <w:rPr>
          <w:rStyle w:val="Hyperlink"/>
          <w:color w:val="337AB7"/>
          <w:sz w:val="24"/>
          <w:shd w:val="clear" w:color="auto" w:fill="FFFFFF"/>
          <w:lang w:val="el-GR"/>
        </w:rPr>
        <w:t>http://data.europa.eu/eli/dec_impl/2017/1207/oj</w:t>
      </w:r>
      <w:r w:rsidR="00CB5A36">
        <w:rPr>
          <w:rStyle w:val="Hyperlink"/>
          <w:color w:val="337AB7"/>
          <w:sz w:val="24"/>
          <w:shd w:val="clear" w:color="auto" w:fill="FFFFFF"/>
          <w:lang w:val="el-GR"/>
        </w:rPr>
        <w:fldChar w:fldCharType="end"/>
      </w:r>
      <w:r w:rsidRPr="00715C00">
        <w:rPr>
          <w:sz w:val="24"/>
          <w:lang w:val="el-GR"/>
        </w:rPr>
        <w:t>).</w:t>
      </w:r>
    </w:p>
  </w:footnote>
  <w:footnote w:id="8">
    <w:p w:rsidR="00BC76D5" w:rsidRPr="00715C00" w:rsidRDefault="00BC76D5" w:rsidP="00715C00">
      <w:pPr>
        <w:pStyle w:val="FootnoteText"/>
        <w:ind w:left="567" w:hanging="567"/>
        <w:rPr>
          <w:sz w:val="24"/>
          <w:lang w:val="el-GR"/>
        </w:rPr>
      </w:pPr>
      <w:r w:rsidRPr="00715C00">
        <w:rPr>
          <w:rStyle w:val="FootnoteReference"/>
          <w:sz w:val="24"/>
          <w:lang w:val="el-GR"/>
        </w:rPr>
        <w:footnoteRef/>
      </w:r>
      <w:r w:rsidR="00715C00" w:rsidRPr="00715C00">
        <w:rPr>
          <w:sz w:val="24"/>
          <w:lang w:val="el-GR"/>
        </w:rPr>
        <w:t xml:space="preserve"> </w:t>
      </w:r>
      <w:r w:rsidR="00715C00" w:rsidRPr="00715C00">
        <w:rPr>
          <w:sz w:val="24"/>
          <w:lang w:val="el-GR"/>
        </w:rPr>
        <w:tab/>
      </w:r>
      <w:r w:rsidRPr="00715C00">
        <w:rPr>
          <w:sz w:val="24"/>
          <w:lang w:val="el-GR"/>
        </w:rPr>
        <w:t xml:space="preserve">Για μια ανασκόπηση, βλ. </w:t>
      </w:r>
      <w:proofErr w:type="spellStart"/>
      <w:r w:rsidRPr="00715C00">
        <w:rPr>
          <w:sz w:val="24"/>
          <w:lang w:val="el-GR"/>
        </w:rPr>
        <w:t>Rubio-Infante</w:t>
      </w:r>
      <w:proofErr w:type="spellEnd"/>
      <w:r w:rsidRPr="00715C00">
        <w:rPr>
          <w:sz w:val="24"/>
          <w:lang w:val="el-GR"/>
        </w:rPr>
        <w:t xml:space="preserve">, N., </w:t>
      </w:r>
      <w:proofErr w:type="spellStart"/>
      <w:r w:rsidRPr="00715C00">
        <w:rPr>
          <w:sz w:val="24"/>
          <w:lang w:val="el-GR"/>
        </w:rPr>
        <w:t>Moreno-Fierros</w:t>
      </w:r>
      <w:proofErr w:type="spellEnd"/>
      <w:r w:rsidRPr="00715C00">
        <w:rPr>
          <w:sz w:val="24"/>
          <w:lang w:val="el-GR"/>
        </w:rPr>
        <w:t>, L., «</w:t>
      </w:r>
      <w:proofErr w:type="spellStart"/>
      <w:r w:rsidRPr="00715C00">
        <w:rPr>
          <w:sz w:val="24"/>
          <w:lang w:val="el-GR"/>
        </w:rPr>
        <w:t>An</w:t>
      </w:r>
      <w:proofErr w:type="spellEnd"/>
      <w:r w:rsidRPr="00715C00">
        <w:rPr>
          <w:sz w:val="24"/>
          <w:lang w:val="el-GR"/>
        </w:rPr>
        <w:t xml:space="preserve"> </w:t>
      </w:r>
      <w:proofErr w:type="spellStart"/>
      <w:r w:rsidRPr="00715C00">
        <w:rPr>
          <w:sz w:val="24"/>
          <w:lang w:val="el-GR"/>
        </w:rPr>
        <w:t>overview</w:t>
      </w:r>
      <w:proofErr w:type="spellEnd"/>
      <w:r w:rsidRPr="00715C00">
        <w:rPr>
          <w:sz w:val="24"/>
          <w:lang w:val="el-GR"/>
        </w:rPr>
        <w:t xml:space="preserve"> of the </w:t>
      </w:r>
      <w:proofErr w:type="spellStart"/>
      <w:r w:rsidRPr="00715C00">
        <w:rPr>
          <w:sz w:val="24"/>
          <w:lang w:val="el-GR"/>
        </w:rPr>
        <w:t>safety</w:t>
      </w:r>
      <w:proofErr w:type="spellEnd"/>
      <w:r w:rsidRPr="00715C00">
        <w:rPr>
          <w:sz w:val="24"/>
          <w:lang w:val="el-GR"/>
        </w:rPr>
        <w:t xml:space="preserve"> and </w:t>
      </w:r>
      <w:proofErr w:type="spellStart"/>
      <w:r w:rsidRPr="00715C00">
        <w:rPr>
          <w:sz w:val="24"/>
          <w:lang w:val="el-GR"/>
        </w:rPr>
        <w:t>biological</w:t>
      </w:r>
      <w:proofErr w:type="spellEnd"/>
      <w:r w:rsidRPr="00715C00">
        <w:rPr>
          <w:sz w:val="24"/>
          <w:lang w:val="el-GR"/>
        </w:rPr>
        <w:t xml:space="preserve"> </w:t>
      </w:r>
      <w:proofErr w:type="spellStart"/>
      <w:r w:rsidRPr="00715C00">
        <w:rPr>
          <w:sz w:val="24"/>
          <w:lang w:val="el-GR"/>
        </w:rPr>
        <w:t>effects</w:t>
      </w:r>
      <w:proofErr w:type="spellEnd"/>
      <w:r w:rsidRPr="00715C00">
        <w:rPr>
          <w:sz w:val="24"/>
          <w:lang w:val="el-GR"/>
        </w:rPr>
        <w:t xml:space="preserve"> of </w:t>
      </w:r>
      <w:proofErr w:type="spellStart"/>
      <w:r w:rsidRPr="00715C00">
        <w:rPr>
          <w:sz w:val="24"/>
          <w:lang w:val="el-GR"/>
        </w:rPr>
        <w:t>Bacillus</w:t>
      </w:r>
      <w:proofErr w:type="spellEnd"/>
      <w:r w:rsidRPr="00715C00">
        <w:rPr>
          <w:sz w:val="24"/>
          <w:lang w:val="el-GR"/>
        </w:rPr>
        <w:t xml:space="preserve"> </w:t>
      </w:r>
      <w:proofErr w:type="spellStart"/>
      <w:r w:rsidRPr="00715C00">
        <w:rPr>
          <w:sz w:val="24"/>
          <w:lang w:val="el-GR"/>
        </w:rPr>
        <w:t>thuringiensis</w:t>
      </w:r>
      <w:proofErr w:type="spellEnd"/>
      <w:r w:rsidRPr="00715C00">
        <w:rPr>
          <w:sz w:val="24"/>
          <w:lang w:val="el-GR"/>
        </w:rPr>
        <w:t xml:space="preserve"> </w:t>
      </w:r>
      <w:proofErr w:type="spellStart"/>
      <w:r w:rsidRPr="00715C00">
        <w:rPr>
          <w:sz w:val="24"/>
          <w:lang w:val="el-GR"/>
        </w:rPr>
        <w:t>Cry</w:t>
      </w:r>
      <w:proofErr w:type="spellEnd"/>
      <w:r w:rsidRPr="00715C00">
        <w:rPr>
          <w:sz w:val="24"/>
          <w:lang w:val="el-GR"/>
        </w:rPr>
        <w:t xml:space="preserve"> </w:t>
      </w:r>
      <w:proofErr w:type="spellStart"/>
      <w:r w:rsidRPr="00715C00">
        <w:rPr>
          <w:sz w:val="24"/>
          <w:lang w:val="el-GR"/>
        </w:rPr>
        <w:t>toxins</w:t>
      </w:r>
      <w:proofErr w:type="spellEnd"/>
      <w:r w:rsidRPr="00715C00">
        <w:rPr>
          <w:sz w:val="24"/>
          <w:lang w:val="el-GR"/>
        </w:rPr>
        <w:t xml:space="preserve"> in </w:t>
      </w:r>
      <w:proofErr w:type="spellStart"/>
      <w:r w:rsidRPr="00715C00">
        <w:rPr>
          <w:sz w:val="24"/>
          <w:lang w:val="el-GR"/>
        </w:rPr>
        <w:t>mammals</w:t>
      </w:r>
      <w:proofErr w:type="spellEnd"/>
      <w:r w:rsidRPr="00715C00">
        <w:rPr>
          <w:sz w:val="24"/>
          <w:lang w:val="el-GR"/>
        </w:rPr>
        <w:t xml:space="preserve">» (Μια ανασκόπηση σχετικά με την ασφάλεια και τις βιολογικές επιπτώσεις των τοξινών </w:t>
      </w:r>
      <w:proofErr w:type="spellStart"/>
      <w:r w:rsidRPr="00715C00">
        <w:rPr>
          <w:sz w:val="24"/>
          <w:lang w:val="el-GR"/>
        </w:rPr>
        <w:t>Cry</w:t>
      </w:r>
      <w:proofErr w:type="spellEnd"/>
      <w:r w:rsidRPr="00715C00">
        <w:rPr>
          <w:sz w:val="24"/>
          <w:lang w:val="el-GR"/>
        </w:rPr>
        <w:t xml:space="preserve"> του </w:t>
      </w:r>
      <w:proofErr w:type="spellStart"/>
      <w:r w:rsidRPr="00715C00">
        <w:rPr>
          <w:sz w:val="24"/>
          <w:lang w:val="el-GR"/>
        </w:rPr>
        <w:t>Bacillus</w:t>
      </w:r>
      <w:proofErr w:type="spellEnd"/>
      <w:r w:rsidRPr="00715C00">
        <w:rPr>
          <w:sz w:val="24"/>
          <w:lang w:val="el-GR"/>
        </w:rPr>
        <w:t xml:space="preserve"> </w:t>
      </w:r>
      <w:proofErr w:type="spellStart"/>
      <w:r w:rsidRPr="00715C00">
        <w:rPr>
          <w:sz w:val="24"/>
          <w:lang w:val="el-GR"/>
        </w:rPr>
        <w:t>thuringiensis</w:t>
      </w:r>
      <w:proofErr w:type="spellEnd"/>
      <w:r w:rsidRPr="00715C00">
        <w:rPr>
          <w:sz w:val="24"/>
          <w:lang w:val="el-GR"/>
        </w:rPr>
        <w:t xml:space="preserve"> στα θηλαστικά), Journal of </w:t>
      </w:r>
      <w:proofErr w:type="spellStart"/>
      <w:r w:rsidRPr="00715C00">
        <w:rPr>
          <w:sz w:val="24"/>
          <w:lang w:val="el-GR"/>
        </w:rPr>
        <w:t>Applied</w:t>
      </w:r>
      <w:proofErr w:type="spellEnd"/>
      <w:r w:rsidRPr="00715C00">
        <w:rPr>
          <w:sz w:val="24"/>
          <w:lang w:val="el-GR"/>
        </w:rPr>
        <w:t xml:space="preserve"> </w:t>
      </w:r>
      <w:proofErr w:type="spellStart"/>
      <w:r w:rsidRPr="00715C00">
        <w:rPr>
          <w:sz w:val="24"/>
          <w:lang w:val="el-GR"/>
        </w:rPr>
        <w:t>Toxicology</w:t>
      </w:r>
      <w:proofErr w:type="spellEnd"/>
      <w:r w:rsidRPr="00715C00">
        <w:rPr>
          <w:sz w:val="24"/>
          <w:lang w:val="el-GR"/>
        </w:rPr>
        <w:t xml:space="preserve">, Μάιος 2016, 36,5, σ. 630-648, </w:t>
      </w:r>
      <w:r w:rsidR="00CB5A36">
        <w:fldChar w:fldCharType="begin"/>
      </w:r>
      <w:r w:rsidR="00CB5A36" w:rsidRPr="00CB5A36">
        <w:rPr>
          <w:lang w:val="el-GR"/>
        </w:rPr>
        <w:instrText xml:space="preserve"> </w:instrText>
      </w:r>
      <w:r w:rsidR="00CB5A36">
        <w:instrText>HYPERLINK</w:instrText>
      </w:r>
      <w:r w:rsidR="00CB5A36" w:rsidRPr="00CB5A36">
        <w:rPr>
          <w:lang w:val="el-GR"/>
        </w:rPr>
        <w:instrText xml:space="preserve"> "</w:instrText>
      </w:r>
      <w:r w:rsidR="00CB5A36">
        <w:instrText>https</w:instrText>
      </w:r>
      <w:r w:rsidR="00CB5A36" w:rsidRPr="00CB5A36">
        <w:rPr>
          <w:lang w:val="el-GR"/>
        </w:rPr>
        <w:instrText>://</w:instrText>
      </w:r>
      <w:r w:rsidR="00CB5A36">
        <w:instrText>onlinelibrary</w:instrText>
      </w:r>
      <w:r w:rsidR="00CB5A36" w:rsidRPr="00CB5A36">
        <w:rPr>
          <w:lang w:val="el-GR"/>
        </w:rPr>
        <w:instrText>.</w:instrText>
      </w:r>
      <w:r w:rsidR="00CB5A36">
        <w:instrText>wiley</w:instrText>
      </w:r>
      <w:r w:rsidR="00CB5A36" w:rsidRPr="00CB5A36">
        <w:rPr>
          <w:lang w:val="el-GR"/>
        </w:rPr>
        <w:instrText>.</w:instrText>
      </w:r>
      <w:r w:rsidR="00CB5A36">
        <w:instrText>com</w:instrText>
      </w:r>
      <w:r w:rsidR="00CB5A36" w:rsidRPr="00CB5A36">
        <w:rPr>
          <w:lang w:val="el-GR"/>
        </w:rPr>
        <w:instrText>/</w:instrText>
      </w:r>
      <w:r w:rsidR="00CB5A36">
        <w:instrText>doi</w:instrText>
      </w:r>
      <w:r w:rsidR="00CB5A36" w:rsidRPr="00CB5A36">
        <w:rPr>
          <w:lang w:val="el-GR"/>
        </w:rPr>
        <w:instrText>/</w:instrText>
      </w:r>
      <w:r w:rsidR="00CB5A36">
        <w:instrText>full</w:instrText>
      </w:r>
      <w:r w:rsidR="00CB5A36" w:rsidRPr="00CB5A36">
        <w:rPr>
          <w:lang w:val="el-GR"/>
        </w:rPr>
        <w:instrText>/10.1002/</w:instrText>
      </w:r>
      <w:r w:rsidR="00CB5A36">
        <w:instrText>jat</w:instrText>
      </w:r>
      <w:r w:rsidR="00CB5A36" w:rsidRPr="00CB5A36">
        <w:rPr>
          <w:lang w:val="el-GR"/>
        </w:rPr>
        <w:instrText xml:space="preserve">.3252" </w:instrText>
      </w:r>
      <w:r w:rsidR="00CB5A36">
        <w:fldChar w:fldCharType="separate"/>
      </w:r>
      <w:r w:rsidRPr="00715C00">
        <w:rPr>
          <w:rStyle w:val="Hyperlink"/>
          <w:sz w:val="24"/>
          <w:lang w:val="el-GR"/>
        </w:rPr>
        <w:t>https://onlinelibrary.wiley.com/doi/full/10.1002/jat.3252</w:t>
      </w:r>
      <w:r w:rsidR="00CB5A36">
        <w:rPr>
          <w:rStyle w:val="Hyperlink"/>
          <w:sz w:val="24"/>
          <w:lang w:val="el-GR"/>
        </w:rPr>
        <w:fldChar w:fldCharType="end"/>
      </w:r>
      <w:r w:rsidRPr="00715C00">
        <w:rPr>
          <w:rStyle w:val="Hyperlink"/>
          <w:sz w:val="24"/>
          <w:lang w:val="el-GR"/>
        </w:rPr>
        <w:t>.</w:t>
      </w:r>
    </w:p>
  </w:footnote>
  <w:footnote w:id="9">
    <w:p w:rsidR="00BC76D5" w:rsidRPr="00285115" w:rsidRDefault="00BC76D5" w:rsidP="00715C00">
      <w:pPr>
        <w:pStyle w:val="FootnoteText"/>
        <w:ind w:left="567" w:hanging="567"/>
        <w:rPr>
          <w:sz w:val="24"/>
          <w:lang w:val="en-GB"/>
        </w:rPr>
      </w:pPr>
      <w:r w:rsidRPr="00715C00">
        <w:rPr>
          <w:rStyle w:val="FootnoteReference"/>
          <w:sz w:val="24"/>
          <w:lang w:val="el-GR"/>
        </w:rPr>
        <w:footnoteRef/>
      </w:r>
      <w:r w:rsidR="00715C00" w:rsidRPr="00285115">
        <w:rPr>
          <w:sz w:val="24"/>
          <w:lang w:val="en-GB"/>
        </w:rPr>
        <w:t xml:space="preserve"> </w:t>
      </w:r>
      <w:r w:rsidR="00715C00" w:rsidRPr="00285115">
        <w:rPr>
          <w:sz w:val="24"/>
          <w:lang w:val="en-GB"/>
        </w:rPr>
        <w:tab/>
      </w:r>
      <w:proofErr w:type="spellStart"/>
      <w:r w:rsidRPr="00285115">
        <w:rPr>
          <w:sz w:val="24"/>
          <w:lang w:val="en-GB"/>
        </w:rPr>
        <w:t>Hilbeck</w:t>
      </w:r>
      <w:proofErr w:type="spellEnd"/>
      <w:r w:rsidRPr="00285115">
        <w:rPr>
          <w:sz w:val="24"/>
          <w:lang w:val="en-GB"/>
        </w:rPr>
        <w:t xml:space="preserve">, A., </w:t>
      </w:r>
      <w:proofErr w:type="spellStart"/>
      <w:r w:rsidRPr="00285115">
        <w:rPr>
          <w:sz w:val="24"/>
          <w:lang w:val="en-GB"/>
        </w:rPr>
        <w:t>Defarge</w:t>
      </w:r>
      <w:proofErr w:type="spellEnd"/>
      <w:r w:rsidRPr="00285115">
        <w:rPr>
          <w:sz w:val="24"/>
          <w:lang w:val="en-GB"/>
        </w:rPr>
        <w:t xml:space="preserve">, N., </w:t>
      </w:r>
      <w:proofErr w:type="spellStart"/>
      <w:r w:rsidRPr="00285115">
        <w:rPr>
          <w:sz w:val="24"/>
          <w:lang w:val="en-GB"/>
        </w:rPr>
        <w:t>Lebrecht</w:t>
      </w:r>
      <w:proofErr w:type="spellEnd"/>
      <w:r w:rsidRPr="00285115">
        <w:rPr>
          <w:sz w:val="24"/>
          <w:lang w:val="en-GB"/>
        </w:rPr>
        <w:t xml:space="preserve">, T., </w:t>
      </w:r>
      <w:proofErr w:type="spellStart"/>
      <w:r w:rsidRPr="00285115">
        <w:rPr>
          <w:sz w:val="24"/>
          <w:lang w:val="en-GB"/>
        </w:rPr>
        <w:t>Bøhn</w:t>
      </w:r>
      <w:proofErr w:type="spellEnd"/>
      <w:r w:rsidRPr="00285115">
        <w:rPr>
          <w:sz w:val="24"/>
          <w:lang w:val="en-GB"/>
        </w:rPr>
        <w:t xml:space="preserve">, T., «Insecticidal </w:t>
      </w:r>
      <w:proofErr w:type="spellStart"/>
      <w:r w:rsidRPr="00285115">
        <w:rPr>
          <w:sz w:val="24"/>
          <w:lang w:val="en-GB"/>
        </w:rPr>
        <w:t>Bt</w:t>
      </w:r>
      <w:proofErr w:type="spellEnd"/>
      <w:r w:rsidRPr="00285115">
        <w:rPr>
          <w:sz w:val="24"/>
          <w:lang w:val="en-GB"/>
        </w:rPr>
        <w:t xml:space="preserve"> crops. </w:t>
      </w:r>
      <w:proofErr w:type="gramStart"/>
      <w:r w:rsidRPr="00285115">
        <w:rPr>
          <w:sz w:val="24"/>
          <w:lang w:val="en-GB"/>
        </w:rPr>
        <w:t xml:space="preserve">EFSA’s risk assessment approach for GM </w:t>
      </w:r>
      <w:proofErr w:type="spellStart"/>
      <w:r w:rsidRPr="00285115">
        <w:rPr>
          <w:sz w:val="24"/>
          <w:lang w:val="en-GB"/>
        </w:rPr>
        <w:t>Bt</w:t>
      </w:r>
      <w:proofErr w:type="spellEnd"/>
      <w:r w:rsidRPr="00285115">
        <w:rPr>
          <w:sz w:val="24"/>
          <w:lang w:val="en-GB"/>
        </w:rPr>
        <w:t xml:space="preserve"> plants fails by design» (</w:t>
      </w:r>
      <w:r w:rsidRPr="00715C00">
        <w:rPr>
          <w:sz w:val="24"/>
          <w:lang w:val="el-GR"/>
        </w:rPr>
        <w:t>Εντομοκτόνοι</w:t>
      </w:r>
      <w:r w:rsidRPr="00285115">
        <w:rPr>
          <w:sz w:val="24"/>
          <w:lang w:val="en-GB"/>
        </w:rPr>
        <w:t xml:space="preserve"> </w:t>
      </w:r>
      <w:r w:rsidRPr="00715C00">
        <w:rPr>
          <w:sz w:val="24"/>
          <w:lang w:val="el-GR"/>
        </w:rPr>
        <w:t>καλλιέργειες</w:t>
      </w:r>
      <w:r w:rsidRPr="00285115">
        <w:rPr>
          <w:sz w:val="24"/>
          <w:lang w:val="en-GB"/>
        </w:rPr>
        <w:t xml:space="preserve"> Bt. </w:t>
      </w:r>
      <w:r w:rsidRPr="00715C00">
        <w:rPr>
          <w:sz w:val="24"/>
          <w:lang w:val="el-GR"/>
        </w:rPr>
        <w:t>Η</w:t>
      </w:r>
      <w:r w:rsidRPr="00285115">
        <w:rPr>
          <w:sz w:val="24"/>
          <w:lang w:val="en-GB"/>
        </w:rPr>
        <w:t xml:space="preserve"> </w:t>
      </w:r>
      <w:r w:rsidRPr="00715C00">
        <w:rPr>
          <w:sz w:val="24"/>
          <w:lang w:val="el-GR"/>
        </w:rPr>
        <w:t>προσέγγιση</w:t>
      </w:r>
      <w:r w:rsidRPr="00285115">
        <w:rPr>
          <w:sz w:val="24"/>
          <w:lang w:val="en-GB"/>
        </w:rPr>
        <w:t xml:space="preserve"> </w:t>
      </w:r>
      <w:r w:rsidRPr="00715C00">
        <w:rPr>
          <w:sz w:val="24"/>
          <w:lang w:val="el-GR"/>
        </w:rPr>
        <w:t>της</w:t>
      </w:r>
      <w:r w:rsidRPr="00285115">
        <w:rPr>
          <w:sz w:val="24"/>
          <w:lang w:val="en-GB"/>
        </w:rPr>
        <w:t xml:space="preserve"> </w:t>
      </w:r>
      <w:r w:rsidRPr="00715C00">
        <w:rPr>
          <w:sz w:val="24"/>
          <w:lang w:val="el-GR"/>
        </w:rPr>
        <w:t>αξιολόγησης</w:t>
      </w:r>
      <w:r w:rsidRPr="00285115">
        <w:rPr>
          <w:sz w:val="24"/>
          <w:lang w:val="en-GB"/>
        </w:rPr>
        <w:t xml:space="preserve"> </w:t>
      </w:r>
      <w:r w:rsidRPr="00715C00">
        <w:rPr>
          <w:sz w:val="24"/>
          <w:lang w:val="el-GR"/>
        </w:rPr>
        <w:t>κινδύνου</w:t>
      </w:r>
      <w:r w:rsidRPr="00285115">
        <w:rPr>
          <w:sz w:val="24"/>
          <w:lang w:val="en-GB"/>
        </w:rPr>
        <w:t xml:space="preserve"> </w:t>
      </w:r>
      <w:r w:rsidRPr="00715C00">
        <w:rPr>
          <w:sz w:val="24"/>
          <w:lang w:val="el-GR"/>
        </w:rPr>
        <w:t>της</w:t>
      </w:r>
      <w:r w:rsidRPr="00285115">
        <w:rPr>
          <w:sz w:val="24"/>
          <w:lang w:val="en-GB"/>
        </w:rPr>
        <w:t xml:space="preserve"> EFSA </w:t>
      </w:r>
      <w:r w:rsidRPr="00715C00">
        <w:rPr>
          <w:sz w:val="24"/>
          <w:lang w:val="el-GR"/>
        </w:rPr>
        <w:t>για</w:t>
      </w:r>
      <w:r w:rsidRPr="00285115">
        <w:rPr>
          <w:sz w:val="24"/>
          <w:lang w:val="en-GB"/>
        </w:rPr>
        <w:t xml:space="preserve"> </w:t>
      </w:r>
      <w:r w:rsidRPr="00715C00">
        <w:rPr>
          <w:sz w:val="24"/>
          <w:lang w:val="el-GR"/>
        </w:rPr>
        <w:t>τα</w:t>
      </w:r>
      <w:r w:rsidRPr="00285115">
        <w:rPr>
          <w:sz w:val="24"/>
          <w:lang w:val="en-GB"/>
        </w:rPr>
        <w:t xml:space="preserve"> </w:t>
      </w:r>
      <w:r w:rsidRPr="00715C00">
        <w:rPr>
          <w:sz w:val="24"/>
          <w:lang w:val="el-GR"/>
        </w:rPr>
        <w:t>ΓΤ</w:t>
      </w:r>
      <w:r w:rsidRPr="00285115">
        <w:rPr>
          <w:sz w:val="24"/>
          <w:lang w:val="en-GB"/>
        </w:rPr>
        <w:t xml:space="preserve"> </w:t>
      </w:r>
      <w:r w:rsidRPr="00715C00">
        <w:rPr>
          <w:sz w:val="24"/>
          <w:lang w:val="el-GR"/>
        </w:rPr>
        <w:t>φυτά</w:t>
      </w:r>
      <w:r w:rsidRPr="00285115">
        <w:rPr>
          <w:sz w:val="24"/>
          <w:lang w:val="en-GB"/>
        </w:rPr>
        <w:t xml:space="preserve"> </w:t>
      </w:r>
      <w:proofErr w:type="spellStart"/>
      <w:r w:rsidRPr="00285115">
        <w:rPr>
          <w:sz w:val="24"/>
          <w:lang w:val="en-GB"/>
        </w:rPr>
        <w:t>Bt</w:t>
      </w:r>
      <w:proofErr w:type="spellEnd"/>
      <w:r w:rsidRPr="00285115">
        <w:rPr>
          <w:sz w:val="24"/>
          <w:lang w:val="en-GB"/>
        </w:rPr>
        <w:t xml:space="preserve"> </w:t>
      </w:r>
      <w:r w:rsidRPr="00715C00">
        <w:rPr>
          <w:sz w:val="24"/>
          <w:lang w:val="el-GR"/>
        </w:rPr>
        <w:t>αποτυγχάνει</w:t>
      </w:r>
      <w:r w:rsidRPr="00285115">
        <w:rPr>
          <w:sz w:val="24"/>
          <w:lang w:val="en-GB"/>
        </w:rPr>
        <w:t xml:space="preserve"> </w:t>
      </w:r>
      <w:r w:rsidRPr="00715C00">
        <w:rPr>
          <w:sz w:val="24"/>
          <w:lang w:val="el-GR"/>
        </w:rPr>
        <w:t>εκ</w:t>
      </w:r>
      <w:r w:rsidRPr="00285115">
        <w:rPr>
          <w:sz w:val="24"/>
          <w:lang w:val="en-GB"/>
        </w:rPr>
        <w:t xml:space="preserve"> </w:t>
      </w:r>
      <w:r w:rsidRPr="00715C00">
        <w:rPr>
          <w:sz w:val="24"/>
          <w:lang w:val="el-GR"/>
        </w:rPr>
        <w:t>σχεδιασμού</w:t>
      </w:r>
      <w:r w:rsidRPr="00285115">
        <w:rPr>
          <w:sz w:val="24"/>
          <w:lang w:val="en-GB"/>
        </w:rPr>
        <w:t xml:space="preserve">), RAGES, 2020, </w:t>
      </w:r>
      <w:r w:rsidRPr="00715C00">
        <w:rPr>
          <w:sz w:val="24"/>
          <w:lang w:val="el-GR"/>
        </w:rPr>
        <w:t>σ</w:t>
      </w:r>
      <w:r w:rsidRPr="00285115">
        <w:rPr>
          <w:sz w:val="24"/>
          <w:lang w:val="en-GB"/>
        </w:rPr>
        <w:t xml:space="preserve">. 4, </w:t>
      </w:r>
      <w:r w:rsidR="00CB5A36">
        <w:fldChar w:fldCharType="begin"/>
      </w:r>
      <w:proofErr w:type="gramEnd"/>
      <w:r w:rsidR="00CB5A36" w:rsidRPr="00CB5A36">
        <w:rPr>
          <w:lang w:val="en-GB"/>
        </w:rPr>
        <w:instrText xml:space="preserve"> HYPERLINK "https://www.testbiotech.org/wp-content/uploads/2023/12/RAGES_report-Insecticidal-Bt-plants.pdf" </w:instrText>
      </w:r>
      <w:proofErr w:type="gramStart"/>
      <w:r w:rsidR="00CB5A36">
        <w:fldChar w:fldCharType="separate"/>
      </w:r>
      <w:r w:rsidRPr="00285115">
        <w:rPr>
          <w:rStyle w:val="Hyperlink"/>
          <w:sz w:val="24"/>
          <w:lang w:val="en-GB"/>
        </w:rPr>
        <w:t>https://www.testbiotech.org/wp-content/uploads/2023/12/RAGES_report-Insecticidal-Bt-plants.pdf</w:t>
      </w:r>
      <w:r w:rsidR="00CB5A36">
        <w:rPr>
          <w:rStyle w:val="Hyperlink"/>
          <w:sz w:val="24"/>
          <w:lang w:val="en-GB"/>
        </w:rPr>
        <w:fldChar w:fldCharType="end"/>
      </w:r>
      <w:r w:rsidRPr="00285115">
        <w:rPr>
          <w:rStyle w:val="Hyperlink"/>
          <w:sz w:val="24"/>
          <w:lang w:val="en-GB"/>
        </w:rPr>
        <w:t>;</w:t>
      </w:r>
      <w:r w:rsidRPr="00285115">
        <w:rPr>
          <w:sz w:val="24"/>
          <w:lang w:val="en-GB"/>
        </w:rPr>
        <w:t xml:space="preserve"> </w:t>
      </w:r>
      <w:proofErr w:type="spellStart"/>
      <w:r w:rsidRPr="00715C00">
        <w:rPr>
          <w:sz w:val="24"/>
          <w:lang w:val="el-GR"/>
        </w:rPr>
        <w:t>Βλ</w:t>
      </w:r>
      <w:proofErr w:type="spellEnd"/>
      <w:r w:rsidRPr="00285115">
        <w:rPr>
          <w:sz w:val="24"/>
          <w:lang w:val="en-GB"/>
        </w:rPr>
        <w:t xml:space="preserve">., </w:t>
      </w:r>
      <w:r w:rsidRPr="00715C00">
        <w:rPr>
          <w:sz w:val="24"/>
          <w:lang w:val="el-GR"/>
        </w:rPr>
        <w:t>για</w:t>
      </w:r>
      <w:r w:rsidRPr="00285115">
        <w:rPr>
          <w:sz w:val="24"/>
          <w:lang w:val="en-GB"/>
        </w:rPr>
        <w:t xml:space="preserve"> </w:t>
      </w:r>
      <w:r w:rsidRPr="00715C00">
        <w:rPr>
          <w:sz w:val="24"/>
          <w:lang w:val="el-GR"/>
        </w:rPr>
        <w:t>παράδειγμα</w:t>
      </w:r>
      <w:r w:rsidRPr="00285115">
        <w:rPr>
          <w:sz w:val="24"/>
          <w:lang w:val="en-GB"/>
        </w:rPr>
        <w:t xml:space="preserve">, </w:t>
      </w:r>
      <w:proofErr w:type="spellStart"/>
      <w:r w:rsidRPr="00285115">
        <w:rPr>
          <w:sz w:val="24"/>
          <w:lang w:val="en-GB"/>
        </w:rPr>
        <w:t>Hilbeck</w:t>
      </w:r>
      <w:proofErr w:type="spellEnd"/>
      <w:r w:rsidRPr="00285115">
        <w:rPr>
          <w:sz w:val="24"/>
          <w:lang w:val="en-GB"/>
        </w:rPr>
        <w:t xml:space="preserve">, A., Otto, M. «Specificity and combinatorial effects of Bacillus </w:t>
      </w:r>
      <w:proofErr w:type="spellStart"/>
      <w:r w:rsidRPr="00285115">
        <w:rPr>
          <w:sz w:val="24"/>
          <w:lang w:val="en-GB"/>
        </w:rPr>
        <w:t>thuringiensis</w:t>
      </w:r>
      <w:proofErr w:type="spellEnd"/>
      <w:r w:rsidRPr="00285115">
        <w:rPr>
          <w:sz w:val="24"/>
          <w:lang w:val="en-GB"/>
        </w:rPr>
        <w:t xml:space="preserve"> Cry toxins in the context of GMO environmental risk assessment» (</w:t>
      </w:r>
      <w:r w:rsidRPr="00715C00">
        <w:rPr>
          <w:sz w:val="24"/>
          <w:lang w:val="el-GR"/>
        </w:rPr>
        <w:t>Ιδιαιτερότητα</w:t>
      </w:r>
      <w:r w:rsidRPr="00285115">
        <w:rPr>
          <w:sz w:val="24"/>
          <w:lang w:val="en-GB"/>
        </w:rPr>
        <w:t xml:space="preserve"> </w:t>
      </w:r>
      <w:r w:rsidRPr="00715C00">
        <w:rPr>
          <w:sz w:val="24"/>
          <w:lang w:val="el-GR"/>
        </w:rPr>
        <w:t>και</w:t>
      </w:r>
      <w:r w:rsidRPr="00285115">
        <w:rPr>
          <w:sz w:val="24"/>
          <w:lang w:val="en-GB"/>
        </w:rPr>
        <w:t xml:space="preserve"> </w:t>
      </w:r>
      <w:r w:rsidRPr="00715C00">
        <w:rPr>
          <w:sz w:val="24"/>
          <w:lang w:val="el-GR"/>
        </w:rPr>
        <w:t>συνδυαστικές</w:t>
      </w:r>
      <w:r w:rsidRPr="00285115">
        <w:rPr>
          <w:sz w:val="24"/>
          <w:lang w:val="en-GB"/>
        </w:rPr>
        <w:t xml:space="preserve"> </w:t>
      </w:r>
      <w:r w:rsidRPr="00715C00">
        <w:rPr>
          <w:sz w:val="24"/>
          <w:lang w:val="el-GR"/>
        </w:rPr>
        <w:t>επιδράσεις</w:t>
      </w:r>
      <w:r w:rsidRPr="00285115">
        <w:rPr>
          <w:sz w:val="24"/>
          <w:lang w:val="en-GB"/>
        </w:rPr>
        <w:t xml:space="preserve"> </w:t>
      </w:r>
      <w:r w:rsidRPr="00715C00">
        <w:rPr>
          <w:sz w:val="24"/>
          <w:lang w:val="el-GR"/>
        </w:rPr>
        <w:t>τοξινών</w:t>
      </w:r>
      <w:r w:rsidRPr="00285115">
        <w:rPr>
          <w:sz w:val="24"/>
          <w:lang w:val="en-GB"/>
        </w:rPr>
        <w:t xml:space="preserve"> Cry </w:t>
      </w:r>
      <w:r w:rsidRPr="00715C00">
        <w:rPr>
          <w:sz w:val="24"/>
          <w:lang w:val="el-GR"/>
        </w:rPr>
        <w:t>του</w:t>
      </w:r>
      <w:r w:rsidRPr="00285115">
        <w:rPr>
          <w:sz w:val="24"/>
          <w:lang w:val="en-GB"/>
        </w:rPr>
        <w:t xml:space="preserve"> Bacillus </w:t>
      </w:r>
      <w:proofErr w:type="spellStart"/>
      <w:r w:rsidRPr="00285115">
        <w:rPr>
          <w:sz w:val="24"/>
          <w:lang w:val="en-GB"/>
        </w:rPr>
        <w:t>thuringiensis</w:t>
      </w:r>
      <w:proofErr w:type="spellEnd"/>
      <w:r w:rsidRPr="00285115">
        <w:rPr>
          <w:sz w:val="24"/>
          <w:lang w:val="en-GB"/>
        </w:rPr>
        <w:t xml:space="preserve"> </w:t>
      </w:r>
      <w:r w:rsidRPr="00715C00">
        <w:rPr>
          <w:sz w:val="24"/>
          <w:lang w:val="el-GR"/>
        </w:rPr>
        <w:t>στο</w:t>
      </w:r>
      <w:r w:rsidRPr="00285115">
        <w:rPr>
          <w:sz w:val="24"/>
          <w:lang w:val="en-GB"/>
        </w:rPr>
        <w:t xml:space="preserve"> </w:t>
      </w:r>
      <w:r w:rsidRPr="00715C00">
        <w:rPr>
          <w:sz w:val="24"/>
          <w:lang w:val="el-GR"/>
        </w:rPr>
        <w:t>πλαίσιο</w:t>
      </w:r>
      <w:r w:rsidRPr="00285115">
        <w:rPr>
          <w:sz w:val="24"/>
          <w:lang w:val="en-GB"/>
        </w:rPr>
        <w:t xml:space="preserve"> </w:t>
      </w:r>
      <w:r w:rsidRPr="00715C00">
        <w:rPr>
          <w:sz w:val="24"/>
          <w:lang w:val="el-GR"/>
        </w:rPr>
        <w:t>αξιολόγησης</w:t>
      </w:r>
      <w:r w:rsidRPr="00285115">
        <w:rPr>
          <w:sz w:val="24"/>
          <w:lang w:val="en-GB"/>
        </w:rPr>
        <w:t xml:space="preserve"> </w:t>
      </w:r>
      <w:r w:rsidRPr="00715C00">
        <w:rPr>
          <w:sz w:val="24"/>
          <w:lang w:val="el-GR"/>
        </w:rPr>
        <w:t>κινδύνου</w:t>
      </w:r>
      <w:r w:rsidRPr="00285115">
        <w:rPr>
          <w:sz w:val="24"/>
          <w:lang w:val="en-GB"/>
        </w:rPr>
        <w:t xml:space="preserve"> </w:t>
      </w:r>
      <w:r w:rsidRPr="00715C00">
        <w:rPr>
          <w:sz w:val="24"/>
          <w:lang w:val="el-GR"/>
        </w:rPr>
        <w:t>ΓΤΟ</w:t>
      </w:r>
      <w:r w:rsidRPr="00285115">
        <w:rPr>
          <w:sz w:val="24"/>
          <w:lang w:val="en-GB"/>
        </w:rPr>
        <w:t xml:space="preserve">), Frontiers in Environmental Science 2015, 3:71, </w:t>
      </w:r>
      <w:r w:rsidR="00CB5A36">
        <w:fldChar w:fldCharType="begin"/>
      </w:r>
      <w:proofErr w:type="gramEnd"/>
      <w:r w:rsidR="00CB5A36" w:rsidRPr="00CB5A36">
        <w:rPr>
          <w:lang w:val="en-GB"/>
        </w:rPr>
        <w:instrText xml:space="preserve"> HYPERLINK "https://doi.org/10.3389/fenvs.2015.00071" </w:instrText>
      </w:r>
      <w:proofErr w:type="gramStart"/>
      <w:r w:rsidR="00CB5A36">
        <w:fldChar w:fldCharType="separate"/>
      </w:r>
      <w:r w:rsidRPr="00285115">
        <w:rPr>
          <w:rStyle w:val="Hyperlink"/>
          <w:sz w:val="24"/>
          <w:lang w:val="en-GB"/>
        </w:rPr>
        <w:t>https://doi.org/10.3389/fenvs.2015.00071</w:t>
      </w:r>
      <w:r w:rsidR="00CB5A36">
        <w:rPr>
          <w:rStyle w:val="Hyperlink"/>
          <w:sz w:val="24"/>
          <w:lang w:val="en-GB"/>
        </w:rPr>
        <w:fldChar w:fldCharType="end"/>
      </w:r>
      <w:r w:rsidRPr="00285115">
        <w:rPr>
          <w:sz w:val="24"/>
          <w:lang w:val="en-GB"/>
        </w:rPr>
        <w:t>.</w:t>
      </w:r>
      <w:proofErr w:type="gramEnd"/>
    </w:p>
  </w:footnote>
  <w:footnote w:id="10">
    <w:p w:rsidR="00BC76D5" w:rsidRPr="00285115" w:rsidRDefault="00BC76D5" w:rsidP="00715C00">
      <w:pPr>
        <w:pStyle w:val="FootnoteText"/>
        <w:ind w:left="567" w:hanging="567"/>
        <w:rPr>
          <w:sz w:val="24"/>
          <w:lang w:val="en-GB"/>
        </w:rPr>
      </w:pPr>
      <w:r w:rsidRPr="00715C00">
        <w:rPr>
          <w:rStyle w:val="FootnoteReference"/>
          <w:sz w:val="24"/>
          <w:lang w:val="el-GR"/>
        </w:rPr>
        <w:footnoteRef/>
      </w:r>
      <w:r w:rsidR="00715C00" w:rsidRPr="00285115">
        <w:rPr>
          <w:sz w:val="24"/>
          <w:lang w:val="en-GB"/>
        </w:rPr>
        <w:t xml:space="preserve"> </w:t>
      </w:r>
      <w:r w:rsidR="00715C00" w:rsidRPr="00285115">
        <w:rPr>
          <w:sz w:val="24"/>
          <w:lang w:val="en-GB"/>
        </w:rPr>
        <w:tab/>
      </w:r>
      <w:r w:rsidR="00CB5A36">
        <w:fldChar w:fldCharType="begin"/>
      </w:r>
      <w:r w:rsidR="00CB5A36" w:rsidRPr="00CB5A36">
        <w:rPr>
          <w:lang w:val="en-GB"/>
        </w:rPr>
        <w:instrText xml:space="preserve"> HYPERLINK "https://efsa.onlinelibrary.wiley.com/action/downloadSupplement?doi=10.2903/j.efsa.2024.8489&amp;file=efs28489-sup-0008-Annex_8.pdf" </w:instrText>
      </w:r>
      <w:r w:rsidR="00CB5A36">
        <w:fldChar w:fldCharType="separate"/>
      </w:r>
      <w:r w:rsidRPr="00285115">
        <w:rPr>
          <w:rStyle w:val="Hyperlink"/>
          <w:sz w:val="24"/>
          <w:lang w:val="en-GB"/>
        </w:rPr>
        <w:t>https://efsa.onlinelibrary.wiley.com/action/downloadSupplement?doi=10.2903%‌2Fj.efsa.2024.8489&amp;file=efs28489-sup-0008-Annex_8.pdf</w:t>
      </w:r>
      <w:r w:rsidR="00CB5A36">
        <w:rPr>
          <w:rStyle w:val="Hyperlink"/>
          <w:sz w:val="24"/>
          <w:lang w:val="en-GB"/>
        </w:rPr>
        <w:fldChar w:fldCharType="end"/>
      </w:r>
      <w:r w:rsidRPr="00285115">
        <w:rPr>
          <w:rStyle w:val="Hyperlink"/>
          <w:sz w:val="24"/>
          <w:lang w:val="en-GB"/>
        </w:rPr>
        <w:t>.</w:t>
      </w:r>
    </w:p>
  </w:footnote>
  <w:footnote w:id="11">
    <w:p w:rsidR="00BC76D5" w:rsidRPr="00285115" w:rsidRDefault="00BC76D5" w:rsidP="00715C00">
      <w:pPr>
        <w:pStyle w:val="FootnoteText"/>
        <w:ind w:left="567" w:hanging="567"/>
        <w:rPr>
          <w:sz w:val="24"/>
          <w:lang w:val="en-GB"/>
        </w:rPr>
      </w:pPr>
      <w:r w:rsidRPr="00715C00">
        <w:rPr>
          <w:rStyle w:val="FootnoteReference"/>
          <w:sz w:val="24"/>
          <w:lang w:val="el-GR"/>
        </w:rPr>
        <w:footnoteRef/>
      </w:r>
      <w:r w:rsidR="00715C00" w:rsidRPr="00285115">
        <w:rPr>
          <w:sz w:val="24"/>
          <w:lang w:val="en-GB"/>
        </w:rPr>
        <w:t xml:space="preserve"> </w:t>
      </w:r>
      <w:r w:rsidR="00715C00" w:rsidRPr="00285115">
        <w:rPr>
          <w:sz w:val="24"/>
          <w:lang w:val="en-GB"/>
        </w:rPr>
        <w:tab/>
      </w:r>
      <w:r w:rsidR="00CB5A36">
        <w:fldChar w:fldCharType="begin"/>
      </w:r>
      <w:r w:rsidR="00CB5A36" w:rsidRPr="00CB5A36">
        <w:rPr>
          <w:lang w:val="en-GB"/>
        </w:rPr>
        <w:instrText xml:space="preserve"> HYPERLINK "https://commission.europa.eu/document/2c64e540-c07a-4376-a1da-368d289f4afe_en" </w:instrText>
      </w:r>
      <w:r w:rsidR="00CB5A36">
        <w:fldChar w:fldCharType="separate"/>
      </w:r>
      <w:r w:rsidRPr="00285115">
        <w:rPr>
          <w:rStyle w:val="Hyperlink"/>
          <w:sz w:val="24"/>
          <w:lang w:val="en-GB"/>
        </w:rPr>
        <w:t>https://commission.europa.eu/document/2c64e540-c07a-4376-a1da-368d289f4afe_en</w:t>
      </w:r>
      <w:r w:rsidR="00CB5A36">
        <w:rPr>
          <w:rStyle w:val="Hyperlink"/>
          <w:sz w:val="24"/>
          <w:lang w:val="en-GB"/>
        </w:rPr>
        <w:fldChar w:fldCharType="end"/>
      </w:r>
      <w:r w:rsidR="005B618F" w:rsidRPr="00285115">
        <w:rPr>
          <w:rStyle w:val="Hyperlink"/>
          <w:sz w:val="24"/>
          <w:lang w:val="en-GB"/>
        </w:rPr>
        <w:t>.</w:t>
      </w:r>
    </w:p>
  </w:footnote>
  <w:footnote w:id="12">
    <w:p w:rsidR="00BC76D5" w:rsidRPr="00715C00" w:rsidRDefault="00BC76D5" w:rsidP="00715C00">
      <w:pPr>
        <w:pStyle w:val="FootnoteText"/>
        <w:ind w:left="567" w:hanging="567"/>
        <w:rPr>
          <w:sz w:val="24"/>
          <w:lang w:val="el-GR"/>
        </w:rPr>
      </w:pPr>
      <w:r w:rsidRPr="00715C00">
        <w:rPr>
          <w:rStyle w:val="FootnoteReference"/>
          <w:sz w:val="24"/>
          <w:lang w:val="el-GR"/>
        </w:rPr>
        <w:footnoteRef/>
      </w:r>
      <w:r w:rsidR="00715C00" w:rsidRPr="00715C00">
        <w:rPr>
          <w:sz w:val="24"/>
          <w:lang w:val="el-GR"/>
        </w:rPr>
        <w:t xml:space="preserve"> </w:t>
      </w:r>
      <w:r w:rsidR="00715C00" w:rsidRPr="00715C00">
        <w:rPr>
          <w:sz w:val="24"/>
          <w:lang w:val="el-GR"/>
        </w:rPr>
        <w:tab/>
      </w:r>
      <w:r w:rsidRPr="00715C00">
        <w:rPr>
          <w:sz w:val="24"/>
          <w:lang w:val="el-GR"/>
        </w:rPr>
        <w:t>Σύμφωνα με το άρθρο 6 παράγραφος 3 του κανονισμού (ΕΕ) αριθ. 182/2011, εάν στην επιτροπή προσφυγών δεν υπάρχει ειδική πλειοψηφία κρατών μελών υπέρ της έγκρισης, η Επιτροπή «μπορεί» να προχωρήσει στην έγκριση, χωρίς όμως να είναι υποχρεωμένη να το πράξει.</w:t>
      </w:r>
    </w:p>
  </w:footnote>
  <w:footnote w:id="13">
    <w:p w:rsidR="00BC76D5" w:rsidRPr="00715C00" w:rsidRDefault="00BC76D5" w:rsidP="00715C00">
      <w:pPr>
        <w:pStyle w:val="FootnoteText"/>
        <w:ind w:left="567" w:hanging="567"/>
        <w:rPr>
          <w:sz w:val="24"/>
          <w:lang w:val="el-GR"/>
        </w:rPr>
      </w:pPr>
      <w:r w:rsidRPr="00715C00">
        <w:rPr>
          <w:rStyle w:val="FootnoteReference"/>
          <w:sz w:val="24"/>
          <w:lang w:val="el-GR"/>
        </w:rPr>
        <w:footnoteRef/>
      </w:r>
      <w:r w:rsidR="00715C00" w:rsidRPr="00715C00">
        <w:rPr>
          <w:sz w:val="24"/>
          <w:lang w:val="el-GR"/>
        </w:rPr>
        <w:t xml:space="preserve"> </w:t>
      </w:r>
      <w:r w:rsidR="00715C00" w:rsidRPr="00715C00">
        <w:rPr>
          <w:sz w:val="24"/>
          <w:lang w:val="el-GR"/>
        </w:rPr>
        <w:tab/>
      </w:r>
      <w:r w:rsidRPr="00715C00">
        <w:rPr>
          <w:sz w:val="24"/>
          <w:lang w:val="el-GR"/>
        </w:rPr>
        <w:t xml:space="preserve">Κανονισμός (ΕΚ) αριθ. 178/2002 του Ευρωπαϊκού Κοινοβουλίου και του Συμβουλίου, της 28ης Ιανουαρίου 2002, για τον καθορισμό των γενικών αρχών και απαιτήσεων της νομοθεσίας για τα τρόφιμα, για την ίδρυση της Ευρωπαϊκής Αρχής για την Ασφάλεια των Τροφίμων και τον καθορισμό διαδικασιών σε θέματα ασφαλείας των τροφίμων (ΕΕ L 31 της 1.2.2002, σ. 1, ELI: </w:t>
      </w:r>
      <w:r w:rsidR="00CB5A36">
        <w:fldChar w:fldCharType="begin"/>
      </w:r>
      <w:r w:rsidR="00CB5A36" w:rsidRPr="00CB5A36">
        <w:rPr>
          <w:lang w:val="el-GR"/>
        </w:rPr>
        <w:instrText xml:space="preserve"> </w:instrText>
      </w:r>
      <w:r w:rsidR="00CB5A36">
        <w:instrText>HYPERLINK</w:instrText>
      </w:r>
      <w:r w:rsidR="00CB5A36" w:rsidRPr="00CB5A36">
        <w:rPr>
          <w:lang w:val="el-GR"/>
        </w:rPr>
        <w:instrText xml:space="preserve"> "</w:instrText>
      </w:r>
      <w:r w:rsidR="00CB5A36">
        <w:instrText>http</w:instrText>
      </w:r>
      <w:r w:rsidR="00CB5A36" w:rsidRPr="00CB5A36">
        <w:rPr>
          <w:lang w:val="el-GR"/>
        </w:rPr>
        <w:instrText>://</w:instrText>
      </w:r>
      <w:r w:rsidR="00CB5A36">
        <w:instrText>data</w:instrText>
      </w:r>
      <w:r w:rsidR="00CB5A36" w:rsidRPr="00CB5A36">
        <w:rPr>
          <w:lang w:val="el-GR"/>
        </w:rPr>
        <w:instrText>.</w:instrText>
      </w:r>
      <w:r w:rsidR="00CB5A36">
        <w:instrText>europa</w:instrText>
      </w:r>
      <w:r w:rsidR="00CB5A36" w:rsidRPr="00CB5A36">
        <w:rPr>
          <w:lang w:val="el-GR"/>
        </w:rPr>
        <w:instrText>.</w:instrText>
      </w:r>
      <w:r w:rsidR="00CB5A36">
        <w:instrText>eu</w:instrText>
      </w:r>
      <w:r w:rsidR="00CB5A36" w:rsidRPr="00CB5A36">
        <w:rPr>
          <w:lang w:val="el-GR"/>
        </w:rPr>
        <w:instrText>/</w:instrText>
      </w:r>
      <w:r w:rsidR="00CB5A36">
        <w:instrText>eli</w:instrText>
      </w:r>
      <w:r w:rsidR="00CB5A36" w:rsidRPr="00CB5A36">
        <w:rPr>
          <w:lang w:val="el-GR"/>
        </w:rPr>
        <w:instrText>/</w:instrText>
      </w:r>
      <w:r w:rsidR="00CB5A36">
        <w:instrText>reg</w:instrText>
      </w:r>
      <w:r w:rsidR="00CB5A36" w:rsidRPr="00CB5A36">
        <w:rPr>
          <w:lang w:val="el-GR"/>
        </w:rPr>
        <w:instrText>/2002/178/</w:instrText>
      </w:r>
      <w:r w:rsidR="00CB5A36">
        <w:instrText>oj</w:instrText>
      </w:r>
      <w:r w:rsidR="00CB5A36" w:rsidRPr="00CB5A36">
        <w:rPr>
          <w:lang w:val="el-GR"/>
        </w:rPr>
        <w:instrText>" \</w:instrText>
      </w:r>
      <w:r w:rsidR="00CB5A36">
        <w:instrText>o</w:instrText>
      </w:r>
      <w:r w:rsidR="00CB5A36" w:rsidRPr="00CB5A36">
        <w:rPr>
          <w:lang w:val="el-GR"/>
        </w:rPr>
        <w:instrText xml:space="preserve"> "Επιτρέπει πρόσβαση στο έγγραφο μέσω του </w:instrText>
      </w:r>
      <w:r w:rsidR="00CB5A36">
        <w:instrText>ELI</w:instrText>
      </w:r>
      <w:r w:rsidR="00CB5A36" w:rsidRPr="00CB5A36">
        <w:rPr>
          <w:lang w:val="el-GR"/>
        </w:rPr>
        <w:instrText xml:space="preserve"> </w:instrText>
      </w:r>
      <w:r w:rsidR="00CB5A36">
        <w:instrText>URI</w:instrText>
      </w:r>
      <w:r w:rsidR="00CB5A36" w:rsidRPr="00CB5A36">
        <w:rPr>
          <w:lang w:val="el-GR"/>
        </w:rPr>
        <w:instrText xml:space="preserve">." </w:instrText>
      </w:r>
      <w:r w:rsidR="00CB5A36">
        <w:fldChar w:fldCharType="separate"/>
      </w:r>
      <w:r w:rsidRPr="00715C00">
        <w:rPr>
          <w:rStyle w:val="Hyperlink"/>
          <w:color w:val="337AB7"/>
          <w:sz w:val="24"/>
          <w:shd w:val="clear" w:color="auto" w:fill="FFFFFF"/>
          <w:lang w:val="el-GR"/>
        </w:rPr>
        <w:t>http://data.europa.eu/eli/reg/2002/178/oj</w:t>
      </w:r>
      <w:r w:rsidR="00CB5A36">
        <w:rPr>
          <w:rStyle w:val="Hyperlink"/>
          <w:color w:val="337AB7"/>
          <w:sz w:val="24"/>
          <w:shd w:val="clear" w:color="auto" w:fill="FFFFFF"/>
          <w:lang w:val="el-GR"/>
        </w:rPr>
        <w:fldChar w:fldCharType="end"/>
      </w:r>
      <w:r w:rsidRPr="00715C00">
        <w:rPr>
          <w:sz w:val="24"/>
          <w:lang w:val="el-GR"/>
        </w:rPr>
        <w:t>).</w:t>
      </w:r>
    </w:p>
  </w:footnote>
  <w:footnote w:id="14">
    <w:p w:rsidR="00BC76D5" w:rsidRPr="00715C00" w:rsidRDefault="00BC76D5" w:rsidP="00715C00">
      <w:pPr>
        <w:pStyle w:val="FootnoteText"/>
        <w:ind w:left="567" w:hanging="567"/>
        <w:rPr>
          <w:sz w:val="24"/>
          <w:lang w:val="el-GR"/>
        </w:rPr>
      </w:pPr>
      <w:r w:rsidRPr="00715C00">
        <w:rPr>
          <w:rStyle w:val="FootnoteReference"/>
          <w:sz w:val="24"/>
          <w:lang w:val="el-GR"/>
        </w:rPr>
        <w:footnoteRef/>
      </w:r>
      <w:r w:rsidR="00715C00" w:rsidRPr="00715C00">
        <w:rPr>
          <w:sz w:val="24"/>
          <w:lang w:val="el-GR"/>
        </w:rPr>
        <w:t xml:space="preserve"> </w:t>
      </w:r>
      <w:r w:rsidR="00715C00" w:rsidRPr="00715C00">
        <w:rPr>
          <w:sz w:val="24"/>
          <w:lang w:val="el-GR"/>
        </w:rPr>
        <w:tab/>
      </w:r>
      <w:r w:rsidR="00CB5A36">
        <w:fldChar w:fldCharType="begin"/>
      </w:r>
      <w:r w:rsidR="00CB5A36" w:rsidRPr="00CB5A36">
        <w:rPr>
          <w:lang w:val="el-GR"/>
        </w:rPr>
        <w:instrText xml:space="preserve"> </w:instrText>
      </w:r>
      <w:r w:rsidR="00CB5A36">
        <w:instrText>HYPERLINK</w:instrText>
      </w:r>
      <w:r w:rsidR="00CB5A36" w:rsidRPr="00CB5A36">
        <w:rPr>
          <w:lang w:val="el-GR"/>
        </w:rPr>
        <w:instrText xml:space="preserve"> "</w:instrText>
      </w:r>
      <w:r w:rsidR="00CB5A36">
        <w:instrText>https</w:instrText>
      </w:r>
      <w:r w:rsidR="00CB5A36" w:rsidRPr="00CB5A36">
        <w:rPr>
          <w:lang w:val="el-GR"/>
        </w:rPr>
        <w:instrText>://</w:instrText>
      </w:r>
      <w:r w:rsidR="00CB5A36">
        <w:instrText>tillymetz</w:instrText>
      </w:r>
      <w:r w:rsidR="00CB5A36" w:rsidRPr="00CB5A36">
        <w:rPr>
          <w:lang w:val="el-GR"/>
        </w:rPr>
        <w:instrText>.</w:instrText>
      </w:r>
      <w:r w:rsidR="00CB5A36">
        <w:instrText>lu</w:instrText>
      </w:r>
      <w:r w:rsidR="00CB5A36" w:rsidRPr="00CB5A36">
        <w:rPr>
          <w:lang w:val="el-GR"/>
        </w:rPr>
        <w:instrText>/</w:instrText>
      </w:r>
      <w:r w:rsidR="00CB5A36">
        <w:instrText>wp</w:instrText>
      </w:r>
      <w:r w:rsidR="00CB5A36" w:rsidRPr="00CB5A36">
        <w:rPr>
          <w:lang w:val="el-GR"/>
        </w:rPr>
        <w:instrText>-</w:instrText>
      </w:r>
      <w:r w:rsidR="00CB5A36">
        <w:instrText>content</w:instrText>
      </w:r>
      <w:r w:rsidR="00CB5A36" w:rsidRPr="00CB5A36">
        <w:rPr>
          <w:lang w:val="el-GR"/>
        </w:rPr>
        <w:instrText>/</w:instrText>
      </w:r>
      <w:r w:rsidR="00CB5A36">
        <w:instrText>uploads</w:instrText>
      </w:r>
      <w:r w:rsidR="00CB5A36" w:rsidRPr="00CB5A36">
        <w:rPr>
          <w:lang w:val="el-GR"/>
        </w:rPr>
        <w:instrText>/2020/09/</w:instrText>
      </w:r>
      <w:r w:rsidR="00CB5A36">
        <w:instrText>Co</w:instrText>
      </w:r>
      <w:r w:rsidR="00CB5A36" w:rsidRPr="00CB5A36">
        <w:rPr>
          <w:lang w:val="el-GR"/>
        </w:rPr>
        <w:instrText>-</w:instrText>
      </w:r>
      <w:r w:rsidR="00CB5A36">
        <w:instrText>signed</w:instrText>
      </w:r>
      <w:r w:rsidR="00CB5A36" w:rsidRPr="00CB5A36">
        <w:rPr>
          <w:lang w:val="el-GR"/>
        </w:rPr>
        <w:instrText>-</w:instrText>
      </w:r>
      <w:r w:rsidR="00CB5A36">
        <w:instrText>letter</w:instrText>
      </w:r>
      <w:r w:rsidR="00CB5A36" w:rsidRPr="00CB5A36">
        <w:rPr>
          <w:lang w:val="el-GR"/>
        </w:rPr>
        <w:instrText>-</w:instrText>
      </w:r>
      <w:r w:rsidR="00CB5A36">
        <w:instrText>MEP</w:instrText>
      </w:r>
      <w:r w:rsidR="00CB5A36" w:rsidRPr="00CB5A36">
        <w:rPr>
          <w:lang w:val="el-GR"/>
        </w:rPr>
        <w:instrText>-</w:instrText>
      </w:r>
      <w:r w:rsidR="00CB5A36">
        <w:instrText>Metz</w:instrText>
      </w:r>
      <w:r w:rsidR="00CB5A36" w:rsidRPr="00CB5A36">
        <w:rPr>
          <w:lang w:val="el-GR"/>
        </w:rPr>
        <w:instrText>.</w:instrText>
      </w:r>
      <w:r w:rsidR="00CB5A36">
        <w:instrText>pdf</w:instrText>
      </w:r>
      <w:r w:rsidR="00CB5A36" w:rsidRPr="00CB5A36">
        <w:rPr>
          <w:lang w:val="el-GR"/>
        </w:rPr>
        <w:instrText xml:space="preserve">" </w:instrText>
      </w:r>
      <w:r w:rsidR="00CB5A36">
        <w:fldChar w:fldCharType="separate"/>
      </w:r>
      <w:r w:rsidRPr="00715C00">
        <w:rPr>
          <w:rStyle w:val="Hyperlink"/>
          <w:sz w:val="24"/>
          <w:lang w:val="el-GR"/>
        </w:rPr>
        <w:t>https://tillymetz.lu/wp-content/uploads/2020/09/Co-signed-letter-MEP-Metz.pdf</w:t>
      </w:r>
      <w:r w:rsidR="00CB5A36">
        <w:rPr>
          <w:rStyle w:val="Hyperlink"/>
          <w:sz w:val="24"/>
          <w:lang w:val="el-GR"/>
        </w:rPr>
        <w:fldChar w:fldCharType="end"/>
      </w:r>
      <w:r w:rsidRPr="00715C00">
        <w:rPr>
          <w:rStyle w:val="Hyperlink"/>
          <w:sz w:val="24"/>
          <w:lang w:val="el-GR"/>
        </w:rPr>
        <w:t>.</w:t>
      </w:r>
    </w:p>
  </w:footnote>
  <w:footnote w:id="15">
    <w:p w:rsidR="00BC76D5" w:rsidRPr="00715C00" w:rsidRDefault="00BC76D5" w:rsidP="00715C00">
      <w:pPr>
        <w:pStyle w:val="FootnoteText"/>
        <w:ind w:left="567" w:hanging="567"/>
        <w:rPr>
          <w:sz w:val="24"/>
          <w:lang w:val="el-GR"/>
        </w:rPr>
      </w:pPr>
      <w:r w:rsidRPr="00715C00">
        <w:rPr>
          <w:rStyle w:val="FootnoteReference"/>
          <w:sz w:val="24"/>
          <w:lang w:val="el-GR"/>
        </w:rPr>
        <w:footnoteRef/>
      </w:r>
      <w:r w:rsidR="00715C00" w:rsidRPr="00715C00">
        <w:rPr>
          <w:sz w:val="24"/>
          <w:lang w:val="el-GR"/>
        </w:rPr>
        <w:t xml:space="preserve"> </w:t>
      </w:r>
      <w:r w:rsidR="00715C00" w:rsidRPr="00715C00">
        <w:rPr>
          <w:sz w:val="24"/>
          <w:lang w:val="el-GR"/>
        </w:rPr>
        <w:tab/>
      </w:r>
      <w:r w:rsidRPr="00715C00">
        <w:rPr>
          <w:sz w:val="24"/>
          <w:lang w:val="el-GR"/>
        </w:rPr>
        <w:t>Ψήφισμα του Ευρωπαϊκού Κοινοβουλίου της 15ης Ιανουαρίου 2020 σχετικά με την Ευρωπαϊκή Πράσινη Συμφωνία (ΕΕ C 270 της 7.7.2021, σ. 2), παράγραφος 102.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4F943C1"/>
    <w:multiLevelType w:val="hybridMultilevel"/>
    <w:tmpl w:val="91F27862"/>
    <w:lvl w:ilvl="0" w:tplc="2E306F70">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0A90849"/>
    <w:multiLevelType w:val="hybridMultilevel"/>
    <w:tmpl w:val="FCDAE9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2"/>
  </w:num>
  <w:num w:numId="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6/2024"/>
    <w:docVar w:name="dvlangue" w:val="EL"/>
    <w:docVar w:name="dvnumam" w:val="0"/>
    <w:docVar w:name="dvpe" w:val="763.280"/>
    <w:docVar w:name="dvtitre" w:val="Ψήφισμα του Ευρωπαϊκού Κοινοβουλίου σχετικά με την εκτελεστική απόφαση (ΕΕ) 2024/1828 της Επιτροπής για την ανανέωση της έγκρισης της διάθεσης στην αγορά ζωοτροφών που περιέχουν γενετικώς τροποποιημένο αραβόσιτο MON 810 ή αποτελούνται από αυτόν και τροφίμων και ζωοτροφών που παράγονται από γενετικώς τροποποιημένο αραβόσιτο MON 810, σύμφωνα με τον κανονισμό (ΕΚ) αριθ. 1829/2003 του Ευρωπαϊκού Κοινοβουλίου και του Συμβουλίου, και για την κατάργηση της εκτελεστικής απόφασης (ΕΕ) 2017/1207 της Επιτροπής(2024/2840(RSP))"/>
  </w:docVars>
  <w:rsids>
    <w:rsidRoot w:val="000D4142"/>
    <w:rsid w:val="00002272"/>
    <w:rsid w:val="00064002"/>
    <w:rsid w:val="000677B9"/>
    <w:rsid w:val="000831BA"/>
    <w:rsid w:val="000A42CC"/>
    <w:rsid w:val="000D4142"/>
    <w:rsid w:val="000E7DD9"/>
    <w:rsid w:val="0010095E"/>
    <w:rsid w:val="00125B37"/>
    <w:rsid w:val="00187494"/>
    <w:rsid w:val="001F32AE"/>
    <w:rsid w:val="002767FF"/>
    <w:rsid w:val="00285115"/>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618F"/>
    <w:rsid w:val="005C2568"/>
    <w:rsid w:val="005F1B17"/>
    <w:rsid w:val="006037C0"/>
    <w:rsid w:val="006631B6"/>
    <w:rsid w:val="00680577"/>
    <w:rsid w:val="006F74FA"/>
    <w:rsid w:val="00715C00"/>
    <w:rsid w:val="00731ADD"/>
    <w:rsid w:val="00734777"/>
    <w:rsid w:val="00747932"/>
    <w:rsid w:val="00751A4A"/>
    <w:rsid w:val="00756632"/>
    <w:rsid w:val="00762C74"/>
    <w:rsid w:val="00786EC0"/>
    <w:rsid w:val="007D1690"/>
    <w:rsid w:val="007D494E"/>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22CB0"/>
    <w:rsid w:val="00B558F0"/>
    <w:rsid w:val="00BC76D5"/>
    <w:rsid w:val="00BD48FE"/>
    <w:rsid w:val="00BD7BD8"/>
    <w:rsid w:val="00BE6ADC"/>
    <w:rsid w:val="00C05BFE"/>
    <w:rsid w:val="00C23CD4"/>
    <w:rsid w:val="00C61C0C"/>
    <w:rsid w:val="00C941CB"/>
    <w:rsid w:val="00CB5A36"/>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0C2C"/>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1033D2D-9ADC-4CBB-B6BC-F62C1FAE3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C76D5"/>
    <w:pPr>
      <w:spacing w:before="480" w:after="240"/>
    </w:pPr>
  </w:style>
  <w:style w:type="paragraph" w:customStyle="1" w:styleId="NormalBold12a">
    <w:name w:val="NormalBold12a"/>
    <w:basedOn w:val="Normal"/>
    <w:rsid w:val="00BC76D5"/>
    <w:pPr>
      <w:spacing w:after="240"/>
    </w:pPr>
    <w:rPr>
      <w:b/>
    </w:rPr>
  </w:style>
  <w:style w:type="paragraph" w:customStyle="1" w:styleId="NormalHanging12a">
    <w:name w:val="NormalHanging12a"/>
    <w:basedOn w:val="Normal"/>
    <w:rsid w:val="00BC76D5"/>
    <w:pPr>
      <w:spacing w:after="240"/>
      <w:ind w:left="567" w:hanging="567"/>
    </w:pPr>
  </w:style>
  <w:style w:type="character" w:styleId="Hyperlink">
    <w:name w:val="Hyperlink"/>
    <w:basedOn w:val="DefaultParagraphFont"/>
    <w:uiPriority w:val="99"/>
    <w:rsid w:val="00BC76D5"/>
    <w:rPr>
      <w:color w:val="0563C1" w:themeColor="hyperlink"/>
      <w:u w:val="single"/>
    </w:rPr>
  </w:style>
  <w:style w:type="paragraph" w:styleId="Header">
    <w:name w:val="header"/>
    <w:basedOn w:val="Normal"/>
    <w:link w:val="HeaderChar"/>
    <w:rsid w:val="007D494E"/>
    <w:pPr>
      <w:tabs>
        <w:tab w:val="center" w:pos="4513"/>
        <w:tab w:val="right" w:pos="9026"/>
      </w:tabs>
    </w:pPr>
  </w:style>
  <w:style w:type="character" w:customStyle="1" w:styleId="HeaderChar">
    <w:name w:val="Header Char"/>
    <w:basedOn w:val="DefaultParagraphFont"/>
    <w:link w:val="Header"/>
    <w:rsid w:val="007D494E"/>
    <w:rPr>
      <w:sz w:val="24"/>
      <w:lang w:val="el-GR"/>
    </w:rPr>
  </w:style>
  <w:style w:type="paragraph" w:styleId="BalloonText">
    <w:name w:val="Balloon Text"/>
    <w:basedOn w:val="Normal"/>
    <w:link w:val="BalloonTextChar"/>
    <w:rsid w:val="005B618F"/>
    <w:rPr>
      <w:rFonts w:ascii="Segoe UI" w:hAnsi="Segoe UI" w:cs="Segoe UI"/>
      <w:sz w:val="18"/>
      <w:szCs w:val="18"/>
    </w:rPr>
  </w:style>
  <w:style w:type="character" w:customStyle="1" w:styleId="BalloonTextChar">
    <w:name w:val="Balloon Text Char"/>
    <w:basedOn w:val="DefaultParagraphFont"/>
    <w:link w:val="BalloonText"/>
    <w:rsid w:val="005B618F"/>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D795D6-34E4-4EBA-8E0C-BB22622DDA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1507</Words>
  <Characters>8712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STEFOS Stefanos</cp:lastModifiedBy>
  <cp:revision>2</cp:revision>
  <cp:lastPrinted>2004-11-19T15:42:00Z</cp:lastPrinted>
  <dcterms:created xsi:type="dcterms:W3CDTF">2024-12-20T11:13:00Z</dcterms:created>
  <dcterms:modified xsi:type="dcterms:W3CDTF">2024-12-20T11:13:00Z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B10-0146/2024</vt:lpwstr>
  </property>
  <property fmtid="{D5CDD505-2E9C-101B-9397-08002B2CF9AE}" pid="4" name="&lt;Type&gt;">
    <vt:lpwstr>RR</vt:lpwstr>
  </property>
</Properties>
</file>