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014" w:rsidTr="0010095E">
        <w:trPr>
          <w:trHeight w:hRule="exact" w:val="1418"/>
        </w:trPr>
        <w:tc>
          <w:tcPr>
            <w:tcW w:w="6804" w:type="dxa"/>
            <w:shd w:val="clear" w:color="auto" w:fill="auto"/>
            <w:vAlign w:val="center"/>
          </w:tcPr>
          <w:p w:rsidR="00751A4A" w:rsidRPr="00902014" w:rsidRDefault="00FE7660" w:rsidP="0010095E">
            <w:pPr>
              <w:pStyle w:val="EPName"/>
            </w:pPr>
            <w:r w:rsidRPr="00902014">
              <w:t>Europski parlament</w:t>
            </w:r>
          </w:p>
          <w:p w:rsidR="00751A4A" w:rsidRPr="00902014" w:rsidRDefault="005F1B17" w:rsidP="005F1B17">
            <w:pPr>
              <w:pStyle w:val="EPTerm"/>
              <w:rPr>
                <w:rStyle w:val="HideTWBExt"/>
                <w:noProof w:val="0"/>
                <w:vanish w:val="0"/>
                <w:color w:val="auto"/>
              </w:rPr>
            </w:pPr>
            <w:r w:rsidRPr="00902014">
              <w:t>2024</w:t>
            </w:r>
            <w:r w:rsidR="00817416" w:rsidRPr="00902014">
              <w:t>-202</w:t>
            </w:r>
            <w:r w:rsidRPr="00902014">
              <w:t>9</w:t>
            </w:r>
          </w:p>
        </w:tc>
        <w:tc>
          <w:tcPr>
            <w:tcW w:w="2268" w:type="dxa"/>
            <w:shd w:val="clear" w:color="auto" w:fill="auto"/>
          </w:tcPr>
          <w:p w:rsidR="00751A4A" w:rsidRPr="00902014" w:rsidRDefault="00187494" w:rsidP="0010095E">
            <w:pPr>
              <w:pStyle w:val="EPLogo"/>
            </w:pPr>
            <w:r w:rsidRPr="009020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2014" w:rsidRDefault="00D058B8" w:rsidP="004C5D52">
      <w:pPr>
        <w:pStyle w:val="LineTop"/>
      </w:pPr>
    </w:p>
    <w:p w:rsidR="00680577" w:rsidRPr="00902014" w:rsidRDefault="00FE7660" w:rsidP="00680577">
      <w:pPr>
        <w:pStyle w:val="EPBodyTA1"/>
      </w:pPr>
      <w:r w:rsidRPr="00902014">
        <w:t>USVOJENI TEKSTOVI</w:t>
      </w:r>
    </w:p>
    <w:p w:rsidR="00D058B8" w:rsidRPr="00902014" w:rsidRDefault="00D058B8" w:rsidP="00D058B8">
      <w:pPr>
        <w:pStyle w:val="LineBottom"/>
      </w:pPr>
    </w:p>
    <w:p w:rsidR="00FE7660" w:rsidRPr="00902014" w:rsidRDefault="00FE7660" w:rsidP="00FE7660">
      <w:pPr>
        <w:pStyle w:val="ATHeading1"/>
      </w:pPr>
      <w:bookmarkStart w:id="0" w:name="TANumber"/>
      <w:r w:rsidRPr="00902014">
        <w:t>P10_TA(2024)00</w:t>
      </w:r>
      <w:r w:rsidR="001A25B7">
        <w:t>41</w:t>
      </w:r>
      <w:bookmarkEnd w:id="0"/>
    </w:p>
    <w:p w:rsidR="00FE7660" w:rsidRPr="00902014" w:rsidRDefault="00FE7660" w:rsidP="00FE7660">
      <w:pPr>
        <w:pStyle w:val="ATHeading2"/>
      </w:pPr>
      <w:bookmarkStart w:id="1" w:name="title"/>
      <w:r w:rsidRPr="00902014">
        <w:t>Genetski modificirani kukuruz MON 810</w:t>
      </w:r>
      <w:bookmarkEnd w:id="1"/>
    </w:p>
    <w:p w:rsidR="00FE7660" w:rsidRPr="00902014" w:rsidRDefault="00FE7660" w:rsidP="00FE7660">
      <w:pPr>
        <w:rPr>
          <w:i/>
          <w:vanish/>
        </w:rPr>
      </w:pPr>
      <w:r w:rsidRPr="00902014">
        <w:rPr>
          <w:i/>
        </w:rPr>
        <w:fldChar w:fldCharType="begin"/>
      </w:r>
      <w:r w:rsidRPr="00902014">
        <w:rPr>
          <w:i/>
        </w:rPr>
        <w:instrText xml:space="preserve"> TC"(</w:instrText>
      </w:r>
      <w:bookmarkStart w:id="2" w:name="DocNumber"/>
      <w:r w:rsidRPr="00902014">
        <w:rPr>
          <w:i/>
        </w:rPr>
        <w:instrText>B10-0146/2024</w:instrText>
      </w:r>
      <w:bookmarkEnd w:id="2"/>
      <w:r w:rsidRPr="00902014">
        <w:rPr>
          <w:i/>
        </w:rPr>
        <w:instrText xml:space="preserve">)"\l3 \n&gt; \* MERGEFORMAT </w:instrText>
      </w:r>
      <w:r w:rsidRPr="00902014">
        <w:rPr>
          <w:i/>
        </w:rPr>
        <w:fldChar w:fldCharType="end"/>
      </w:r>
    </w:p>
    <w:p w:rsidR="00FE7660" w:rsidRPr="00902014" w:rsidRDefault="00FE7660" w:rsidP="00FE7660">
      <w:pPr>
        <w:rPr>
          <w:vanish/>
        </w:rPr>
      </w:pPr>
      <w:bookmarkStart w:id="3" w:name="PE"/>
      <w:r w:rsidRPr="00902014">
        <w:rPr>
          <w:vanish/>
        </w:rPr>
        <w:t>PE763.280</w:t>
      </w:r>
      <w:bookmarkEnd w:id="3"/>
    </w:p>
    <w:p w:rsidR="00FE7660" w:rsidRPr="00902014" w:rsidRDefault="00FE7660" w:rsidP="00FE7660">
      <w:pPr>
        <w:pStyle w:val="ATHeading3"/>
      </w:pPr>
      <w:bookmarkStart w:id="4" w:name="Sujet"/>
      <w:r w:rsidRPr="00902014">
        <w:t>Rezolu</w:t>
      </w:r>
      <w:r w:rsidR="00902014">
        <w:t>cija Europskog parlamenta od 26</w:t>
      </w:r>
      <w:r w:rsidRPr="00902014">
        <w:t xml:space="preserve">. </w:t>
      </w:r>
      <w:r w:rsidR="00902014">
        <w:t xml:space="preserve">studenoga </w:t>
      </w:r>
      <w:r w:rsidRPr="00902014">
        <w:t>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w:t>
      </w:r>
      <w:bookmarkEnd w:id="4"/>
      <w:r w:rsidRPr="00902014">
        <w:t xml:space="preserve"> </w:t>
      </w:r>
      <w:bookmarkStart w:id="5" w:name="References"/>
      <w:r w:rsidRPr="00902014">
        <w:t>(2024/2840(RSP))</w:t>
      </w:r>
      <w:bookmarkEnd w:id="5"/>
    </w:p>
    <w:p w:rsidR="00871580" w:rsidRPr="00902014" w:rsidRDefault="00871580" w:rsidP="00871580">
      <w:pPr>
        <w:pStyle w:val="EPComma"/>
      </w:pPr>
      <w:bookmarkStart w:id="6" w:name="TextBodyBegin"/>
      <w:bookmarkEnd w:id="6"/>
      <w:r w:rsidRPr="00902014">
        <w:rPr>
          <w:i/>
          <w:iCs/>
        </w:rPr>
        <w:t>Europski parlament</w:t>
      </w:r>
      <w:r w:rsidRPr="00902014">
        <w:t>,</w:t>
      </w:r>
    </w:p>
    <w:p w:rsidR="00871580" w:rsidRPr="00902014" w:rsidRDefault="00871580" w:rsidP="00871580">
      <w:pPr>
        <w:pStyle w:val="NormalHanging12a"/>
      </w:pPr>
      <w:r w:rsidRPr="00902014">
        <w:t>–</w:t>
      </w:r>
      <w:r w:rsidRPr="00902014">
        <w:tab/>
        <w:t>uzimajući u obzir Provedbenu odluku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w:t>
      </w:r>
      <w:r w:rsidRPr="00902014">
        <w:rPr>
          <w:rStyle w:val="FootnoteReference"/>
        </w:rPr>
        <w:footnoteReference w:id="1"/>
      </w:r>
      <w:r w:rsidRPr="00902014">
        <w:t>,</w:t>
      </w:r>
    </w:p>
    <w:p w:rsidR="00871580" w:rsidRPr="00902014" w:rsidRDefault="00871580" w:rsidP="00871580">
      <w:pPr>
        <w:pStyle w:val="NormalHanging12a"/>
      </w:pPr>
      <w:r w:rsidRPr="00902014">
        <w:t>–</w:t>
      </w:r>
      <w:r w:rsidRPr="00902014">
        <w:tab/>
        <w:t>uzimajući u obzir Uredbu (EZ) br. 1829/2003 Europskog parlamenta i Vijeća od 22. rujna 2003. o genetski modificiranoj hrani i hrani za životinje</w:t>
      </w:r>
      <w:r w:rsidRPr="00902014">
        <w:rPr>
          <w:rStyle w:val="FootnoteReference"/>
        </w:rPr>
        <w:footnoteReference w:id="2"/>
      </w:r>
      <w:r w:rsidRPr="00902014">
        <w:t>, a posebno njezin članak 11. stavak 3. i članak 23. stavak 3.,</w:t>
      </w:r>
    </w:p>
    <w:p w:rsidR="00871580" w:rsidRPr="00902014" w:rsidRDefault="00871580" w:rsidP="00871580">
      <w:pPr>
        <w:pStyle w:val="NormalHanging12a"/>
      </w:pPr>
      <w:r w:rsidRPr="00902014">
        <w:t>–</w:t>
      </w:r>
      <w:r w:rsidRPr="00902014">
        <w:tab/>
        <w:t xml:space="preserve">uzimajući u obzir </w:t>
      </w:r>
      <w:r w:rsidRPr="00902014">
        <w:rPr>
          <w:shd w:val="clear" w:color="auto" w:fill="FFFFFF"/>
        </w:rPr>
        <w:t>glasovanje Stalnog odbora za bilje, životinje, hranu i hranu za životinje iz članka 35. Uredbe (EZ) br. 1829/2003, koje je održano 26. travnja 2024. i na kojem nije doneseno mišljenje te glasovanje žalbenog odbora od 29. svibnja 2024. na kojem, isto tako, nije</w:t>
      </w:r>
      <w:r w:rsidRPr="00902014">
        <w:t xml:space="preserve"> doneseno mišljenje,</w:t>
      </w:r>
    </w:p>
    <w:p w:rsidR="00871580" w:rsidRPr="00902014" w:rsidRDefault="00871580" w:rsidP="00871580">
      <w:pPr>
        <w:pStyle w:val="NormalHanging12a"/>
      </w:pPr>
      <w:r w:rsidRPr="00902014">
        <w:t>–</w:t>
      </w:r>
      <w:r w:rsidRPr="00902014">
        <w:tab/>
        <w:t>uzimajući u obzir članak 11. Uredbe (EU) br. 182/2011 Europskog parlamenta i Vijeća od 16. veljače 2011. o utvrđivanju pravila i općih načela u vezi s mehanizmima nadzora država članica nad izvršavanjem provedbenih ovlasti Komisije</w:t>
      </w:r>
      <w:r w:rsidRPr="00902014">
        <w:rPr>
          <w:rStyle w:val="FootnoteReference"/>
        </w:rPr>
        <w:footnoteReference w:id="3"/>
      </w:r>
      <w:r w:rsidRPr="00902014">
        <w:t>,</w:t>
      </w:r>
    </w:p>
    <w:p w:rsidR="00871580" w:rsidRPr="00902014" w:rsidRDefault="00871580" w:rsidP="00871580">
      <w:pPr>
        <w:pStyle w:val="NormalHanging12a"/>
      </w:pPr>
      <w:r w:rsidRPr="00902014">
        <w:t>–</w:t>
      </w:r>
      <w:r w:rsidRPr="00902014">
        <w:tab/>
        <w:t xml:space="preserve">uzimajući u obzir mišljenje Europske agencije za sigurnost hrane (EFSA) doneseno 30. </w:t>
      </w:r>
      <w:r w:rsidRPr="00902014">
        <w:lastRenderedPageBreak/>
        <w:t>studenog 2023. i objavljeno 19. siječnja 2024.</w:t>
      </w:r>
      <w:r w:rsidRPr="00902014">
        <w:rPr>
          <w:rStyle w:val="FootnoteReference"/>
        </w:rPr>
        <w:footnoteReference w:id="4"/>
      </w:r>
      <w:r w:rsidRPr="00902014">
        <w:t>,</w:t>
      </w:r>
    </w:p>
    <w:p w:rsidR="00871580" w:rsidRPr="00902014" w:rsidRDefault="00871580" w:rsidP="00871580">
      <w:pPr>
        <w:pStyle w:val="NormalHanging12a"/>
        <w:rPr>
          <w:szCs w:val="24"/>
          <w:shd w:val="clear" w:color="auto" w:fill="FFFFFF"/>
        </w:rPr>
      </w:pPr>
      <w:r w:rsidRPr="00902014">
        <w:t>–</w:t>
      </w:r>
      <w:r w:rsidRPr="00902014">
        <w:tab/>
      </w:r>
      <w:r w:rsidRPr="00902014">
        <w:rPr>
          <w:shd w:val="clear" w:color="auto" w:fill="FFFFFF"/>
        </w:rPr>
        <w:t>uzimajući u obzir svoje prethodne rezolucije u kojima se protivi odobravanju genetski modificiranih organizama („GMO”)</w:t>
      </w:r>
      <w:r w:rsidRPr="00902014">
        <w:rPr>
          <w:szCs w:val="24"/>
          <w:shd w:val="clear" w:color="auto" w:fill="FFFFFF"/>
          <w:vertAlign w:val="superscript"/>
        </w:rPr>
        <w:footnoteReference w:id="5"/>
      </w:r>
      <w:r w:rsidRPr="00902014">
        <w:rPr>
          <w:shd w:val="clear" w:color="auto" w:fill="FFFFFF"/>
        </w:rPr>
        <w:t>,</w:t>
      </w:r>
    </w:p>
    <w:p w:rsidR="00871580" w:rsidRPr="00902014" w:rsidRDefault="00871580" w:rsidP="00871580">
      <w:pPr>
        <w:pStyle w:val="NormalHanging12a"/>
      </w:pPr>
      <w:r w:rsidRPr="00902014">
        <w:t>–</w:t>
      </w:r>
      <w:r w:rsidRPr="00902014">
        <w:tab/>
        <w:t>uzimajući u obzir članak 115. stavke 2. i 3. Poslovnika,</w:t>
      </w:r>
    </w:p>
    <w:p w:rsidR="00871580" w:rsidRPr="00902014" w:rsidRDefault="00871580" w:rsidP="00871580">
      <w:pPr>
        <w:pStyle w:val="NormalHanging12a"/>
      </w:pPr>
      <w:r w:rsidRPr="00902014">
        <w:t>–</w:t>
      </w:r>
      <w:r w:rsidRPr="00902014">
        <w:tab/>
        <w:t>uzimajući u obzir Prijedlog rezolucije Odbora za okoliš, javno zdravlje i sigurnost hrane,</w:t>
      </w:r>
    </w:p>
    <w:p w:rsidR="00871580" w:rsidRPr="00902014" w:rsidRDefault="00871580" w:rsidP="00871580">
      <w:pPr>
        <w:pStyle w:val="NormalHanging12a"/>
      </w:pPr>
      <w:r w:rsidRPr="00902014">
        <w:t>A.</w:t>
      </w:r>
      <w:r w:rsidRPr="00902014">
        <w:tab/>
        <w:t xml:space="preserve">budući da je Društvo </w:t>
      </w:r>
      <w:proofErr w:type="spellStart"/>
      <w:r w:rsidRPr="00902014">
        <w:t>Bayer</w:t>
      </w:r>
      <w:proofErr w:type="spellEnd"/>
      <w:r w:rsidRPr="00902014">
        <w:t xml:space="preserve"> </w:t>
      </w:r>
      <w:proofErr w:type="spellStart"/>
      <w:r w:rsidRPr="00902014">
        <w:t>Agriculture</w:t>
      </w:r>
      <w:proofErr w:type="spellEnd"/>
      <w:r w:rsidRPr="00902014">
        <w:t xml:space="preserve"> BV, sa sjedištem u Belgiji, Komisiji 6. listopada 2022. u ime društva </w:t>
      </w:r>
      <w:proofErr w:type="spellStart"/>
      <w:r w:rsidRPr="00902014">
        <w:t>Bayer</w:t>
      </w:r>
      <w:proofErr w:type="spellEnd"/>
      <w:r w:rsidRPr="00902014">
        <w:t xml:space="preserve"> </w:t>
      </w:r>
      <w:proofErr w:type="spellStart"/>
      <w:r w:rsidRPr="00902014">
        <w:t>CropScience</w:t>
      </w:r>
      <w:proofErr w:type="spellEnd"/>
      <w:r w:rsidRPr="00902014">
        <w:t xml:space="preserve"> LP, sa sjedištem u Sjedinjenim Američkim Državama, podnijelo zahtjev za produljenje provedbenih odluka 2013/649/EU</w:t>
      </w:r>
      <w:r w:rsidRPr="00902014">
        <w:rPr>
          <w:rStyle w:val="FootnoteReference"/>
        </w:rPr>
        <w:footnoteReference w:id="6"/>
      </w:r>
      <w:r w:rsidRPr="00902014">
        <w:t xml:space="preserve"> i (EU) 2017/1207</w:t>
      </w:r>
      <w:r w:rsidRPr="00902014">
        <w:rPr>
          <w:rStyle w:val="FootnoteReference"/>
        </w:rPr>
        <w:footnoteReference w:id="7"/>
      </w:r>
      <w:r w:rsidRPr="00902014">
        <w:t xml:space="preserve">; budući da se u skladu s člankom 11. stavkom 4. Uredbe (EZ) br. 1829/2003 razdoblje važenja odobrenja genetski modificiranog </w:t>
      </w:r>
      <w:proofErr w:type="spellStart"/>
      <w:r w:rsidRPr="00902014">
        <w:t>peluda</w:t>
      </w:r>
      <w:proofErr w:type="spellEnd"/>
      <w:r w:rsidRPr="00902014">
        <w:t xml:space="preserve"> proizvedenog od genetski modificiranog kukuruza MON 810 (genetski modificiran kukuruz) za uporabe u hrani obuhvaćene Provedbenom odlukom 2013/649/EU automatski produljuje do donošenja o</w:t>
      </w:r>
      <w:r w:rsidR="004A7323">
        <w:t>dluke o zahtjevu za produljenje;</w:t>
      </w:r>
    </w:p>
    <w:p w:rsidR="00871580" w:rsidRPr="00902014" w:rsidRDefault="00871580" w:rsidP="00871580">
      <w:pPr>
        <w:pStyle w:val="NormalHanging12a"/>
      </w:pPr>
      <w:r w:rsidRPr="00902014">
        <w:t>B.</w:t>
      </w:r>
      <w:r w:rsidRPr="00902014">
        <w:tab/>
        <w:t>budući da je EFSA 30. studenog</w:t>
      </w:r>
      <w:r w:rsidR="004A7323">
        <w:t>a</w:t>
      </w:r>
      <w:r w:rsidRPr="00902014">
        <w:t xml:space="preserve"> 2023. donijela pozitivno mišljenje, koje je objavljeno 19. siječnja 2024.; </w:t>
      </w:r>
    </w:p>
    <w:p w:rsidR="00871580" w:rsidRPr="00902014" w:rsidRDefault="00871580" w:rsidP="00871580">
      <w:pPr>
        <w:pStyle w:val="NormalHanging12a"/>
      </w:pPr>
      <w:r w:rsidRPr="00902014">
        <w:t>C.</w:t>
      </w:r>
      <w:r w:rsidRPr="00902014">
        <w:tab/>
        <w:t>budući da je genetski modificirani kukuruz izmijenjen kako bi proizvodio insekticide („</w:t>
      </w:r>
      <w:proofErr w:type="spellStart"/>
      <w:r w:rsidRPr="00902014">
        <w:t>Bt</w:t>
      </w:r>
      <w:proofErr w:type="spellEnd"/>
      <w:r w:rsidRPr="00902014">
        <w:t>-toksine”);</w:t>
      </w:r>
    </w:p>
    <w:p w:rsidR="00871580" w:rsidRPr="00902014" w:rsidRDefault="00871580" w:rsidP="00871580">
      <w:pPr>
        <w:pStyle w:val="NormalHanging12a"/>
        <w:rPr>
          <w:b/>
          <w:i/>
        </w:rPr>
      </w:pPr>
      <w:r w:rsidRPr="00902014">
        <w:rPr>
          <w:b/>
          <w:i/>
        </w:rPr>
        <w:t xml:space="preserve">Neriješena pitanja koja se odnose na </w:t>
      </w:r>
      <w:proofErr w:type="spellStart"/>
      <w:r w:rsidRPr="00902014">
        <w:rPr>
          <w:b/>
          <w:i/>
        </w:rPr>
        <w:t>Bt</w:t>
      </w:r>
      <w:proofErr w:type="spellEnd"/>
      <w:r w:rsidRPr="00902014">
        <w:rPr>
          <w:b/>
          <w:i/>
        </w:rPr>
        <w:t>-toksine</w:t>
      </w:r>
    </w:p>
    <w:p w:rsidR="00871580" w:rsidRPr="00902014" w:rsidRDefault="00871580" w:rsidP="00871580">
      <w:pPr>
        <w:pStyle w:val="NormalHanging12a"/>
      </w:pPr>
      <w:r w:rsidRPr="00902014">
        <w:t>D.</w:t>
      </w:r>
      <w:r w:rsidRPr="00902014">
        <w:tab/>
        <w:t xml:space="preserve">budući da se u brojnim studijama navodi da su nakon izloženosti </w:t>
      </w:r>
      <w:proofErr w:type="spellStart"/>
      <w:r w:rsidRPr="00902014">
        <w:t>Bt</w:t>
      </w:r>
      <w:proofErr w:type="spellEnd"/>
      <w:r w:rsidRPr="00902014">
        <w:t xml:space="preserve">-toksinima zabilježeni popratni učinci koji mogu utjecati na </w:t>
      </w:r>
      <w:proofErr w:type="spellStart"/>
      <w:r w:rsidRPr="00902014">
        <w:t>imunosni</w:t>
      </w:r>
      <w:proofErr w:type="spellEnd"/>
      <w:r w:rsidRPr="00902014">
        <w:t xml:space="preserve"> sustav i da neki </w:t>
      </w:r>
      <w:proofErr w:type="spellStart"/>
      <w:r w:rsidRPr="00902014">
        <w:t>Bt</w:t>
      </w:r>
      <w:proofErr w:type="spellEnd"/>
      <w:r w:rsidRPr="00902014">
        <w:t xml:space="preserve">-toksini mogu djelovati kao </w:t>
      </w:r>
      <w:proofErr w:type="spellStart"/>
      <w:r w:rsidRPr="00902014">
        <w:t>adjuvansi</w:t>
      </w:r>
      <w:proofErr w:type="spellEnd"/>
      <w:r w:rsidRPr="00902014">
        <w:rPr>
          <w:rStyle w:val="FootnoteReference"/>
        </w:rPr>
        <w:footnoteReference w:id="8"/>
      </w:r>
      <w:r w:rsidRPr="00902014">
        <w:t xml:space="preserve">, što znači da mogu povećati alergena svojstva drugih </w:t>
      </w:r>
      <w:r w:rsidRPr="00902014">
        <w:lastRenderedPageBreak/>
        <w:t>proteina s kojima dolaze u kontakt;</w:t>
      </w:r>
    </w:p>
    <w:p w:rsidR="00871580" w:rsidRPr="00902014" w:rsidRDefault="00871580" w:rsidP="00871580">
      <w:pPr>
        <w:pStyle w:val="NormalHanging12a"/>
        <w:rPr>
          <w:b/>
          <w:i/>
        </w:rPr>
      </w:pPr>
      <w:proofErr w:type="spellStart"/>
      <w:r w:rsidRPr="00902014">
        <w:rPr>
          <w:b/>
          <w:i/>
        </w:rPr>
        <w:t>Bt</w:t>
      </w:r>
      <w:proofErr w:type="spellEnd"/>
      <w:r w:rsidRPr="00902014">
        <w:rPr>
          <w:b/>
          <w:i/>
        </w:rPr>
        <w:t xml:space="preserve">-usjevi: utjecaj na </w:t>
      </w:r>
      <w:proofErr w:type="spellStart"/>
      <w:r w:rsidRPr="00902014">
        <w:rPr>
          <w:b/>
          <w:i/>
        </w:rPr>
        <w:t>neciljne</w:t>
      </w:r>
      <w:proofErr w:type="spellEnd"/>
      <w:r w:rsidRPr="00902014">
        <w:rPr>
          <w:b/>
          <w:i/>
        </w:rPr>
        <w:t xml:space="preserve"> organizme</w:t>
      </w:r>
    </w:p>
    <w:p w:rsidR="00871580" w:rsidRPr="00902014" w:rsidRDefault="00871580" w:rsidP="00871580">
      <w:pPr>
        <w:pStyle w:val="NormalHanging12a"/>
        <w:rPr>
          <w:b/>
          <w:i/>
        </w:rPr>
      </w:pPr>
      <w:r w:rsidRPr="00902014">
        <w:t>E.</w:t>
      </w:r>
      <w:r w:rsidRPr="00902014">
        <w:tab/>
        <w:t xml:space="preserve">budući da upotreba genetski modificiranih </w:t>
      </w:r>
      <w:proofErr w:type="spellStart"/>
      <w:r w:rsidRPr="00902014">
        <w:t>Bt</w:t>
      </w:r>
      <w:proofErr w:type="spellEnd"/>
      <w:r w:rsidRPr="00902014">
        <w:t xml:space="preserve">-usjeva dovodi do kontinuirane izloženosti ciljnih i </w:t>
      </w:r>
      <w:proofErr w:type="spellStart"/>
      <w:r w:rsidRPr="00902014">
        <w:t>neciljnih</w:t>
      </w:r>
      <w:proofErr w:type="spellEnd"/>
      <w:r w:rsidRPr="00902014">
        <w:t xml:space="preserve"> organizama </w:t>
      </w:r>
      <w:proofErr w:type="spellStart"/>
      <w:r w:rsidRPr="00902014">
        <w:t>Bt</w:t>
      </w:r>
      <w:proofErr w:type="spellEnd"/>
      <w:r w:rsidRPr="00902014">
        <w:t>-toksinima, za razliku od upotrebe insekticida, kad dolazi do izlaganja pri prskanju i tijekom ograničenog vremenskog razdoblja;</w:t>
      </w:r>
    </w:p>
    <w:p w:rsidR="00871580" w:rsidRPr="00902014" w:rsidRDefault="00871580" w:rsidP="00871580">
      <w:pPr>
        <w:pStyle w:val="NormalHanging12a"/>
      </w:pPr>
      <w:r w:rsidRPr="00902014">
        <w:t>F.</w:t>
      </w:r>
      <w:r w:rsidRPr="00902014">
        <w:tab/>
        <w:t xml:space="preserve">budući da se pretpostavka da </w:t>
      </w:r>
      <w:proofErr w:type="spellStart"/>
      <w:r w:rsidRPr="00902014">
        <w:t>Bt</w:t>
      </w:r>
      <w:proofErr w:type="spellEnd"/>
      <w:r w:rsidRPr="00902014">
        <w:t xml:space="preserve">-toksini pokazuju jedan ciljni način djelovanja više ne može smatrati točnom i ne mogu se isključiti učinci na </w:t>
      </w:r>
      <w:proofErr w:type="spellStart"/>
      <w:r w:rsidRPr="00902014">
        <w:t>neciljne</w:t>
      </w:r>
      <w:proofErr w:type="spellEnd"/>
      <w:r w:rsidRPr="00902014">
        <w:t xml:space="preserve"> organizme; budući da stižu izvješća o sve većem broju </w:t>
      </w:r>
      <w:proofErr w:type="spellStart"/>
      <w:r w:rsidRPr="00902014">
        <w:t>neciljnih</w:t>
      </w:r>
      <w:proofErr w:type="spellEnd"/>
      <w:r w:rsidRPr="00902014">
        <w:t xml:space="preserve"> organizama koji su višestruko pogođeni; budući da se u nedavnom pregledu spominje 39 stručno recenziranih publikacija u kojima se izvještava o znatnim štetnim učincima </w:t>
      </w:r>
      <w:proofErr w:type="spellStart"/>
      <w:r w:rsidRPr="00902014">
        <w:t>Bt</w:t>
      </w:r>
      <w:proofErr w:type="spellEnd"/>
      <w:r w:rsidRPr="00902014">
        <w:t>-toksina na mnoge vrste „izvan dometa”</w:t>
      </w:r>
      <w:r w:rsidRPr="00902014">
        <w:rPr>
          <w:rStyle w:val="FootnoteReference"/>
        </w:rPr>
        <w:footnoteReference w:id="9"/>
      </w:r>
      <w:r w:rsidRPr="00902014">
        <w:t>;</w:t>
      </w:r>
    </w:p>
    <w:p w:rsidR="00871580" w:rsidRPr="00902014" w:rsidRDefault="00871580" w:rsidP="00871580">
      <w:pPr>
        <w:pStyle w:val="NormalHanging12a"/>
        <w:rPr>
          <w:b/>
          <w:i/>
        </w:rPr>
      </w:pPr>
      <w:r w:rsidRPr="00902014">
        <w:rPr>
          <w:b/>
          <w:i/>
        </w:rPr>
        <w:t>Primjedbe država članica</w:t>
      </w:r>
    </w:p>
    <w:p w:rsidR="00871580" w:rsidRPr="00902014" w:rsidRDefault="00871580" w:rsidP="00871580">
      <w:pPr>
        <w:pStyle w:val="NormalHanging12a"/>
      </w:pPr>
      <w:r w:rsidRPr="00902014">
        <w:t>G.</w:t>
      </w:r>
      <w:r w:rsidRPr="00902014">
        <w:tab/>
        <w:t>budući da su države članice tijekom tromjesečnog razdoblja savjetovanja dostavile EFSA-i brojne primjedbe</w:t>
      </w:r>
      <w:r w:rsidRPr="00902014">
        <w:rPr>
          <w:rStyle w:val="FootnoteReference"/>
        </w:rPr>
        <w:footnoteReference w:id="10"/>
      </w:r>
      <w:r w:rsidRPr="00902014">
        <w:t xml:space="preserve">, između ostalog da bi podatke o sastavu genetski modificiranog kukuruza trebalo provjeriti i ponovno analizirati te da bi analiza trebala ispuniti postojeće zahtjeve EFSA-e, među ostalim ispitivanje istovjetnosti, te da pregled literature nije uključivao studije o sudbini proteina Cry1Ab u okolišu ili o mogućim učincima ostataka </w:t>
      </w:r>
      <w:proofErr w:type="spellStart"/>
      <w:r w:rsidRPr="00902014">
        <w:t>Bt</w:t>
      </w:r>
      <w:proofErr w:type="spellEnd"/>
      <w:r w:rsidRPr="00902014">
        <w:t xml:space="preserve">-usjeva na </w:t>
      </w:r>
      <w:proofErr w:type="spellStart"/>
      <w:r w:rsidRPr="00902014">
        <w:t>neciljne</w:t>
      </w:r>
      <w:proofErr w:type="spellEnd"/>
      <w:r w:rsidRPr="00902014">
        <w:t xml:space="preserve"> organizme, što je problematično jer publikacije upućuju na to da prijenos s genetski modificiranog kukuruza na gnojivo može dovesti do izloženosti organizama u tlu proteinu Cry1Ab i da to može imati negativne učinke na organizme u tlu s posljedicama za biološku raznolikost i usluge ekosustava; </w:t>
      </w:r>
    </w:p>
    <w:p w:rsidR="00871580" w:rsidRPr="00902014" w:rsidRDefault="00871580" w:rsidP="00871580">
      <w:pPr>
        <w:pStyle w:val="NormalHanging12a"/>
      </w:pPr>
      <w:r w:rsidRPr="00902014">
        <w:t>H.</w:t>
      </w:r>
      <w:r w:rsidRPr="00902014">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takvi legitimni čimbenici trebali obuhvaćati obveze Unije u okviru ciljeva održivog razvoja Ujedinjenih naroda (UN) i Konvencije UN-a o biološkoj raznolikosti;</w:t>
      </w:r>
    </w:p>
    <w:p w:rsidR="00871580" w:rsidRPr="00902014" w:rsidRDefault="00871580" w:rsidP="00871580">
      <w:pPr>
        <w:pStyle w:val="NormalHanging12a"/>
        <w:rPr>
          <w:b/>
          <w:i/>
        </w:rPr>
      </w:pPr>
      <w:r w:rsidRPr="00902014">
        <w:rPr>
          <w:b/>
          <w:i/>
        </w:rPr>
        <w:t>Smanjenje ovisnosti o uvezenoj hrani za životinje</w:t>
      </w:r>
    </w:p>
    <w:p w:rsidR="00871580" w:rsidRPr="00902014" w:rsidRDefault="00871580" w:rsidP="00871580">
      <w:pPr>
        <w:pStyle w:val="NormalHanging12a"/>
      </w:pPr>
      <w:r w:rsidRPr="00902014">
        <w:t>I.</w:t>
      </w:r>
      <w:r w:rsidRPr="00902014">
        <w:tab/>
        <w:t xml:space="preserve">budući da je jedna od pouka izvučenih iz krize prouzročene bolešću COVID-19 i rata u Ukrajini koji je u tijeku potreba da Unija okonča ovisnost o nekim ključnim </w:t>
      </w:r>
      <w:r w:rsidRPr="00902014">
        <w:lastRenderedPageBreak/>
        <w:t xml:space="preserve">materijalima; budući da predsjednica Komisije </w:t>
      </w:r>
      <w:proofErr w:type="spellStart"/>
      <w:r w:rsidRPr="00902014">
        <w:t>Ursula</w:t>
      </w:r>
      <w:proofErr w:type="spellEnd"/>
      <w:r w:rsidRPr="00902014">
        <w:t xml:space="preserve"> von </w:t>
      </w:r>
      <w:proofErr w:type="spellStart"/>
      <w:r w:rsidRPr="00902014">
        <w:t>der</w:t>
      </w:r>
      <w:proofErr w:type="spellEnd"/>
      <w:r w:rsidRPr="00902014">
        <w:t xml:space="preserve"> </w:t>
      </w:r>
      <w:proofErr w:type="spellStart"/>
      <w:r w:rsidRPr="00902014">
        <w:t>Leyen</w:t>
      </w:r>
      <w:proofErr w:type="spellEnd"/>
      <w:r w:rsidRPr="00902014">
        <w:t xml:space="preserve"> u mandatnom pismu od kandidata za povjerenika </w:t>
      </w:r>
      <w:proofErr w:type="spellStart"/>
      <w:r w:rsidRPr="00902014">
        <w:t>Christophea</w:t>
      </w:r>
      <w:proofErr w:type="spellEnd"/>
      <w:r w:rsidRPr="00902014">
        <w:t xml:space="preserve"> </w:t>
      </w:r>
      <w:proofErr w:type="spellStart"/>
      <w:r w:rsidRPr="00902014">
        <w:t>Hansena</w:t>
      </w:r>
      <w:proofErr w:type="spellEnd"/>
      <w:r w:rsidRPr="00902014">
        <w:t xml:space="preserve"> traži da razmotri načine za smanjenje uvoza kritičnih vrsta robe</w:t>
      </w:r>
      <w:r w:rsidRPr="00902014">
        <w:rPr>
          <w:rStyle w:val="FootnoteReference"/>
        </w:rPr>
        <w:footnoteReference w:id="11"/>
      </w:r>
      <w:r w:rsidRPr="00902014">
        <w:t xml:space="preserve">; </w:t>
      </w:r>
    </w:p>
    <w:p w:rsidR="00871580" w:rsidRPr="00902014" w:rsidRDefault="00871580" w:rsidP="00871580">
      <w:pPr>
        <w:pStyle w:val="NormalHanging12a"/>
        <w:rPr>
          <w:b/>
          <w:i/>
        </w:rPr>
      </w:pPr>
      <w:r w:rsidRPr="00902014">
        <w:rPr>
          <w:b/>
          <w:i/>
        </w:rPr>
        <w:t>Nedemokratsko donošenje odluka</w:t>
      </w:r>
    </w:p>
    <w:p w:rsidR="00871580" w:rsidRPr="00902014" w:rsidRDefault="00871580" w:rsidP="00871580">
      <w:pPr>
        <w:pStyle w:val="NormalHanging12a"/>
        <w:rPr>
          <w:b/>
          <w:i/>
        </w:rPr>
      </w:pPr>
      <w:r w:rsidRPr="00902014">
        <w:t>J.</w:t>
      </w:r>
      <w:r w:rsidRPr="00902014">
        <w:tab/>
      </w:r>
      <w:r w:rsidRPr="00902014">
        <w:rPr>
          <w:shd w:val="clear" w:color="auto" w:fill="FFFFFF"/>
        </w:rPr>
        <w:t>budući da na glasovanju Stalnog odbora za bilje, životinje, hranu i hranu za životinje iz članka 35. Uredbe (EZ) br. 1829/2003, koje je održano 26. travnja 2024., nije doneseno nikakvo mišljenje, što znači da kvalificirana većina država članica nije podržala odobrenje; budući da nakon glasovanja 29. svibnja 2024. žalbeni odbor ponovno nije donio mišljenje;</w:t>
      </w:r>
    </w:p>
    <w:p w:rsidR="00871580" w:rsidRPr="00902014" w:rsidRDefault="00871580" w:rsidP="00871580">
      <w:pPr>
        <w:pStyle w:val="NormalHanging12a"/>
      </w:pPr>
      <w:r w:rsidRPr="00902014">
        <w:t>K.</w:t>
      </w:r>
      <w:r w:rsidRPr="00902014">
        <w:tab/>
        <w:t>budući da je Parlament u svojem osmom sazivu donio ukupno 36 rezolucija u kojima se protivi stavljanju na tržište genetski modificiranih organizama za hranu i hranu za životinje (33 rezolucije) i uzgoju genetski modificiranih organizama u Uniji (tri rezolucije); budući da je Parlament u svojem devetom sazivu donio 38 prigovora na stavljanje genetski modificiranih organizama na tržište;</w:t>
      </w:r>
    </w:p>
    <w:p w:rsidR="00871580" w:rsidRPr="00902014" w:rsidRDefault="00871580" w:rsidP="00871580">
      <w:pPr>
        <w:pStyle w:val="NormalHanging12a"/>
      </w:pPr>
      <w:r w:rsidRPr="00902014">
        <w:t>L.</w:t>
      </w:r>
      <w:r w:rsidRPr="00902014">
        <w:tab/>
        <w:t>budući da Komisija i dalje izdaje odobrenja za genetski modificirane organizme unatoč tome što je i sama priznala postojanje demokratskih nedostataka te usprkos izostanku potpore država članica i prigovorima Parlamenta;</w:t>
      </w:r>
    </w:p>
    <w:p w:rsidR="00871580" w:rsidRPr="00902014" w:rsidRDefault="00871580" w:rsidP="00871580">
      <w:pPr>
        <w:pStyle w:val="NormalHanging12a"/>
      </w:pPr>
      <w:r w:rsidRPr="00902014">
        <w:t>M.</w:t>
      </w:r>
      <w:r w:rsidRPr="00902014">
        <w:tab/>
        <w:t>budući da onda kad u žalbenom odboru davanje odobrenja nije podržala kvalificirana većina država članica nije potrebno mijenjati zakonodavstvo kako bi se Komisiji omogućilo da uskrati odobrenje za genetski modificirane organizme</w:t>
      </w:r>
      <w:r w:rsidRPr="00902014">
        <w:rPr>
          <w:rStyle w:val="FootnoteReference"/>
        </w:rPr>
        <w:footnoteReference w:id="12"/>
      </w:r>
      <w:r w:rsidRPr="00902014">
        <w:t>;</w:t>
      </w:r>
    </w:p>
    <w:p w:rsidR="00871580" w:rsidRPr="00902014" w:rsidRDefault="00871580" w:rsidP="00871580">
      <w:pPr>
        <w:pStyle w:val="NormalHanging12a"/>
      </w:pPr>
      <w:r w:rsidRPr="00902014">
        <w:t>N.</w:t>
      </w:r>
      <w:r w:rsidRPr="00902014">
        <w:tab/>
        <w:t>budući da je 2. srpnja 2024. Komisija obnovila odobrenje za stavljanje na tržište genetski modificiranog kukuruza;</w:t>
      </w:r>
    </w:p>
    <w:p w:rsidR="00871580" w:rsidRPr="00902014" w:rsidRDefault="00871580" w:rsidP="00871580">
      <w:pPr>
        <w:pStyle w:val="NormalHanging12a"/>
      </w:pPr>
      <w:r w:rsidRPr="00902014">
        <w:t>1.</w:t>
      </w:r>
      <w:r w:rsidRPr="00902014">
        <w:tab/>
        <w:t>smatra da se Provedbenom odlukom (EU) 2024/1828 prekoračuju provedbene ovlasti predviđene Uredbom (EZ) br. 1829/2003;</w:t>
      </w:r>
    </w:p>
    <w:p w:rsidR="00871580" w:rsidRPr="00902014" w:rsidRDefault="00871580" w:rsidP="00871580">
      <w:pPr>
        <w:pStyle w:val="NormalHanging12a"/>
      </w:pPr>
      <w:r w:rsidRPr="00902014">
        <w:t>2.</w:t>
      </w:r>
      <w:r w:rsidRPr="00902014">
        <w:tab/>
        <w:t>smatra da Provedbena odluka (EU) 2024/1828 nije u skladu s pravom Unije jer nije spojiva s ciljem Uredbe (EZ) br. 1829/2003, a on je, u skladu s općim načelima utvrđenima u Uredbi (EZ) br. 178/2002 Europskog parlamenta i Vijeća</w:t>
      </w:r>
      <w:r w:rsidRPr="00902014">
        <w:rPr>
          <w:rStyle w:val="FootnoteReference"/>
        </w:rPr>
        <w:footnoteReference w:id="13"/>
      </w:r>
      <w:r w:rsidRPr="00902014">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871580" w:rsidRPr="00902014" w:rsidRDefault="00871580" w:rsidP="00871580">
      <w:pPr>
        <w:pStyle w:val="NormalHanging12a"/>
      </w:pPr>
      <w:r w:rsidRPr="00902014">
        <w:lastRenderedPageBreak/>
        <w:t>3.</w:t>
      </w:r>
      <w:r w:rsidRPr="00902014">
        <w:tab/>
        <w:t>traži od Komisije da povuče Provedbenu odluku (EU) 2024/1828;</w:t>
      </w:r>
    </w:p>
    <w:p w:rsidR="00871580" w:rsidRPr="00902014" w:rsidRDefault="00871580" w:rsidP="00871580">
      <w:pPr>
        <w:pStyle w:val="NormalHanging12a"/>
      </w:pPr>
      <w:r w:rsidRPr="00902014">
        <w:t>4.</w:t>
      </w:r>
      <w:r w:rsidRPr="00902014">
        <w:tab/>
        <w:t>pozdravlja činjenicu da je Komisija u dopisu zastupnicima od 11. rujna 2020. konačno uvidjela potrebu da se pri donošenju odluka o odobravanju genetski modificiranih organizama u obzir uzme održivost</w:t>
      </w:r>
      <w:r w:rsidRPr="00902014">
        <w:rPr>
          <w:rStyle w:val="FootnoteReference"/>
        </w:rPr>
        <w:footnoteReference w:id="14"/>
      </w:r>
      <w:r w:rsidRPr="00902014">
        <w:t>; međutim, izražava duboko razočaranje zbog toga što Komisija i dalje odobrava uvoz genetski modificiranih organizama u Uniju unatoč stalnim prigovorima Parlamenta i činjenici da većina država članica glasuje protiv;</w:t>
      </w:r>
    </w:p>
    <w:p w:rsidR="00871580" w:rsidRPr="00902014" w:rsidRDefault="00871580" w:rsidP="00871580">
      <w:pPr>
        <w:pStyle w:val="NormalHanging12a"/>
      </w:pPr>
      <w:r w:rsidRPr="00902014">
        <w:t>5.</w:t>
      </w:r>
      <w:r w:rsidRPr="00902014">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w:t>
      </w:r>
      <w:proofErr w:type="spellStart"/>
      <w:r w:rsidRPr="00902014">
        <w:t>nenanošenja</w:t>
      </w:r>
      <w:proofErr w:type="spellEnd"/>
      <w:r w:rsidRPr="00902014">
        <w:t xml:space="preserve"> štete”</w:t>
      </w:r>
      <w:r w:rsidRPr="00902014">
        <w:rPr>
          <w:rStyle w:val="FootnoteReference"/>
        </w:rPr>
        <w:footnoteReference w:id="15"/>
      </w:r>
      <w:r w:rsidRPr="00902014">
        <w:t xml:space="preserve">; </w:t>
      </w:r>
    </w:p>
    <w:p w:rsidR="00E365E1" w:rsidRPr="00902014" w:rsidRDefault="00871580" w:rsidP="00902014">
      <w:pPr>
        <w:ind w:left="567" w:hanging="567"/>
      </w:pPr>
      <w:r w:rsidRPr="00902014">
        <w:t>6.</w:t>
      </w:r>
      <w:r w:rsidRPr="00902014">
        <w:tab/>
        <w:t>nalaže svojoj predsjednici da ovu Rezoluciju proslijedi Vijeću i Komisiji te vladama i parlamentima država članica.</w:t>
      </w:r>
    </w:p>
    <w:sectPr w:rsidR="00E365E1" w:rsidRPr="00902014" w:rsidSect="00D20B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660" w:rsidRPr="00D20B62" w:rsidRDefault="00FE7660">
      <w:r w:rsidRPr="00D20B62">
        <w:separator/>
      </w:r>
    </w:p>
  </w:endnote>
  <w:endnote w:type="continuationSeparator" w:id="0">
    <w:p w:rsidR="00FE7660" w:rsidRPr="00D20B62" w:rsidRDefault="00FE7660">
      <w:r w:rsidRPr="00D20B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B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B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B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660" w:rsidRPr="00D20B62" w:rsidRDefault="00FE7660">
      <w:r w:rsidRPr="00D20B62">
        <w:separator/>
      </w:r>
    </w:p>
  </w:footnote>
  <w:footnote w:type="continuationSeparator" w:id="0">
    <w:p w:rsidR="00FE7660" w:rsidRPr="00D20B62" w:rsidRDefault="00FE7660">
      <w:r w:rsidRPr="00D20B62">
        <w:continuationSeparator/>
      </w:r>
    </w:p>
  </w:footnote>
  <w:footnote w:id="1">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SL L, 2024/1828, 4.7.2024</w:t>
      </w:r>
      <w:r w:rsidR="004A7323">
        <w:rPr>
          <w:sz w:val="24"/>
          <w:lang w:val="hr-HR"/>
        </w:rPr>
        <w:t>.</w:t>
      </w:r>
      <w:r w:rsidRPr="00D20B62">
        <w:rPr>
          <w:sz w:val="24"/>
          <w:lang w:val="hr-HR"/>
        </w:rPr>
        <w:t xml:space="preserve">, ELI: </w:t>
      </w:r>
      <w:hyperlink r:id="rId1" w:tooltip="Dokument je dostupan na temelju identifikatora ELI URI." w:history="1">
        <w:r w:rsidRPr="00D20B62">
          <w:rPr>
            <w:rStyle w:val="Hyperlink"/>
            <w:color w:val="337AB7"/>
            <w:sz w:val="24"/>
            <w:shd w:val="clear" w:color="auto" w:fill="FFFFFF"/>
            <w:lang w:val="hr-HR"/>
          </w:rPr>
          <w:t>https://eur-lex.europa.eu/legal-content/HR/TXT/HTML/?uri=OJ:L_202401828</w:t>
        </w:r>
      </w:hyperlink>
      <w:r w:rsidRPr="00D20B62">
        <w:rPr>
          <w:sz w:val="24"/>
          <w:lang w:val="hr-HR"/>
        </w:rPr>
        <w:t>.</w:t>
      </w:r>
    </w:p>
  </w:footnote>
  <w:footnote w:id="2">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00E27EA5">
        <w:rPr>
          <w:sz w:val="24"/>
          <w:lang w:val="hr-HR"/>
        </w:rPr>
        <w:t>SL L 268, 18</w:t>
      </w:r>
      <w:bookmarkStart w:id="7" w:name="_GoBack"/>
      <w:bookmarkEnd w:id="7"/>
      <w:r w:rsidR="00E27EA5">
        <w:rPr>
          <w:sz w:val="24"/>
          <w:lang w:val="hr-HR"/>
        </w:rPr>
        <w:t>.10.2003</w:t>
      </w:r>
      <w:r w:rsidRPr="00D20B62">
        <w:rPr>
          <w:sz w:val="24"/>
          <w:lang w:val="hr-HR"/>
        </w:rPr>
        <w:t xml:space="preserve">., str. 1., ELI: </w:t>
      </w:r>
      <w:hyperlink r:id="rId2" w:tooltip="Dokument je dostupan na temelju identifikatora ELI URI." w:history="1">
        <w:r w:rsidRPr="00D20B62">
          <w:rPr>
            <w:rStyle w:val="Hyperlink"/>
            <w:color w:val="337AB7"/>
            <w:sz w:val="24"/>
            <w:shd w:val="clear" w:color="auto" w:fill="FFFFFF"/>
            <w:lang w:val="hr-HR"/>
          </w:rPr>
          <w:t>http://data.europa.eu/eli/reg/2003/1829/oj</w:t>
        </w:r>
      </w:hyperlink>
      <w:r w:rsidRPr="00D20B62">
        <w:rPr>
          <w:sz w:val="24"/>
          <w:lang w:val="hr-HR"/>
        </w:rPr>
        <w:t>.</w:t>
      </w:r>
    </w:p>
  </w:footnote>
  <w:footnote w:id="3">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 xml:space="preserve">SL L 55, 28.2.2011., str. </w:t>
      </w:r>
      <w:r w:rsidRPr="00D20B62">
        <w:rPr>
          <w:sz w:val="24"/>
          <w:lang w:val="hr-HR"/>
        </w:rPr>
        <w:t xml:space="preserve">13., ELI: </w:t>
      </w:r>
      <w:hyperlink r:id="rId3" w:tooltip="Dokument je dostupan na temelju identifikatora ELI URI." w:history="1">
        <w:r w:rsidRPr="00D20B62">
          <w:rPr>
            <w:rStyle w:val="Hyperlink"/>
            <w:color w:val="337AB7"/>
            <w:sz w:val="24"/>
            <w:shd w:val="clear" w:color="auto" w:fill="FFFFFF"/>
            <w:lang w:val="hr-HR"/>
          </w:rPr>
          <w:t>http://data.europa.eu/eli/reg/2011/182/oj</w:t>
        </w:r>
      </w:hyperlink>
      <w:r w:rsidRPr="00D20B62">
        <w:rPr>
          <w:sz w:val="24"/>
          <w:lang w:val="hr-HR"/>
        </w:rPr>
        <w:t>.</w:t>
      </w:r>
    </w:p>
  </w:footnote>
  <w:footnote w:id="4">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Znanstveno mišljenje EFSA-ina Povjerenstva za genetski modificirane organizme o procjeni genetski modificiranog kukuruza MON 810 radi produljenja odobrenja na temelju Uredbe (EZ) br. </w:t>
      </w:r>
      <w:r w:rsidRPr="00D20B62">
        <w:rPr>
          <w:sz w:val="24"/>
          <w:lang w:val="hr-HR"/>
        </w:rPr>
        <w:t xml:space="preserve">1829/2003 (zahtjev GMFF-2022-9450), EFSA Journal 2024;22(1):8489, </w:t>
      </w:r>
      <w:hyperlink r:id="rId4" w:history="1">
        <w:r w:rsidRPr="00D20B62">
          <w:rPr>
            <w:rStyle w:val="Hyperlink"/>
            <w:sz w:val="24"/>
            <w:lang w:val="hr-HR"/>
          </w:rPr>
          <w:t>https://doi.org/10.2903/j.efsa.2023.8031</w:t>
        </w:r>
      </w:hyperlink>
      <w:r w:rsidRPr="00D20B62">
        <w:rPr>
          <w:sz w:val="24"/>
          <w:lang w:val="hr-HR"/>
        </w:rPr>
        <w:t>.</w:t>
      </w:r>
    </w:p>
  </w:footnote>
  <w:footnote w:id="5">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color w:val="000000" w:themeColor="text1"/>
          <w:sz w:val="24"/>
          <w:lang w:val="hr-HR"/>
        </w:rPr>
        <w:t xml:space="preserve"> </w:t>
      </w:r>
      <w:r w:rsidR="00D20B62" w:rsidRPr="00D20B62">
        <w:rPr>
          <w:color w:val="000000" w:themeColor="text1"/>
          <w:sz w:val="24"/>
          <w:lang w:val="hr-HR"/>
        </w:rPr>
        <w:tab/>
      </w:r>
      <w:r w:rsidRPr="00D20B62">
        <w:rPr>
          <w:color w:val="000000" w:themeColor="text1"/>
          <w:sz w:val="24"/>
          <w:lang w:val="hr-HR"/>
        </w:rPr>
        <w:t xml:space="preserve">Parlament je u osmom sazivu donio 36, a u devetom sazivu 38 rezolucija u kojima se protivi odobravanju GMO-a. </w:t>
      </w:r>
    </w:p>
  </w:footnote>
  <w:footnote w:id="6">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 xml:space="preserve">Provedbena odluka Komisije 2013/649/EU </w:t>
      </w:r>
      <w:proofErr w:type="spellStart"/>
      <w:r w:rsidRPr="00D20B62">
        <w:rPr>
          <w:sz w:val="24"/>
          <w:lang w:val="hr-HR"/>
        </w:rPr>
        <w:t>оd</w:t>
      </w:r>
      <w:proofErr w:type="spellEnd"/>
      <w:r w:rsidRPr="00D20B62">
        <w:rPr>
          <w:sz w:val="24"/>
          <w:lang w:val="hr-HR"/>
        </w:rPr>
        <w:t xml:space="preserve"> 6. studenoga 2013. o odobravanju stavljanja na tržište </w:t>
      </w:r>
      <w:proofErr w:type="spellStart"/>
      <w:r w:rsidRPr="00D20B62">
        <w:rPr>
          <w:sz w:val="24"/>
          <w:lang w:val="hr-HR"/>
        </w:rPr>
        <w:t>peluda</w:t>
      </w:r>
      <w:proofErr w:type="spellEnd"/>
      <w:r w:rsidRPr="00D20B62">
        <w:rPr>
          <w:sz w:val="24"/>
          <w:lang w:val="hr-HR"/>
        </w:rPr>
        <w:t xml:space="preserve"> proizvedenog od kukuruza MON 810 (MON-ØØ81Ø-6) na temelju Uredbe (EZ) br. 1829/2003 Europskog parlamenta i Vijeća (SL L 302, 13.11.2013., str. </w:t>
      </w:r>
      <w:r w:rsidRPr="00D20B62">
        <w:rPr>
          <w:sz w:val="24"/>
          <w:lang w:val="hr-HR"/>
        </w:rPr>
        <w:t xml:space="preserve">44., ELI: </w:t>
      </w:r>
      <w:hyperlink r:id="rId5" w:tooltip="Dokument je dostupan na temelju identifikatora ELI URI." w:history="1">
        <w:r w:rsidRPr="00D20B62">
          <w:rPr>
            <w:rStyle w:val="Hyperlink"/>
            <w:color w:val="337AB7"/>
            <w:sz w:val="24"/>
            <w:shd w:val="clear" w:color="auto" w:fill="FFFFFF"/>
            <w:lang w:val="hr-HR"/>
          </w:rPr>
          <w:t>http://data.europa.eu/eli/dec_impl/2013/649/oj</w:t>
        </w:r>
      </w:hyperlink>
      <w:r w:rsidRPr="00D20B62">
        <w:rPr>
          <w:sz w:val="24"/>
          <w:lang w:val="hr-HR"/>
        </w:rPr>
        <w:t>).</w:t>
      </w:r>
    </w:p>
  </w:footnote>
  <w:footnote w:id="7">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 xml:space="preserve">Provedbena odluka Komisije (EU) 2017/1207 </w:t>
      </w:r>
      <w:proofErr w:type="spellStart"/>
      <w:r w:rsidRPr="00D20B62">
        <w:rPr>
          <w:sz w:val="24"/>
          <w:lang w:val="hr-HR"/>
        </w:rPr>
        <w:t>оd</w:t>
      </w:r>
      <w:proofErr w:type="spellEnd"/>
      <w:r w:rsidRPr="00D20B62">
        <w:rPr>
          <w:sz w:val="24"/>
          <w:lang w:val="hr-HR"/>
        </w:rPr>
        <w:t xml:space="preserve"> 4. srpnja 2017. o obnovi odobrenja za stavljanje na tržište proizvoda od genetski modificiranog kukuruza MON 810 (MON-ØØ81Ø-6) na temelju Uredbe (EZ) br. 1829/2003 Europskog parlamenta i Vijeća (SL L 173, 6.7.2017., str. </w:t>
      </w:r>
      <w:r w:rsidRPr="00D20B62">
        <w:rPr>
          <w:sz w:val="24"/>
          <w:lang w:val="hr-HR"/>
        </w:rPr>
        <w:t xml:space="preserve">18., ELI: </w:t>
      </w:r>
      <w:hyperlink r:id="rId6" w:tooltip="Dokument je dostupan na temelju identifikatora ELI URI." w:history="1">
        <w:r w:rsidRPr="00D20B62">
          <w:rPr>
            <w:rStyle w:val="Hyperlink"/>
            <w:color w:val="337AB7"/>
            <w:sz w:val="24"/>
            <w:shd w:val="clear" w:color="auto" w:fill="FFFFFF"/>
            <w:lang w:val="hr-HR"/>
          </w:rPr>
          <w:t>https://eur-lex.europa.eu/legal-content/HR/TXT/HTML/?uri=CELEX:32017D1207</w:t>
        </w:r>
      </w:hyperlink>
      <w:r w:rsidRPr="00D20B62">
        <w:rPr>
          <w:sz w:val="24"/>
          <w:lang w:val="hr-HR"/>
        </w:rPr>
        <w:t>).</w:t>
      </w:r>
    </w:p>
  </w:footnote>
  <w:footnote w:id="8">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Vidjeti pregled Rubio-</w:t>
      </w:r>
      <w:proofErr w:type="spellStart"/>
      <w:r w:rsidRPr="00D20B62">
        <w:rPr>
          <w:sz w:val="24"/>
          <w:lang w:val="hr-HR"/>
        </w:rPr>
        <w:t>Infante</w:t>
      </w:r>
      <w:proofErr w:type="spellEnd"/>
      <w:r w:rsidRPr="00D20B62">
        <w:rPr>
          <w:sz w:val="24"/>
          <w:lang w:val="hr-HR"/>
        </w:rPr>
        <w:t>, N., Moreno-</w:t>
      </w:r>
      <w:proofErr w:type="spellStart"/>
      <w:r w:rsidRPr="00D20B62">
        <w:rPr>
          <w:sz w:val="24"/>
          <w:lang w:val="hr-HR"/>
        </w:rPr>
        <w:t>Fierros</w:t>
      </w:r>
      <w:proofErr w:type="spellEnd"/>
      <w:r w:rsidRPr="00D20B62">
        <w:rPr>
          <w:sz w:val="24"/>
          <w:lang w:val="hr-HR"/>
        </w:rPr>
        <w:t>, L., „</w:t>
      </w:r>
      <w:proofErr w:type="spellStart"/>
      <w:r w:rsidRPr="00D20B62">
        <w:rPr>
          <w:sz w:val="24"/>
          <w:lang w:val="hr-HR"/>
        </w:rPr>
        <w:t>An</w:t>
      </w:r>
      <w:proofErr w:type="spellEnd"/>
      <w:r w:rsidRPr="00D20B62">
        <w:rPr>
          <w:sz w:val="24"/>
          <w:lang w:val="hr-HR"/>
        </w:rPr>
        <w:t xml:space="preserve"> </w:t>
      </w:r>
      <w:proofErr w:type="spellStart"/>
      <w:r w:rsidRPr="00D20B62">
        <w:rPr>
          <w:sz w:val="24"/>
          <w:lang w:val="hr-HR"/>
        </w:rPr>
        <w:t>overview</w:t>
      </w:r>
      <w:proofErr w:type="spellEnd"/>
      <w:r w:rsidRPr="00D20B62">
        <w:rPr>
          <w:sz w:val="24"/>
          <w:lang w:val="hr-HR"/>
        </w:rPr>
        <w:t xml:space="preserve"> </w:t>
      </w:r>
      <w:proofErr w:type="spellStart"/>
      <w:r w:rsidRPr="00D20B62">
        <w:rPr>
          <w:sz w:val="24"/>
          <w:lang w:val="hr-HR"/>
        </w:rPr>
        <w:t>of</w:t>
      </w:r>
      <w:proofErr w:type="spellEnd"/>
      <w:r w:rsidRPr="00D20B62">
        <w:rPr>
          <w:sz w:val="24"/>
          <w:lang w:val="hr-HR"/>
        </w:rPr>
        <w:t xml:space="preserve"> </w:t>
      </w:r>
      <w:proofErr w:type="spellStart"/>
      <w:r w:rsidRPr="00D20B62">
        <w:rPr>
          <w:sz w:val="24"/>
          <w:lang w:val="hr-HR"/>
        </w:rPr>
        <w:t>the</w:t>
      </w:r>
      <w:proofErr w:type="spellEnd"/>
      <w:r w:rsidRPr="00D20B62">
        <w:rPr>
          <w:sz w:val="24"/>
          <w:lang w:val="hr-HR"/>
        </w:rPr>
        <w:t xml:space="preserve"> </w:t>
      </w:r>
      <w:proofErr w:type="spellStart"/>
      <w:r w:rsidRPr="00D20B62">
        <w:rPr>
          <w:sz w:val="24"/>
          <w:lang w:val="hr-HR"/>
        </w:rPr>
        <w:t>safety</w:t>
      </w:r>
      <w:proofErr w:type="spellEnd"/>
      <w:r w:rsidRPr="00D20B62">
        <w:rPr>
          <w:sz w:val="24"/>
          <w:lang w:val="hr-HR"/>
        </w:rPr>
        <w:t xml:space="preserve"> </w:t>
      </w:r>
      <w:proofErr w:type="spellStart"/>
      <w:r w:rsidRPr="00D20B62">
        <w:rPr>
          <w:sz w:val="24"/>
          <w:lang w:val="hr-HR"/>
        </w:rPr>
        <w:t>and</w:t>
      </w:r>
      <w:proofErr w:type="spellEnd"/>
      <w:r w:rsidRPr="00D20B62">
        <w:rPr>
          <w:sz w:val="24"/>
          <w:lang w:val="hr-HR"/>
        </w:rPr>
        <w:t xml:space="preserve"> </w:t>
      </w:r>
      <w:proofErr w:type="spellStart"/>
      <w:r w:rsidRPr="00D20B62">
        <w:rPr>
          <w:sz w:val="24"/>
          <w:lang w:val="hr-HR"/>
        </w:rPr>
        <w:t>biological</w:t>
      </w:r>
      <w:proofErr w:type="spellEnd"/>
      <w:r w:rsidRPr="00D20B62">
        <w:rPr>
          <w:sz w:val="24"/>
          <w:lang w:val="hr-HR"/>
        </w:rPr>
        <w:t xml:space="preserve"> </w:t>
      </w:r>
      <w:proofErr w:type="spellStart"/>
      <w:r w:rsidRPr="00D20B62">
        <w:rPr>
          <w:sz w:val="24"/>
          <w:lang w:val="hr-HR"/>
        </w:rPr>
        <w:t>effects</w:t>
      </w:r>
      <w:proofErr w:type="spellEnd"/>
      <w:r w:rsidRPr="00D20B62">
        <w:rPr>
          <w:sz w:val="24"/>
          <w:lang w:val="hr-HR"/>
        </w:rPr>
        <w:t xml:space="preserve"> </w:t>
      </w:r>
      <w:proofErr w:type="spellStart"/>
      <w:r w:rsidRPr="00D20B62">
        <w:rPr>
          <w:sz w:val="24"/>
          <w:lang w:val="hr-HR"/>
        </w:rPr>
        <w:t>of</w:t>
      </w:r>
      <w:proofErr w:type="spellEnd"/>
      <w:r w:rsidRPr="00D20B62">
        <w:rPr>
          <w:sz w:val="24"/>
          <w:lang w:val="hr-HR"/>
        </w:rPr>
        <w:t> </w:t>
      </w:r>
      <w:proofErr w:type="spellStart"/>
      <w:r w:rsidRPr="00D20B62">
        <w:rPr>
          <w:i/>
          <w:sz w:val="24"/>
          <w:lang w:val="hr-HR"/>
        </w:rPr>
        <w:t>Bacillus</w:t>
      </w:r>
      <w:proofErr w:type="spellEnd"/>
      <w:r w:rsidRPr="00D20B62">
        <w:rPr>
          <w:i/>
          <w:sz w:val="24"/>
          <w:lang w:val="hr-HR"/>
        </w:rPr>
        <w:t xml:space="preserve"> </w:t>
      </w:r>
      <w:proofErr w:type="spellStart"/>
      <w:r w:rsidRPr="00D20B62">
        <w:rPr>
          <w:i/>
          <w:sz w:val="24"/>
          <w:lang w:val="hr-HR"/>
        </w:rPr>
        <w:t>thuringiensis</w:t>
      </w:r>
      <w:proofErr w:type="spellEnd"/>
      <w:r w:rsidRPr="00D20B62">
        <w:rPr>
          <w:sz w:val="24"/>
          <w:lang w:val="hr-HR"/>
        </w:rPr>
        <w:t> </w:t>
      </w:r>
      <w:proofErr w:type="spellStart"/>
      <w:r w:rsidRPr="00D20B62">
        <w:rPr>
          <w:sz w:val="24"/>
          <w:lang w:val="hr-HR"/>
        </w:rPr>
        <w:t>Cry</w:t>
      </w:r>
      <w:proofErr w:type="spellEnd"/>
      <w:r w:rsidRPr="00D20B62">
        <w:rPr>
          <w:sz w:val="24"/>
          <w:lang w:val="hr-HR"/>
        </w:rPr>
        <w:t xml:space="preserve"> </w:t>
      </w:r>
      <w:proofErr w:type="spellStart"/>
      <w:r w:rsidRPr="00D20B62">
        <w:rPr>
          <w:sz w:val="24"/>
          <w:lang w:val="hr-HR"/>
        </w:rPr>
        <w:t>toxins</w:t>
      </w:r>
      <w:proofErr w:type="spellEnd"/>
      <w:r w:rsidRPr="00D20B62">
        <w:rPr>
          <w:sz w:val="24"/>
          <w:lang w:val="hr-HR"/>
        </w:rPr>
        <w:t xml:space="preserve"> in </w:t>
      </w:r>
      <w:proofErr w:type="spellStart"/>
      <w:r w:rsidRPr="00D20B62">
        <w:rPr>
          <w:sz w:val="24"/>
          <w:lang w:val="hr-HR"/>
        </w:rPr>
        <w:t>mammals</w:t>
      </w:r>
      <w:proofErr w:type="spellEnd"/>
      <w:r w:rsidRPr="00D20B62">
        <w:rPr>
          <w:sz w:val="24"/>
          <w:lang w:val="hr-HR"/>
        </w:rPr>
        <w:t xml:space="preserve">” (Pregled sigurnosti i bioloških učinaka </w:t>
      </w:r>
      <w:proofErr w:type="spellStart"/>
      <w:r w:rsidRPr="00D20B62">
        <w:rPr>
          <w:sz w:val="24"/>
          <w:lang w:val="hr-HR"/>
        </w:rPr>
        <w:t>Cry</w:t>
      </w:r>
      <w:proofErr w:type="spellEnd"/>
      <w:r w:rsidRPr="00D20B62">
        <w:rPr>
          <w:sz w:val="24"/>
          <w:lang w:val="hr-HR"/>
        </w:rPr>
        <w:t xml:space="preserve"> toksina izazvanih bakterijom </w:t>
      </w:r>
      <w:proofErr w:type="spellStart"/>
      <w:r w:rsidRPr="00D20B62">
        <w:rPr>
          <w:sz w:val="24"/>
          <w:lang w:val="hr-HR"/>
        </w:rPr>
        <w:t>Bacillus</w:t>
      </w:r>
      <w:proofErr w:type="spellEnd"/>
      <w:r w:rsidRPr="00D20B62">
        <w:rPr>
          <w:sz w:val="24"/>
          <w:lang w:val="hr-HR"/>
        </w:rPr>
        <w:t xml:space="preserve"> </w:t>
      </w:r>
      <w:proofErr w:type="spellStart"/>
      <w:r w:rsidRPr="00D20B62">
        <w:rPr>
          <w:sz w:val="24"/>
          <w:lang w:val="hr-HR"/>
        </w:rPr>
        <w:t>thuringiensisa</w:t>
      </w:r>
      <w:proofErr w:type="spellEnd"/>
      <w:r w:rsidRPr="00D20B62">
        <w:rPr>
          <w:sz w:val="24"/>
          <w:lang w:val="hr-HR"/>
        </w:rPr>
        <w:t xml:space="preserve"> kod sisavaca), Journal </w:t>
      </w:r>
      <w:proofErr w:type="spellStart"/>
      <w:r w:rsidRPr="00D20B62">
        <w:rPr>
          <w:sz w:val="24"/>
          <w:lang w:val="hr-HR"/>
        </w:rPr>
        <w:t>of</w:t>
      </w:r>
      <w:proofErr w:type="spellEnd"/>
      <w:r w:rsidRPr="00D20B62">
        <w:rPr>
          <w:sz w:val="24"/>
          <w:lang w:val="hr-HR"/>
        </w:rPr>
        <w:t xml:space="preserve"> Applied </w:t>
      </w:r>
      <w:proofErr w:type="spellStart"/>
      <w:r w:rsidRPr="00D20B62">
        <w:rPr>
          <w:sz w:val="24"/>
          <w:lang w:val="hr-HR"/>
        </w:rPr>
        <w:t>Toxicology</w:t>
      </w:r>
      <w:proofErr w:type="spellEnd"/>
      <w:r w:rsidRPr="00D20B62">
        <w:rPr>
          <w:sz w:val="24"/>
          <w:lang w:val="hr-HR"/>
        </w:rPr>
        <w:t>, svibanj 2016., 36, 5, str. 630. </w:t>
      </w:r>
      <w:r w:rsidRPr="00D20B62">
        <w:rPr>
          <w:sz w:val="24"/>
          <w:lang w:val="hr-HR"/>
        </w:rPr>
        <w:t xml:space="preserve">– 648., </w:t>
      </w:r>
      <w:hyperlink r:id="rId7" w:history="1">
        <w:r w:rsidRPr="00D20B62">
          <w:rPr>
            <w:rStyle w:val="Hyperlink"/>
            <w:sz w:val="24"/>
            <w:lang w:val="hr-HR"/>
          </w:rPr>
          <w:t>https://onlinelibrary.wiley.com/doi/full/10.1002/jat.3252</w:t>
        </w:r>
      </w:hyperlink>
      <w:r w:rsidRPr="00D20B62">
        <w:rPr>
          <w:rStyle w:val="Hyperlink"/>
          <w:sz w:val="24"/>
          <w:lang w:val="hr-HR"/>
        </w:rPr>
        <w:t>.</w:t>
      </w:r>
    </w:p>
  </w:footnote>
  <w:footnote w:id="9">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proofErr w:type="spellStart"/>
      <w:r w:rsidRPr="00D20B62">
        <w:rPr>
          <w:sz w:val="24"/>
          <w:lang w:val="hr-HR"/>
        </w:rPr>
        <w:t>Hilbeck</w:t>
      </w:r>
      <w:proofErr w:type="spellEnd"/>
      <w:r w:rsidRPr="00D20B62">
        <w:rPr>
          <w:sz w:val="24"/>
          <w:lang w:val="hr-HR"/>
        </w:rPr>
        <w:t xml:space="preserve">, A., </w:t>
      </w:r>
      <w:proofErr w:type="spellStart"/>
      <w:r w:rsidRPr="00D20B62">
        <w:rPr>
          <w:sz w:val="24"/>
          <w:lang w:val="hr-HR"/>
        </w:rPr>
        <w:t>Defarge</w:t>
      </w:r>
      <w:proofErr w:type="spellEnd"/>
      <w:r w:rsidRPr="00D20B62">
        <w:rPr>
          <w:sz w:val="24"/>
          <w:lang w:val="hr-HR"/>
        </w:rPr>
        <w:t xml:space="preserve">, N., </w:t>
      </w:r>
      <w:proofErr w:type="spellStart"/>
      <w:r w:rsidRPr="00D20B62">
        <w:rPr>
          <w:sz w:val="24"/>
          <w:lang w:val="hr-HR"/>
        </w:rPr>
        <w:t>Lebrecht</w:t>
      </w:r>
      <w:proofErr w:type="spellEnd"/>
      <w:r w:rsidRPr="00D20B62">
        <w:rPr>
          <w:sz w:val="24"/>
          <w:lang w:val="hr-HR"/>
        </w:rPr>
        <w:t xml:space="preserve">, T., </w:t>
      </w:r>
      <w:proofErr w:type="spellStart"/>
      <w:r w:rsidRPr="00D20B62">
        <w:rPr>
          <w:sz w:val="24"/>
          <w:lang w:val="hr-HR"/>
        </w:rPr>
        <w:t>Bøhn</w:t>
      </w:r>
      <w:proofErr w:type="spellEnd"/>
      <w:r w:rsidRPr="00D20B62">
        <w:rPr>
          <w:sz w:val="24"/>
          <w:lang w:val="hr-HR"/>
        </w:rPr>
        <w:t xml:space="preserve">, T., </w:t>
      </w:r>
      <w:proofErr w:type="spellStart"/>
      <w:r w:rsidRPr="00D20B62">
        <w:rPr>
          <w:sz w:val="24"/>
          <w:lang w:val="hr-HR"/>
        </w:rPr>
        <w:t>Insecticidal</w:t>
      </w:r>
      <w:proofErr w:type="spellEnd"/>
      <w:r w:rsidRPr="00D20B62">
        <w:rPr>
          <w:sz w:val="24"/>
          <w:lang w:val="hr-HR"/>
        </w:rPr>
        <w:t xml:space="preserve"> </w:t>
      </w:r>
      <w:proofErr w:type="spellStart"/>
      <w:r w:rsidRPr="00D20B62">
        <w:rPr>
          <w:sz w:val="24"/>
          <w:lang w:val="hr-HR"/>
        </w:rPr>
        <w:t>Bt</w:t>
      </w:r>
      <w:proofErr w:type="spellEnd"/>
      <w:r w:rsidRPr="00D20B62">
        <w:rPr>
          <w:sz w:val="24"/>
          <w:lang w:val="hr-HR"/>
        </w:rPr>
        <w:t xml:space="preserve"> </w:t>
      </w:r>
      <w:proofErr w:type="spellStart"/>
      <w:r w:rsidRPr="00D20B62">
        <w:rPr>
          <w:sz w:val="24"/>
          <w:lang w:val="hr-HR"/>
        </w:rPr>
        <w:t>crops</w:t>
      </w:r>
      <w:proofErr w:type="spellEnd"/>
      <w:r w:rsidRPr="00D20B62">
        <w:rPr>
          <w:sz w:val="24"/>
          <w:lang w:val="hr-HR"/>
        </w:rPr>
        <w:t xml:space="preserve">. </w:t>
      </w:r>
      <w:proofErr w:type="spellStart"/>
      <w:r w:rsidRPr="00D20B62">
        <w:rPr>
          <w:sz w:val="24"/>
          <w:lang w:val="hr-HR"/>
        </w:rPr>
        <w:t>EFSA’s</w:t>
      </w:r>
      <w:proofErr w:type="spellEnd"/>
      <w:r w:rsidRPr="00D20B62">
        <w:rPr>
          <w:sz w:val="24"/>
          <w:lang w:val="hr-HR"/>
        </w:rPr>
        <w:t xml:space="preserve"> </w:t>
      </w:r>
      <w:proofErr w:type="spellStart"/>
      <w:r w:rsidRPr="00D20B62">
        <w:rPr>
          <w:sz w:val="24"/>
          <w:lang w:val="hr-HR"/>
        </w:rPr>
        <w:t>risk</w:t>
      </w:r>
      <w:proofErr w:type="spellEnd"/>
      <w:r w:rsidRPr="00D20B62">
        <w:rPr>
          <w:sz w:val="24"/>
          <w:lang w:val="hr-HR"/>
        </w:rPr>
        <w:t xml:space="preserve"> </w:t>
      </w:r>
      <w:proofErr w:type="spellStart"/>
      <w:r w:rsidRPr="00D20B62">
        <w:rPr>
          <w:sz w:val="24"/>
          <w:lang w:val="hr-HR"/>
        </w:rPr>
        <w:t>assessment</w:t>
      </w:r>
      <w:proofErr w:type="spellEnd"/>
      <w:r w:rsidRPr="00D20B62">
        <w:rPr>
          <w:sz w:val="24"/>
          <w:lang w:val="hr-HR"/>
        </w:rPr>
        <w:t xml:space="preserve"> </w:t>
      </w:r>
      <w:proofErr w:type="spellStart"/>
      <w:r w:rsidRPr="00D20B62">
        <w:rPr>
          <w:sz w:val="24"/>
          <w:lang w:val="hr-HR"/>
        </w:rPr>
        <w:t>approach</w:t>
      </w:r>
      <w:proofErr w:type="spellEnd"/>
      <w:r w:rsidRPr="00D20B62">
        <w:rPr>
          <w:sz w:val="24"/>
          <w:lang w:val="hr-HR"/>
        </w:rPr>
        <w:t xml:space="preserve"> for GM </w:t>
      </w:r>
      <w:proofErr w:type="spellStart"/>
      <w:r w:rsidRPr="00D20B62">
        <w:rPr>
          <w:sz w:val="24"/>
          <w:lang w:val="hr-HR"/>
        </w:rPr>
        <w:t>Bt</w:t>
      </w:r>
      <w:proofErr w:type="spellEnd"/>
      <w:r w:rsidRPr="00D20B62">
        <w:rPr>
          <w:sz w:val="24"/>
          <w:lang w:val="hr-HR"/>
        </w:rPr>
        <w:t xml:space="preserve"> </w:t>
      </w:r>
      <w:proofErr w:type="spellStart"/>
      <w:r w:rsidRPr="00D20B62">
        <w:rPr>
          <w:sz w:val="24"/>
          <w:lang w:val="hr-HR"/>
        </w:rPr>
        <w:t>plants</w:t>
      </w:r>
      <w:proofErr w:type="spellEnd"/>
      <w:r w:rsidRPr="00D20B62">
        <w:rPr>
          <w:sz w:val="24"/>
          <w:lang w:val="hr-HR"/>
        </w:rPr>
        <w:t xml:space="preserve"> </w:t>
      </w:r>
      <w:proofErr w:type="spellStart"/>
      <w:r w:rsidRPr="00D20B62">
        <w:rPr>
          <w:sz w:val="24"/>
          <w:lang w:val="hr-HR"/>
        </w:rPr>
        <w:t>fails</w:t>
      </w:r>
      <w:proofErr w:type="spellEnd"/>
      <w:r w:rsidRPr="00D20B62">
        <w:rPr>
          <w:sz w:val="24"/>
          <w:lang w:val="hr-HR"/>
        </w:rPr>
        <w:t xml:space="preserve"> </w:t>
      </w:r>
      <w:proofErr w:type="spellStart"/>
      <w:r w:rsidRPr="00D20B62">
        <w:rPr>
          <w:sz w:val="24"/>
          <w:lang w:val="hr-HR"/>
        </w:rPr>
        <w:t>by</w:t>
      </w:r>
      <w:proofErr w:type="spellEnd"/>
      <w:r w:rsidRPr="00D20B62">
        <w:rPr>
          <w:sz w:val="24"/>
          <w:lang w:val="hr-HR"/>
        </w:rPr>
        <w:t xml:space="preserve"> design (Insekticidni </w:t>
      </w:r>
      <w:proofErr w:type="spellStart"/>
      <w:r w:rsidRPr="00D20B62">
        <w:rPr>
          <w:sz w:val="24"/>
          <w:lang w:val="hr-HR"/>
        </w:rPr>
        <w:t>Bt</w:t>
      </w:r>
      <w:proofErr w:type="spellEnd"/>
      <w:r w:rsidRPr="00D20B62">
        <w:rPr>
          <w:sz w:val="24"/>
          <w:lang w:val="hr-HR"/>
        </w:rPr>
        <w:t xml:space="preserve">-usjevi – EFSA-in pristup procjeni rizika za neuspješno dizajnirane genetski modificirane </w:t>
      </w:r>
      <w:proofErr w:type="spellStart"/>
      <w:r w:rsidRPr="00D20B62">
        <w:rPr>
          <w:sz w:val="24"/>
          <w:lang w:val="hr-HR"/>
        </w:rPr>
        <w:t>Bt</w:t>
      </w:r>
      <w:proofErr w:type="spellEnd"/>
      <w:r w:rsidRPr="00D20B62">
        <w:rPr>
          <w:sz w:val="24"/>
          <w:lang w:val="hr-HR"/>
        </w:rPr>
        <w:t>-biljke), RAGES 2020., str. </w:t>
      </w:r>
      <w:r w:rsidRPr="00D20B62">
        <w:rPr>
          <w:sz w:val="24"/>
          <w:lang w:val="hr-HR"/>
        </w:rPr>
        <w:t xml:space="preserve">4, </w:t>
      </w:r>
      <w:hyperlink r:id="rId8" w:history="1">
        <w:r w:rsidRPr="00D20B62">
          <w:rPr>
            <w:rStyle w:val="Hyperlink"/>
            <w:sz w:val="24"/>
            <w:lang w:val="hr-HR"/>
          </w:rPr>
          <w:t>https://www.testbiotech.org/wp-content/uploads/2023/12/RAGES_report-Insecticidal-Bt-plants.pdf</w:t>
        </w:r>
      </w:hyperlink>
      <w:r w:rsidRPr="00D20B62">
        <w:rPr>
          <w:rStyle w:val="Hyperlink"/>
          <w:sz w:val="24"/>
          <w:lang w:val="hr-HR"/>
        </w:rPr>
        <w:t xml:space="preserve">; </w:t>
      </w:r>
      <w:r w:rsidRPr="00D20B62">
        <w:rPr>
          <w:sz w:val="24"/>
          <w:lang w:val="hr-HR"/>
        </w:rPr>
        <w:tab/>
        <w:t xml:space="preserve">Vidjeti primjerice, </w:t>
      </w:r>
      <w:proofErr w:type="spellStart"/>
      <w:r w:rsidRPr="00D20B62">
        <w:rPr>
          <w:sz w:val="24"/>
          <w:lang w:val="hr-HR"/>
        </w:rPr>
        <w:t>Hilbeck</w:t>
      </w:r>
      <w:proofErr w:type="spellEnd"/>
      <w:r w:rsidRPr="00D20B62">
        <w:rPr>
          <w:sz w:val="24"/>
          <w:lang w:val="hr-HR"/>
        </w:rPr>
        <w:t>, A., Otto, M., „</w:t>
      </w:r>
      <w:proofErr w:type="spellStart"/>
      <w:r w:rsidRPr="00D20B62">
        <w:rPr>
          <w:sz w:val="24"/>
          <w:lang w:val="hr-HR"/>
        </w:rPr>
        <w:t>Specificity</w:t>
      </w:r>
      <w:proofErr w:type="spellEnd"/>
      <w:r w:rsidRPr="00D20B62">
        <w:rPr>
          <w:sz w:val="24"/>
          <w:lang w:val="hr-HR"/>
        </w:rPr>
        <w:t xml:space="preserve"> </w:t>
      </w:r>
      <w:proofErr w:type="spellStart"/>
      <w:r w:rsidRPr="00D20B62">
        <w:rPr>
          <w:sz w:val="24"/>
          <w:lang w:val="hr-HR"/>
        </w:rPr>
        <w:t>and</w:t>
      </w:r>
      <w:proofErr w:type="spellEnd"/>
      <w:r w:rsidRPr="00D20B62">
        <w:rPr>
          <w:sz w:val="24"/>
          <w:lang w:val="hr-HR"/>
        </w:rPr>
        <w:t xml:space="preserve"> </w:t>
      </w:r>
      <w:proofErr w:type="spellStart"/>
      <w:r w:rsidRPr="00D20B62">
        <w:rPr>
          <w:sz w:val="24"/>
          <w:lang w:val="hr-HR"/>
        </w:rPr>
        <w:t>combinatorial</w:t>
      </w:r>
      <w:proofErr w:type="spellEnd"/>
      <w:r w:rsidRPr="00D20B62">
        <w:rPr>
          <w:sz w:val="24"/>
          <w:lang w:val="hr-HR"/>
        </w:rPr>
        <w:t xml:space="preserve"> </w:t>
      </w:r>
      <w:proofErr w:type="spellStart"/>
      <w:r w:rsidRPr="00D20B62">
        <w:rPr>
          <w:sz w:val="24"/>
          <w:lang w:val="hr-HR"/>
        </w:rPr>
        <w:t>effects</w:t>
      </w:r>
      <w:proofErr w:type="spellEnd"/>
      <w:r w:rsidRPr="00D20B62">
        <w:rPr>
          <w:sz w:val="24"/>
          <w:lang w:val="hr-HR"/>
        </w:rPr>
        <w:t xml:space="preserve"> </w:t>
      </w:r>
      <w:proofErr w:type="spellStart"/>
      <w:r w:rsidRPr="00D20B62">
        <w:rPr>
          <w:sz w:val="24"/>
          <w:lang w:val="hr-HR"/>
        </w:rPr>
        <w:t>of</w:t>
      </w:r>
      <w:proofErr w:type="spellEnd"/>
      <w:r w:rsidRPr="00D20B62">
        <w:rPr>
          <w:sz w:val="24"/>
          <w:lang w:val="hr-HR"/>
        </w:rPr>
        <w:t xml:space="preserve"> </w:t>
      </w:r>
      <w:proofErr w:type="spellStart"/>
      <w:r w:rsidRPr="00D20B62">
        <w:rPr>
          <w:i/>
          <w:sz w:val="24"/>
          <w:lang w:val="hr-HR"/>
        </w:rPr>
        <w:t>Bacillus</w:t>
      </w:r>
      <w:proofErr w:type="spellEnd"/>
      <w:r w:rsidRPr="00D20B62">
        <w:rPr>
          <w:i/>
          <w:sz w:val="24"/>
          <w:lang w:val="hr-HR"/>
        </w:rPr>
        <w:t xml:space="preserve"> </w:t>
      </w:r>
      <w:proofErr w:type="spellStart"/>
      <w:r w:rsidRPr="00D20B62">
        <w:rPr>
          <w:i/>
          <w:sz w:val="24"/>
          <w:lang w:val="hr-HR"/>
        </w:rPr>
        <w:t>thuringiensis</w:t>
      </w:r>
      <w:proofErr w:type="spellEnd"/>
      <w:r w:rsidRPr="00D20B62">
        <w:rPr>
          <w:sz w:val="24"/>
          <w:lang w:val="hr-HR"/>
        </w:rPr>
        <w:t xml:space="preserve"> </w:t>
      </w:r>
      <w:proofErr w:type="spellStart"/>
      <w:r w:rsidRPr="00D20B62">
        <w:rPr>
          <w:sz w:val="24"/>
          <w:lang w:val="hr-HR"/>
        </w:rPr>
        <w:t>Cry</w:t>
      </w:r>
      <w:proofErr w:type="spellEnd"/>
      <w:r w:rsidRPr="00D20B62">
        <w:rPr>
          <w:sz w:val="24"/>
          <w:lang w:val="hr-HR"/>
        </w:rPr>
        <w:t xml:space="preserve"> </w:t>
      </w:r>
      <w:proofErr w:type="spellStart"/>
      <w:r w:rsidRPr="00D20B62">
        <w:rPr>
          <w:sz w:val="24"/>
          <w:lang w:val="hr-HR"/>
        </w:rPr>
        <w:t>toxins</w:t>
      </w:r>
      <w:proofErr w:type="spellEnd"/>
      <w:r w:rsidRPr="00D20B62">
        <w:rPr>
          <w:sz w:val="24"/>
          <w:lang w:val="hr-HR"/>
        </w:rPr>
        <w:t xml:space="preserve"> in </w:t>
      </w:r>
      <w:proofErr w:type="spellStart"/>
      <w:r w:rsidRPr="00D20B62">
        <w:rPr>
          <w:sz w:val="24"/>
          <w:lang w:val="hr-HR"/>
        </w:rPr>
        <w:t>the</w:t>
      </w:r>
      <w:proofErr w:type="spellEnd"/>
      <w:r w:rsidRPr="00D20B62">
        <w:rPr>
          <w:sz w:val="24"/>
          <w:lang w:val="hr-HR"/>
        </w:rPr>
        <w:t xml:space="preserve"> </w:t>
      </w:r>
      <w:proofErr w:type="spellStart"/>
      <w:r w:rsidRPr="00D20B62">
        <w:rPr>
          <w:sz w:val="24"/>
          <w:lang w:val="hr-HR"/>
        </w:rPr>
        <w:t>context</w:t>
      </w:r>
      <w:proofErr w:type="spellEnd"/>
      <w:r w:rsidRPr="00D20B62">
        <w:rPr>
          <w:sz w:val="24"/>
          <w:lang w:val="hr-HR"/>
        </w:rPr>
        <w:t xml:space="preserve"> </w:t>
      </w:r>
      <w:proofErr w:type="spellStart"/>
      <w:r w:rsidRPr="00D20B62">
        <w:rPr>
          <w:sz w:val="24"/>
          <w:lang w:val="hr-HR"/>
        </w:rPr>
        <w:t>of</w:t>
      </w:r>
      <w:proofErr w:type="spellEnd"/>
      <w:r w:rsidRPr="00D20B62">
        <w:rPr>
          <w:sz w:val="24"/>
          <w:lang w:val="hr-HR"/>
        </w:rPr>
        <w:t xml:space="preserve"> GMO </w:t>
      </w:r>
      <w:proofErr w:type="spellStart"/>
      <w:r w:rsidRPr="00D20B62">
        <w:rPr>
          <w:sz w:val="24"/>
          <w:lang w:val="hr-HR"/>
        </w:rPr>
        <w:t>environmental</w:t>
      </w:r>
      <w:proofErr w:type="spellEnd"/>
      <w:r w:rsidRPr="00D20B62">
        <w:rPr>
          <w:sz w:val="24"/>
          <w:lang w:val="hr-HR"/>
        </w:rPr>
        <w:t xml:space="preserve"> </w:t>
      </w:r>
      <w:proofErr w:type="spellStart"/>
      <w:r w:rsidRPr="00D20B62">
        <w:rPr>
          <w:sz w:val="24"/>
          <w:lang w:val="hr-HR"/>
        </w:rPr>
        <w:t>risk</w:t>
      </w:r>
      <w:proofErr w:type="spellEnd"/>
      <w:r w:rsidRPr="00D20B62">
        <w:rPr>
          <w:sz w:val="24"/>
          <w:lang w:val="hr-HR"/>
        </w:rPr>
        <w:t xml:space="preserve"> </w:t>
      </w:r>
      <w:proofErr w:type="spellStart"/>
      <w:r w:rsidRPr="00D20B62">
        <w:rPr>
          <w:sz w:val="24"/>
          <w:lang w:val="hr-HR"/>
        </w:rPr>
        <w:t>assessment</w:t>
      </w:r>
      <w:proofErr w:type="spellEnd"/>
      <w:r w:rsidRPr="00D20B62">
        <w:rPr>
          <w:sz w:val="24"/>
          <w:lang w:val="hr-HR"/>
        </w:rPr>
        <w:t xml:space="preserve">”(Specifičnost i </w:t>
      </w:r>
      <w:proofErr w:type="spellStart"/>
      <w:r w:rsidRPr="00D20B62">
        <w:rPr>
          <w:sz w:val="24"/>
          <w:lang w:val="hr-HR"/>
        </w:rPr>
        <w:t>kombinatorički</w:t>
      </w:r>
      <w:proofErr w:type="spellEnd"/>
      <w:r w:rsidRPr="00D20B62">
        <w:rPr>
          <w:sz w:val="24"/>
          <w:lang w:val="hr-HR"/>
        </w:rPr>
        <w:t xml:space="preserve"> učinci toksina </w:t>
      </w:r>
      <w:proofErr w:type="spellStart"/>
      <w:r w:rsidRPr="00D20B62">
        <w:rPr>
          <w:sz w:val="24"/>
          <w:lang w:val="hr-HR"/>
        </w:rPr>
        <w:t>Cry</w:t>
      </w:r>
      <w:proofErr w:type="spellEnd"/>
      <w:r w:rsidRPr="00D20B62">
        <w:rPr>
          <w:sz w:val="24"/>
          <w:lang w:val="hr-HR"/>
        </w:rPr>
        <w:t xml:space="preserve"> </w:t>
      </w:r>
      <w:proofErr w:type="spellStart"/>
      <w:r w:rsidRPr="00D20B62">
        <w:rPr>
          <w:sz w:val="24"/>
          <w:lang w:val="hr-HR"/>
        </w:rPr>
        <w:t>Bacillus</w:t>
      </w:r>
      <w:proofErr w:type="spellEnd"/>
      <w:r w:rsidRPr="00D20B62">
        <w:rPr>
          <w:sz w:val="24"/>
          <w:lang w:val="hr-HR"/>
        </w:rPr>
        <w:t xml:space="preserve"> </w:t>
      </w:r>
      <w:proofErr w:type="spellStart"/>
      <w:r w:rsidRPr="00D20B62">
        <w:rPr>
          <w:sz w:val="24"/>
          <w:lang w:val="hr-HR"/>
        </w:rPr>
        <w:t>thuringiensisa</w:t>
      </w:r>
      <w:proofErr w:type="spellEnd"/>
      <w:r w:rsidRPr="00D20B62">
        <w:rPr>
          <w:sz w:val="24"/>
          <w:lang w:val="hr-HR"/>
        </w:rPr>
        <w:t xml:space="preserve"> u kontekstu procjene okolišnog rizika GMO-a), </w:t>
      </w:r>
      <w:proofErr w:type="spellStart"/>
      <w:r w:rsidRPr="00D20B62">
        <w:rPr>
          <w:sz w:val="24"/>
          <w:lang w:val="hr-HR"/>
        </w:rPr>
        <w:t>Frontiers</w:t>
      </w:r>
      <w:proofErr w:type="spellEnd"/>
      <w:r w:rsidRPr="00D20B62">
        <w:rPr>
          <w:sz w:val="24"/>
          <w:lang w:val="hr-HR"/>
        </w:rPr>
        <w:t xml:space="preserve"> in </w:t>
      </w:r>
      <w:proofErr w:type="spellStart"/>
      <w:r w:rsidRPr="00D20B62">
        <w:rPr>
          <w:sz w:val="24"/>
          <w:lang w:val="hr-HR"/>
        </w:rPr>
        <w:t>Environmental</w:t>
      </w:r>
      <w:proofErr w:type="spellEnd"/>
      <w:r w:rsidRPr="00D20B62">
        <w:rPr>
          <w:sz w:val="24"/>
          <w:lang w:val="hr-HR"/>
        </w:rPr>
        <w:t xml:space="preserve"> Science 2015, 3:71, </w:t>
      </w:r>
      <w:hyperlink r:id="rId9" w:history="1">
        <w:r w:rsidRPr="00D20B62">
          <w:rPr>
            <w:rStyle w:val="Hyperlink"/>
            <w:sz w:val="24"/>
            <w:lang w:val="hr-HR"/>
          </w:rPr>
          <w:t>https://doi.org/10.3389/fenvs.2015.00071</w:t>
        </w:r>
      </w:hyperlink>
      <w:r w:rsidRPr="00D20B62">
        <w:rPr>
          <w:sz w:val="24"/>
          <w:lang w:val="hr-HR"/>
        </w:rPr>
        <w:t>.</w:t>
      </w:r>
    </w:p>
  </w:footnote>
  <w:footnote w:id="10">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hyperlink r:id="rId10" w:history="1">
        <w:r w:rsidRPr="00D20B62">
          <w:rPr>
            <w:rStyle w:val="Hyperlink"/>
            <w:sz w:val="24"/>
            <w:lang w:val="hr-HR"/>
          </w:rPr>
          <w:t>https://efsa.onlinelibrary.wiley.com/action/downloadSupplement?doi=10.2903%‌2Fj.efsa.2024.8489&amp;file=efs28489-sup-0008-Annex_8.pdf</w:t>
        </w:r>
      </w:hyperlink>
      <w:r w:rsidRPr="00D20B62">
        <w:rPr>
          <w:rStyle w:val="Hyperlink"/>
          <w:sz w:val="24"/>
          <w:lang w:val="hr-HR"/>
        </w:rPr>
        <w:t>.</w:t>
      </w:r>
    </w:p>
  </w:footnote>
  <w:footnote w:id="11">
    <w:p w:rsidR="00871580" w:rsidRPr="00D20B62" w:rsidRDefault="00871580" w:rsidP="00D20B62">
      <w:pPr>
        <w:pStyle w:val="FootnoteText"/>
        <w:ind w:left="567" w:hanging="567"/>
        <w:rPr>
          <w:sz w:val="24"/>
          <w:vertAlign w:val="superscript"/>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hyperlink r:id="rId11" w:history="1">
        <w:r w:rsidRPr="00D20B62">
          <w:rPr>
            <w:rStyle w:val="Hyperlink"/>
            <w:sz w:val="24"/>
            <w:lang w:val="hr-HR"/>
          </w:rPr>
          <w:t>https://commission.europa.eu/document/2c64e540-c07a-4376-a1da-368d289f4afe_en</w:t>
        </w:r>
      </w:hyperlink>
    </w:p>
    <w:p w:rsidR="00871580" w:rsidRPr="00D20B62" w:rsidRDefault="00D20B62" w:rsidP="00D20B62">
      <w:pPr>
        <w:pStyle w:val="FootnoteText"/>
        <w:ind w:left="567" w:hanging="567"/>
        <w:rPr>
          <w:sz w:val="24"/>
          <w:lang w:val="hr-HR"/>
        </w:rPr>
      </w:pPr>
      <w:r w:rsidRPr="00D20B62">
        <w:rPr>
          <w:sz w:val="24"/>
          <w:lang w:val="hr-HR"/>
        </w:rPr>
        <w:t xml:space="preserve"> </w:t>
      </w:r>
      <w:r w:rsidRPr="00D20B62">
        <w:rPr>
          <w:sz w:val="24"/>
          <w:lang w:val="hr-HR"/>
        </w:rPr>
        <w:tab/>
      </w:r>
    </w:p>
  </w:footnote>
  <w:footnote w:id="12">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U skladu s člankom 6. stavkom 3. Uredbe (EU) br. 182/2011 Komisija „može”, ali ne „mora” dati odobrenje ako se u okviru žalbenog odbora za to ne izjasni kvalificirana većina država članica.</w:t>
      </w:r>
    </w:p>
  </w:footnote>
  <w:footnote w:id="13">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D20B62">
        <w:rPr>
          <w:sz w:val="24"/>
          <w:lang w:val="hr-HR"/>
        </w:rPr>
        <w:t xml:space="preserve">1., ELI: </w:t>
      </w:r>
      <w:hyperlink r:id="rId12" w:tooltip="Dokument je dostupan na temelju identifikatora ELI URI." w:history="1">
        <w:r w:rsidRPr="00D20B62">
          <w:rPr>
            <w:rStyle w:val="Hyperlink"/>
            <w:color w:val="337AB7"/>
            <w:sz w:val="24"/>
            <w:shd w:val="clear" w:color="auto" w:fill="FFFFFF"/>
            <w:lang w:val="hr-HR"/>
          </w:rPr>
          <w:t>https://eur-lex.europa.eu/eli/reg/2002/178/oj?eliuri=eli%3Areg%3A2002%3A178%3Aoj&amp;locale=hr</w:t>
        </w:r>
      </w:hyperlink>
      <w:r w:rsidRPr="00D20B62">
        <w:rPr>
          <w:sz w:val="24"/>
          <w:lang w:val="hr-HR"/>
        </w:rPr>
        <w:t>).</w:t>
      </w:r>
    </w:p>
  </w:footnote>
  <w:footnote w:id="14">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hyperlink r:id="rId13" w:history="1">
        <w:r w:rsidRPr="00D20B62">
          <w:rPr>
            <w:rStyle w:val="Hyperlink"/>
            <w:sz w:val="24"/>
            <w:lang w:val="hr-HR"/>
          </w:rPr>
          <w:t>https://tillymetz.lu/wp-content/uploads/2020/09/Co-signed-letter-MEP-Metz.pdf</w:t>
        </w:r>
      </w:hyperlink>
      <w:r w:rsidRPr="00D20B62">
        <w:rPr>
          <w:rStyle w:val="Hyperlink"/>
          <w:sz w:val="24"/>
          <w:lang w:val="hr-HR"/>
        </w:rPr>
        <w:t>.</w:t>
      </w:r>
    </w:p>
  </w:footnote>
  <w:footnote w:id="15">
    <w:p w:rsidR="00871580" w:rsidRPr="00D20B62" w:rsidRDefault="00871580" w:rsidP="00D20B62">
      <w:pPr>
        <w:pStyle w:val="FootnoteText"/>
        <w:ind w:left="567" w:hanging="567"/>
        <w:rPr>
          <w:sz w:val="24"/>
          <w:lang w:val="hr-HR"/>
        </w:rPr>
      </w:pPr>
      <w:r w:rsidRPr="00D20B62">
        <w:rPr>
          <w:rStyle w:val="FootnoteReference"/>
          <w:sz w:val="24"/>
          <w:lang w:val="hr-HR"/>
        </w:rPr>
        <w:footnoteRef/>
      </w:r>
      <w:r w:rsidR="00D20B62" w:rsidRPr="00D20B62">
        <w:rPr>
          <w:sz w:val="24"/>
          <w:lang w:val="hr-HR"/>
        </w:rPr>
        <w:t xml:space="preserve"> </w:t>
      </w:r>
      <w:r w:rsidR="00D20B62" w:rsidRPr="00D20B62">
        <w:rPr>
          <w:sz w:val="24"/>
          <w:lang w:val="hr-HR"/>
        </w:rPr>
        <w:tab/>
      </w:r>
      <w:r w:rsidRPr="00D20B62">
        <w:rPr>
          <w:sz w:val="24"/>
          <w:lang w:val="hr-HR"/>
        </w:rPr>
        <w:t>Rezolucija Europskog parlamenta od 15. siječnja 2020. o europskom zelenom planu (SL C 270, 7.7.2021., str. 2</w:t>
      </w:r>
      <w:r w:rsidR="00902014">
        <w:rPr>
          <w:sz w:val="24"/>
          <w:lang w:val="hr-HR"/>
        </w:rPr>
        <w:t>.</w:t>
      </w:r>
      <w:r w:rsidRPr="00D20B62">
        <w:rPr>
          <w:sz w:val="24"/>
          <w:lang w:val="hr-HR"/>
        </w:rPr>
        <w:t>),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B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B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B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HR"/>
    <w:docVar w:name="dvnumam" w:val="0"/>
    <w:docVar w:name="dvpe" w:val="763.280"/>
    <w:docVar w:name="dvtitre" w:val="Rezolucija Europskog parlamenta od ....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2024/2840(RSP))"/>
  </w:docVars>
  <w:rsids>
    <w:rsidRoot w:val="00FE7660"/>
    <w:rsid w:val="00002272"/>
    <w:rsid w:val="00064002"/>
    <w:rsid w:val="000677B9"/>
    <w:rsid w:val="000831BA"/>
    <w:rsid w:val="000A42CC"/>
    <w:rsid w:val="000E7DD9"/>
    <w:rsid w:val="0010095E"/>
    <w:rsid w:val="00125B37"/>
    <w:rsid w:val="00187494"/>
    <w:rsid w:val="001A25B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323"/>
    <w:rsid w:val="004C0004"/>
    <w:rsid w:val="004C5D52"/>
    <w:rsid w:val="0050519A"/>
    <w:rsid w:val="005072A1"/>
    <w:rsid w:val="00514517"/>
    <w:rsid w:val="00545827"/>
    <w:rsid w:val="00560270"/>
    <w:rsid w:val="005C2568"/>
    <w:rsid w:val="005F1B17"/>
    <w:rsid w:val="006037C0"/>
    <w:rsid w:val="006631B6"/>
    <w:rsid w:val="00680577"/>
    <w:rsid w:val="006F74FA"/>
    <w:rsid w:val="00707C6E"/>
    <w:rsid w:val="00731ADD"/>
    <w:rsid w:val="00734777"/>
    <w:rsid w:val="00747932"/>
    <w:rsid w:val="00751A4A"/>
    <w:rsid w:val="00756632"/>
    <w:rsid w:val="00762C74"/>
    <w:rsid w:val="00786EC0"/>
    <w:rsid w:val="007D1690"/>
    <w:rsid w:val="007E22AD"/>
    <w:rsid w:val="00817416"/>
    <w:rsid w:val="00842779"/>
    <w:rsid w:val="00865F67"/>
    <w:rsid w:val="00871580"/>
    <w:rsid w:val="00881A7B"/>
    <w:rsid w:val="008840E5"/>
    <w:rsid w:val="00887B3E"/>
    <w:rsid w:val="008C2AC6"/>
    <w:rsid w:val="0090201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B62"/>
    <w:rsid w:val="00D56C11"/>
    <w:rsid w:val="00D834A0"/>
    <w:rsid w:val="00D872DF"/>
    <w:rsid w:val="00D91E21"/>
    <w:rsid w:val="00DA7FCD"/>
    <w:rsid w:val="00E27EA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66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47A10"/>
  <w15:chartTrackingRefBased/>
  <w15:docId w15:val="{A1839F56-2CD6-4247-AB82-0B4C7D79B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1580"/>
    <w:pPr>
      <w:spacing w:before="480" w:after="240"/>
    </w:pPr>
  </w:style>
  <w:style w:type="paragraph" w:customStyle="1" w:styleId="NormalHanging12a">
    <w:name w:val="NormalHanging12a"/>
    <w:basedOn w:val="Normal"/>
    <w:rsid w:val="00871580"/>
    <w:pPr>
      <w:spacing w:after="240"/>
      <w:ind w:left="567" w:hanging="567"/>
    </w:pPr>
  </w:style>
  <w:style w:type="character" w:styleId="Hyperlink">
    <w:name w:val="Hyperlink"/>
    <w:basedOn w:val="DefaultParagraphFont"/>
    <w:uiPriority w:val="99"/>
    <w:rsid w:val="00871580"/>
    <w:rPr>
      <w:color w:val="0563C1" w:themeColor="hyperlink"/>
      <w:u w:val="single"/>
    </w:rPr>
  </w:style>
  <w:style w:type="character" w:styleId="FollowedHyperlink">
    <w:name w:val="FollowedHyperlink"/>
    <w:basedOn w:val="DefaultParagraphFont"/>
    <w:rsid w:val="00E27E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s://eur-lex.europa.eu/eli/reg/2002/178/oj?locale=hr" TargetMode="External"/><Relationship Id="rId2" Type="http://schemas.openxmlformats.org/officeDocument/2006/relationships/hyperlink" Target="http://data.europa.eu/eli/reg/2003/1829/oj" TargetMode="External"/><Relationship Id="rId1" Type="http://schemas.openxmlformats.org/officeDocument/2006/relationships/hyperlink" Target="https://eur-lex.europa.eu/legal-content/HR/TXT/HTML/?uri=OJ:L_202401828" TargetMode="External"/><Relationship Id="rId6" Type="http://schemas.openxmlformats.org/officeDocument/2006/relationships/hyperlink" Target="https://eur-lex.europa.eu/legal-content/HR/TXT/HTML/?uri=CELEX:32017D1207"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D1910-10B5-44E4-8A73-23D2B3D73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7524</Characters>
  <Application>Microsoft Office Word</Application>
  <DocSecurity>0</DocSecurity>
  <Lines>442</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2024-12-17T10:08:00Z</dcterms:created>
  <dcterms:modified xsi:type="dcterms:W3CDTF">2024-12-17T10:08:00Z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P10_TA(2024)0041_</vt:lpwstr>
  </property>
  <property fmtid="{D5CDD505-2E9C-101B-9397-08002B2CF9AE}" pid="4" name="&lt;Type&gt;">
    <vt:lpwstr>RR</vt:lpwstr>
  </property>
</Properties>
</file>