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997" w:rsidTr="0010095E">
        <w:trPr>
          <w:trHeight w:hRule="exact" w:val="1418"/>
        </w:trPr>
        <w:tc>
          <w:tcPr>
            <w:tcW w:w="6804" w:type="dxa"/>
            <w:shd w:val="clear" w:color="auto" w:fill="auto"/>
            <w:vAlign w:val="center"/>
          </w:tcPr>
          <w:p w:rsidR="00751A4A" w:rsidRPr="00343997" w:rsidRDefault="00302D34" w:rsidP="0010095E">
            <w:pPr>
              <w:pStyle w:val="EPName"/>
            </w:pPr>
            <w:bookmarkStart w:id="0" w:name="_GoBack"/>
            <w:r w:rsidRPr="00343997">
              <w:t>Parlamento europeo</w:t>
            </w:r>
          </w:p>
          <w:p w:rsidR="00751A4A" w:rsidRPr="00343997" w:rsidRDefault="005F1B17" w:rsidP="005F1B17">
            <w:pPr>
              <w:pStyle w:val="EPTerm"/>
              <w:rPr>
                <w:rStyle w:val="HideTWBExt"/>
                <w:noProof w:val="0"/>
                <w:vanish w:val="0"/>
                <w:color w:val="auto"/>
              </w:rPr>
            </w:pPr>
            <w:r w:rsidRPr="00343997">
              <w:t>2024</w:t>
            </w:r>
            <w:r w:rsidR="00817416" w:rsidRPr="00343997">
              <w:t>-202</w:t>
            </w:r>
            <w:r w:rsidRPr="00343997">
              <w:t>9</w:t>
            </w:r>
          </w:p>
        </w:tc>
        <w:tc>
          <w:tcPr>
            <w:tcW w:w="2268" w:type="dxa"/>
            <w:shd w:val="clear" w:color="auto" w:fill="auto"/>
          </w:tcPr>
          <w:p w:rsidR="00751A4A" w:rsidRPr="00343997" w:rsidRDefault="00187494" w:rsidP="0010095E">
            <w:pPr>
              <w:pStyle w:val="EPLogo"/>
            </w:pPr>
            <w:r w:rsidRPr="003439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3997" w:rsidRDefault="00D058B8" w:rsidP="004C5D52">
      <w:pPr>
        <w:pStyle w:val="LineTop"/>
      </w:pPr>
    </w:p>
    <w:p w:rsidR="00680577" w:rsidRPr="00343997" w:rsidRDefault="00302D34" w:rsidP="00680577">
      <w:pPr>
        <w:pStyle w:val="EPBodyTA1"/>
      </w:pPr>
      <w:r w:rsidRPr="00343997">
        <w:t>TESTI APPROVATI</w:t>
      </w:r>
    </w:p>
    <w:p w:rsidR="00D058B8" w:rsidRPr="00343997" w:rsidRDefault="00D058B8" w:rsidP="00D058B8">
      <w:pPr>
        <w:pStyle w:val="LineBottom"/>
      </w:pPr>
    </w:p>
    <w:p w:rsidR="00302D34" w:rsidRPr="00343997" w:rsidRDefault="00302D34" w:rsidP="00302D34">
      <w:pPr>
        <w:pStyle w:val="ATHeading1"/>
      </w:pPr>
      <w:bookmarkStart w:id="1" w:name="TANumber"/>
      <w:r w:rsidRPr="00343997">
        <w:t>P10_</w:t>
      </w:r>
      <w:proofErr w:type="gramStart"/>
      <w:r w:rsidRPr="00343997">
        <w:t>TA(</w:t>
      </w:r>
      <w:proofErr w:type="gramEnd"/>
      <w:r w:rsidRPr="00343997">
        <w:t>2024)00</w:t>
      </w:r>
      <w:bookmarkEnd w:id="1"/>
      <w:r w:rsidR="00343997" w:rsidRPr="00343997">
        <w:t>41</w:t>
      </w:r>
    </w:p>
    <w:p w:rsidR="00302D34" w:rsidRPr="00343997" w:rsidRDefault="00FF6EA8" w:rsidP="00302D34">
      <w:pPr>
        <w:pStyle w:val="ATHeading2"/>
      </w:pPr>
      <w:bookmarkStart w:id="2" w:name="title"/>
      <w:r w:rsidRPr="00343997">
        <w:t>G</w:t>
      </w:r>
      <w:r w:rsidR="00302D34" w:rsidRPr="00343997">
        <w:t>ranturco geneticamente modificato MON 810</w:t>
      </w:r>
      <w:bookmarkEnd w:id="2"/>
    </w:p>
    <w:p w:rsidR="00302D34" w:rsidRPr="00343997" w:rsidRDefault="00302D34" w:rsidP="00302D34">
      <w:pPr>
        <w:rPr>
          <w:i/>
          <w:vanish/>
        </w:rPr>
      </w:pPr>
      <w:r w:rsidRPr="00343997">
        <w:rPr>
          <w:i/>
        </w:rPr>
        <w:fldChar w:fldCharType="begin"/>
      </w:r>
      <w:r w:rsidRPr="00343997">
        <w:rPr>
          <w:i/>
        </w:rPr>
        <w:instrText xml:space="preserve"> TC"(</w:instrText>
      </w:r>
      <w:bookmarkStart w:id="3" w:name="DocNumber"/>
      <w:r w:rsidRPr="00343997">
        <w:rPr>
          <w:i/>
        </w:rPr>
        <w:instrText>B10-0146/2024</w:instrText>
      </w:r>
      <w:bookmarkEnd w:id="3"/>
      <w:r w:rsidRPr="00343997">
        <w:rPr>
          <w:i/>
        </w:rPr>
        <w:instrText xml:space="preserve">)"\l3 \n&gt; \* MERGEFORMAT </w:instrText>
      </w:r>
      <w:r w:rsidRPr="00343997">
        <w:rPr>
          <w:i/>
        </w:rPr>
        <w:fldChar w:fldCharType="end"/>
      </w:r>
    </w:p>
    <w:p w:rsidR="00302D34" w:rsidRPr="00343997" w:rsidRDefault="00302D34" w:rsidP="00302D34">
      <w:pPr>
        <w:rPr>
          <w:vanish/>
        </w:rPr>
      </w:pPr>
      <w:bookmarkStart w:id="4" w:name="PE"/>
      <w:r w:rsidRPr="00343997">
        <w:rPr>
          <w:vanish/>
        </w:rPr>
        <w:t>PE763.280</w:t>
      </w:r>
      <w:bookmarkEnd w:id="4"/>
    </w:p>
    <w:p w:rsidR="00302D34" w:rsidRPr="00343997" w:rsidRDefault="00302D34" w:rsidP="009617A0">
      <w:pPr>
        <w:pStyle w:val="ATHeading3"/>
      </w:pPr>
      <w:bookmarkStart w:id="5" w:name="Sujet"/>
      <w:r w:rsidRPr="00343997">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w:t>
      </w:r>
      <w:bookmarkEnd w:id="5"/>
      <w:r w:rsidRPr="00343997">
        <w:t xml:space="preserve"> </w:t>
      </w:r>
      <w:bookmarkStart w:id="6" w:name="References"/>
      <w:r w:rsidRPr="00343997">
        <w:t>(2024/2840(RSP))</w:t>
      </w:r>
      <w:bookmarkEnd w:id="6"/>
    </w:p>
    <w:p w:rsidR="004B4065" w:rsidRPr="00343997" w:rsidRDefault="004B4065" w:rsidP="004B4065">
      <w:pPr>
        <w:pStyle w:val="EPComma"/>
      </w:pPr>
      <w:bookmarkStart w:id="7" w:name="TextBodyBegin"/>
      <w:bookmarkEnd w:id="7"/>
      <w:r w:rsidRPr="00343997">
        <w:rPr>
          <w:i/>
        </w:rPr>
        <w:t>Il Parlamento europeo</w:t>
      </w:r>
      <w:r w:rsidRPr="00343997">
        <w:t>,</w:t>
      </w:r>
    </w:p>
    <w:p w:rsidR="004B4065" w:rsidRPr="00343997" w:rsidRDefault="004B4065" w:rsidP="004B4065">
      <w:pPr>
        <w:pStyle w:val="NormalHanging12a"/>
      </w:pPr>
      <w:r w:rsidRPr="00343997">
        <w:t>–</w:t>
      </w:r>
      <w:r w:rsidRPr="00343997">
        <w:tab/>
        <w:t>vista 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w:t>
      </w:r>
      <w:r w:rsidRPr="00343997">
        <w:rPr>
          <w:rStyle w:val="FootnoteReference"/>
        </w:rPr>
        <w:footnoteReference w:id="1"/>
      </w:r>
      <w:r w:rsidRPr="00343997">
        <w:t>,</w:t>
      </w:r>
    </w:p>
    <w:p w:rsidR="004B4065" w:rsidRPr="00343997" w:rsidRDefault="004B4065" w:rsidP="004B4065">
      <w:pPr>
        <w:pStyle w:val="NormalHanging12a"/>
      </w:pPr>
      <w:r w:rsidRPr="00343997">
        <w:t>–</w:t>
      </w:r>
      <w:r w:rsidRPr="00343997">
        <w:tab/>
        <w:t>visto il regolamento (CE) n. 1829/2003 del Parlamento europeo e del Consiglio, del 22 settembre 2003, relativo agli alimenti e ai mangimi geneticamente modificati</w:t>
      </w:r>
      <w:r w:rsidRPr="00343997">
        <w:rPr>
          <w:rStyle w:val="FootnoteReference"/>
        </w:rPr>
        <w:footnoteReference w:id="2"/>
      </w:r>
      <w:r w:rsidRPr="00343997">
        <w:t>, in particolare l'articolo 11, paragrafo 3, e l'articolo 23, paragrafo 3,</w:t>
      </w:r>
    </w:p>
    <w:p w:rsidR="004B4065" w:rsidRPr="00343997" w:rsidRDefault="004B4065" w:rsidP="004B4065">
      <w:pPr>
        <w:pStyle w:val="NormalHanging12a"/>
      </w:pPr>
      <w:r w:rsidRPr="00343997">
        <w:t>–</w:t>
      </w:r>
      <w:r w:rsidRPr="00343997">
        <w:tab/>
        <w:t>viste la votazione tenutasi il 26 aprile 2024 in seno al comitato permanente per le piante, gli animali, gli alimenti e i mangimi, di cui all'articolo 35 del regolamento (CE) n. 1829/2003, durante la quale non sono stati espressi pareri, e la votazione tenutasi il 29 maggio 2024 in seno al comitato di appello, durante la quale, nuovamente, non sono stati espressi pareri,</w:t>
      </w:r>
    </w:p>
    <w:p w:rsidR="004B4065" w:rsidRPr="00343997" w:rsidRDefault="004B4065" w:rsidP="004B4065">
      <w:pPr>
        <w:pStyle w:val="NormalHanging12a"/>
      </w:pPr>
      <w:r w:rsidRPr="00343997">
        <w:t>–</w:t>
      </w:r>
      <w:r w:rsidRPr="00343997">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343997">
        <w:rPr>
          <w:rStyle w:val="FootnoteReference"/>
        </w:rPr>
        <w:footnoteReference w:id="3"/>
      </w:r>
      <w:r w:rsidRPr="00343997">
        <w:t>,</w:t>
      </w:r>
    </w:p>
    <w:p w:rsidR="004B4065" w:rsidRPr="00343997" w:rsidRDefault="004B4065" w:rsidP="004B4065">
      <w:pPr>
        <w:pStyle w:val="NormalHanging12a"/>
      </w:pPr>
      <w:r w:rsidRPr="00343997">
        <w:t>–</w:t>
      </w:r>
      <w:r w:rsidRPr="00343997">
        <w:tab/>
        <w:t>visto il parere adottato dall'Autorità europea per la sicurezza alimentare (EFSA) il 30 novembre 2023 e pubblicato il 19 gennaio 2024</w:t>
      </w:r>
      <w:r w:rsidRPr="00343997">
        <w:rPr>
          <w:rStyle w:val="FootnoteReference"/>
        </w:rPr>
        <w:footnoteReference w:id="4"/>
      </w:r>
      <w:r w:rsidRPr="00343997">
        <w:t>,</w:t>
      </w:r>
    </w:p>
    <w:p w:rsidR="004B4065" w:rsidRPr="00343997" w:rsidRDefault="004B4065" w:rsidP="004B4065">
      <w:pPr>
        <w:pStyle w:val="NormalHanging12a"/>
        <w:rPr>
          <w:szCs w:val="24"/>
          <w:shd w:val="clear" w:color="auto" w:fill="FFFFFF"/>
        </w:rPr>
      </w:pPr>
      <w:r w:rsidRPr="00343997">
        <w:t>–</w:t>
      </w:r>
      <w:r w:rsidRPr="00343997">
        <w:tab/>
      </w:r>
      <w:r w:rsidRPr="00343997">
        <w:rPr>
          <w:shd w:val="clear" w:color="auto" w:fill="FFFFFF"/>
        </w:rPr>
        <w:t>viste le sue precedenti risoluzioni che sollevano obiezioni all'autorizzazione di organismi geneticamente modificati ("OGM")</w:t>
      </w:r>
      <w:r w:rsidRPr="00343997">
        <w:rPr>
          <w:szCs w:val="24"/>
          <w:shd w:val="clear" w:color="auto" w:fill="FFFFFF"/>
          <w:vertAlign w:val="superscript"/>
        </w:rPr>
        <w:footnoteReference w:id="5"/>
      </w:r>
      <w:r w:rsidRPr="00343997">
        <w:rPr>
          <w:shd w:val="clear" w:color="auto" w:fill="FFFFFF"/>
        </w:rPr>
        <w:t>,</w:t>
      </w:r>
    </w:p>
    <w:p w:rsidR="004B4065" w:rsidRPr="00343997" w:rsidRDefault="004B4065" w:rsidP="004B4065">
      <w:pPr>
        <w:pStyle w:val="NormalHanging12a"/>
      </w:pPr>
      <w:r w:rsidRPr="00343997">
        <w:t>–</w:t>
      </w:r>
      <w:r w:rsidRPr="00343997">
        <w:tab/>
        <w:t>visto l'articolo 115, paragrafi 2 e 3, del suo regolamento,</w:t>
      </w:r>
    </w:p>
    <w:p w:rsidR="004B4065" w:rsidRPr="00343997" w:rsidRDefault="004B4065" w:rsidP="004B4065">
      <w:pPr>
        <w:pStyle w:val="NormalHanging12a"/>
      </w:pPr>
      <w:r w:rsidRPr="00343997">
        <w:t>–</w:t>
      </w:r>
      <w:r w:rsidRPr="00343997">
        <w:tab/>
        <w:t>vista la proposta di risoluzione della commissione per l'ambiente, la sanità pubblica e la sicurezza alimentare,</w:t>
      </w:r>
    </w:p>
    <w:p w:rsidR="004B4065" w:rsidRPr="00343997" w:rsidRDefault="004B4065" w:rsidP="004B4065">
      <w:pPr>
        <w:pStyle w:val="NormalHanging12a"/>
      </w:pPr>
      <w:r w:rsidRPr="00343997">
        <w:t>A.</w:t>
      </w:r>
      <w:r w:rsidRPr="00343997">
        <w:tab/>
        <w:t xml:space="preserve">considerando che il 6 ottobre 2022 Bayer </w:t>
      </w:r>
      <w:proofErr w:type="spellStart"/>
      <w:r w:rsidRPr="00343997">
        <w:t>Agriculture</w:t>
      </w:r>
      <w:proofErr w:type="spellEnd"/>
      <w:r w:rsidRPr="00343997">
        <w:t xml:space="preserve"> BV, con sede in Belgio, ha presentato alla Commissione, per conto di Bayer </w:t>
      </w:r>
      <w:proofErr w:type="spellStart"/>
      <w:r w:rsidRPr="00343997">
        <w:t>CropScience</w:t>
      </w:r>
      <w:proofErr w:type="spellEnd"/>
      <w:r w:rsidRPr="00343997">
        <w:t xml:space="preserve"> LP, con sede negli Stati Uniti, una domanda di rinnovo delle decisioni di esecuzione 2013/649/UE</w:t>
      </w:r>
      <w:r w:rsidRPr="00343997">
        <w:rPr>
          <w:rStyle w:val="FootnoteReference"/>
        </w:rPr>
        <w:footnoteReference w:id="6"/>
      </w:r>
      <w:r w:rsidRPr="00343997">
        <w:t xml:space="preserve"> e (UE) 2017/1207</w:t>
      </w:r>
      <w:r w:rsidRPr="00343997">
        <w:rPr>
          <w:rStyle w:val="FootnoteReference"/>
        </w:rPr>
        <w:footnoteReference w:id="7"/>
      </w:r>
      <w:r w:rsidRPr="00343997">
        <w:t xml:space="preserve"> della Commissione; che, conformemente all'articolo 11, paragrafo 4, del regolamento (CE) n. 1829/2003, il periodo di autorizzazione del polline geneticamente modificato prodotto a partire da granturco geneticamente modificato MON 810 (GM) per gli usi alimentari di cui alla decisione di esecuzione 2013/649/UE è stato automaticamente esteso fino al momento in cui viene presa una decisione sulla domanda di rinnovo;</w:t>
      </w:r>
    </w:p>
    <w:p w:rsidR="004B4065" w:rsidRPr="00343997" w:rsidRDefault="004B4065" w:rsidP="004B4065">
      <w:pPr>
        <w:pStyle w:val="NormalHanging12a"/>
      </w:pPr>
      <w:r w:rsidRPr="00343997">
        <w:t>B.</w:t>
      </w:r>
      <w:r w:rsidRPr="00343997">
        <w:tab/>
        <w:t xml:space="preserve">considerando che il 30 novembre 2023 l'EFSA ha adottato un parere favorevole, pubblicato il 19 gennaio 2024; </w:t>
      </w:r>
    </w:p>
    <w:p w:rsidR="004B4065" w:rsidRPr="00343997" w:rsidRDefault="004B4065" w:rsidP="004B4065">
      <w:pPr>
        <w:pStyle w:val="NormalHanging12a"/>
      </w:pPr>
      <w:r w:rsidRPr="00343997">
        <w:t>C.</w:t>
      </w:r>
      <w:r w:rsidRPr="00343997">
        <w:tab/>
        <w:t xml:space="preserve">considerando che il granturco GM è stato modificato in modo tale da produrre insetticidi ("tossine </w:t>
      </w:r>
      <w:proofErr w:type="spellStart"/>
      <w:r w:rsidRPr="00343997">
        <w:t>Bt</w:t>
      </w:r>
      <w:proofErr w:type="spellEnd"/>
      <w:r w:rsidRPr="00343997">
        <w:t>");</w:t>
      </w:r>
    </w:p>
    <w:p w:rsidR="004B4065" w:rsidRPr="00343997" w:rsidRDefault="004B4065" w:rsidP="004B4065">
      <w:pPr>
        <w:pStyle w:val="NormalHanging12a"/>
        <w:rPr>
          <w:b/>
          <w:i/>
        </w:rPr>
      </w:pPr>
      <w:r w:rsidRPr="00343997">
        <w:rPr>
          <w:b/>
          <w:i/>
        </w:rPr>
        <w:t xml:space="preserve">Questioni in sospeso relative alle tossine </w:t>
      </w:r>
      <w:proofErr w:type="spellStart"/>
      <w:r w:rsidRPr="00343997">
        <w:rPr>
          <w:b/>
          <w:i/>
        </w:rPr>
        <w:t>Bt</w:t>
      </w:r>
      <w:proofErr w:type="spellEnd"/>
    </w:p>
    <w:p w:rsidR="004B4065" w:rsidRPr="00343997" w:rsidRDefault="004B4065" w:rsidP="004B4065">
      <w:pPr>
        <w:pStyle w:val="NormalHanging12a"/>
      </w:pPr>
      <w:r w:rsidRPr="00343997">
        <w:t>D.</w:t>
      </w:r>
      <w:r w:rsidRPr="00343997">
        <w:tab/>
        <w:t xml:space="preserve">considerando che diversi studi indicano che sono stati osservati effetti collaterali in grado di incidere sul sistema immunitario umano in seguito all'esposizione alle tossine </w:t>
      </w:r>
      <w:proofErr w:type="spellStart"/>
      <w:r w:rsidRPr="00343997">
        <w:t>Bt</w:t>
      </w:r>
      <w:proofErr w:type="spellEnd"/>
      <w:r w:rsidRPr="00343997">
        <w:t xml:space="preserve"> e che alcune tossine </w:t>
      </w:r>
      <w:proofErr w:type="spellStart"/>
      <w:r w:rsidRPr="00343997">
        <w:t>Bt</w:t>
      </w:r>
      <w:proofErr w:type="spellEnd"/>
      <w:r w:rsidRPr="00343997">
        <w:t xml:space="preserve"> possono avere proprietà adiuvanti</w:t>
      </w:r>
      <w:r w:rsidRPr="00343997">
        <w:rPr>
          <w:rStyle w:val="FootnoteReference"/>
        </w:rPr>
        <w:footnoteReference w:id="8"/>
      </w:r>
      <w:r w:rsidRPr="00343997">
        <w:t>, il che significa che possono aumentare l'</w:t>
      </w:r>
      <w:proofErr w:type="spellStart"/>
      <w:r w:rsidRPr="00343997">
        <w:t>allergenicità</w:t>
      </w:r>
      <w:proofErr w:type="spellEnd"/>
      <w:r w:rsidRPr="00343997">
        <w:t xml:space="preserve"> di altre proteine con cui entrano in contatto;</w:t>
      </w:r>
    </w:p>
    <w:p w:rsidR="004B4065" w:rsidRPr="00343997" w:rsidRDefault="004B4065" w:rsidP="004B4065">
      <w:pPr>
        <w:pStyle w:val="NormalHanging12a"/>
        <w:rPr>
          <w:b/>
          <w:i/>
        </w:rPr>
      </w:pPr>
      <w:r w:rsidRPr="00343997">
        <w:rPr>
          <w:b/>
          <w:i/>
        </w:rPr>
        <w:t xml:space="preserve">Colture </w:t>
      </w:r>
      <w:proofErr w:type="spellStart"/>
      <w:r w:rsidRPr="00343997">
        <w:rPr>
          <w:b/>
          <w:i/>
        </w:rPr>
        <w:t>Bt</w:t>
      </w:r>
      <w:proofErr w:type="spellEnd"/>
      <w:r w:rsidRPr="00343997">
        <w:rPr>
          <w:b/>
          <w:i/>
        </w:rPr>
        <w:t>: effetti sugli organismi non bersaglio</w:t>
      </w:r>
    </w:p>
    <w:p w:rsidR="004B4065" w:rsidRPr="00343997" w:rsidRDefault="004B4065" w:rsidP="004B4065">
      <w:pPr>
        <w:pStyle w:val="NormalHanging12a"/>
        <w:rPr>
          <w:b/>
          <w:i/>
        </w:rPr>
      </w:pPr>
      <w:r w:rsidRPr="00343997">
        <w:t>E.</w:t>
      </w:r>
      <w:r w:rsidRPr="00343997">
        <w:tab/>
        <w:t xml:space="preserve">considerando che, a differenza dell'uso di insetticidi, nel cui caso l'esposizione avviene al momento dell'irrorazione e in seguito per un periodo limitato, l'uso delle colture </w:t>
      </w:r>
      <w:proofErr w:type="spellStart"/>
      <w:r w:rsidRPr="00343997">
        <w:t>Bt</w:t>
      </w:r>
      <w:proofErr w:type="spellEnd"/>
      <w:r w:rsidRPr="00343997">
        <w:t xml:space="preserve"> geneticamente modificate comporta un'esposizione continua degli organismi bersaglio e non bersaglio alle tossine </w:t>
      </w:r>
      <w:proofErr w:type="spellStart"/>
      <w:r w:rsidRPr="00343997">
        <w:t>Bt</w:t>
      </w:r>
      <w:proofErr w:type="spellEnd"/>
      <w:r w:rsidRPr="00343997">
        <w:t>;</w:t>
      </w:r>
    </w:p>
    <w:p w:rsidR="004B4065" w:rsidRPr="00343997" w:rsidRDefault="004B4065" w:rsidP="004B4065">
      <w:pPr>
        <w:pStyle w:val="NormalHanging12a"/>
      </w:pPr>
      <w:r w:rsidRPr="00343997">
        <w:t>F.</w:t>
      </w:r>
      <w:r w:rsidRPr="00343997">
        <w:tab/>
        <w:t xml:space="preserve">considerando che l'ipotesi che le tossine </w:t>
      </w:r>
      <w:proofErr w:type="spellStart"/>
      <w:r w:rsidRPr="00343997">
        <w:t>Bt</w:t>
      </w:r>
      <w:proofErr w:type="spellEnd"/>
      <w:r w:rsidRPr="00343997">
        <w:t xml:space="preserve"> presentino un unico modello di azione specifico per bersaglio non può più essere considerata corretta e non si possono escludere effetti su organismi non bersaglio; che un numero crescente di organismi non bersaglio risulta essere colpito in molti modi; che una rassegna recente</w:t>
      </w:r>
      <w:r w:rsidRPr="00343997">
        <w:rPr>
          <w:rStyle w:val="FootnoteReference"/>
        </w:rPr>
        <w:footnoteReference w:id="9"/>
      </w:r>
      <w:r w:rsidRPr="00343997">
        <w:t xml:space="preserve"> menziona 39 pubblicazioni sottoposte a valutazione </w:t>
      </w:r>
      <w:r w:rsidRPr="00343997">
        <w:rPr>
          <w:i/>
        </w:rPr>
        <w:t xml:space="preserve">inter </w:t>
      </w:r>
      <w:proofErr w:type="spellStart"/>
      <w:r w:rsidRPr="00343997">
        <w:rPr>
          <w:i/>
        </w:rPr>
        <w:t>pares</w:t>
      </w:r>
      <w:proofErr w:type="spellEnd"/>
      <w:r w:rsidRPr="00343997">
        <w:t xml:space="preserve"> che segnalano effetti avversi significativi delle tossine </w:t>
      </w:r>
      <w:proofErr w:type="spellStart"/>
      <w:r w:rsidRPr="00343997">
        <w:t>Bt</w:t>
      </w:r>
      <w:proofErr w:type="spellEnd"/>
      <w:r w:rsidRPr="00343997">
        <w:t xml:space="preserve"> su molte specie "fuori bersaglio";</w:t>
      </w:r>
    </w:p>
    <w:p w:rsidR="004B4065" w:rsidRPr="00343997" w:rsidRDefault="004B4065" w:rsidP="004B4065">
      <w:pPr>
        <w:pStyle w:val="NormalHanging12a"/>
        <w:rPr>
          <w:b/>
          <w:i/>
        </w:rPr>
      </w:pPr>
      <w:r w:rsidRPr="00343997">
        <w:rPr>
          <w:b/>
          <w:i/>
        </w:rPr>
        <w:t>Osservazioni degli Stati membri</w:t>
      </w:r>
    </w:p>
    <w:p w:rsidR="004B4065" w:rsidRPr="00343997" w:rsidRDefault="004B4065" w:rsidP="004B4065">
      <w:pPr>
        <w:pStyle w:val="NormalHanging12a"/>
      </w:pPr>
      <w:r w:rsidRPr="00343997">
        <w:t>G.</w:t>
      </w:r>
      <w:r w:rsidRPr="00343997">
        <w:tab/>
        <w:t>considerando che gli Stati membri hanno presentato all'EFSA numerose osservazioni critiche durante il periodo di consultazione di tre mesi</w:t>
      </w:r>
      <w:r w:rsidRPr="00343997">
        <w:rPr>
          <w:rStyle w:val="FootnoteReference"/>
        </w:rPr>
        <w:footnoteReference w:id="10"/>
      </w:r>
      <w:r w:rsidRPr="00343997">
        <w:t xml:space="preserve">, evidenziando in particolare la necessità che i dati sulla composizione del granturco GM siano verificati e rianalizzati e che l'analisi sia conforme ai requisiti attuali dell'EFSA, compresi i test di equivalenza, nonché il fatto che la revisione della letteratura non ha incluso studi sul destino della Cry1Ab nell'ambiente o sui potenziali effetti dei residui delle colture </w:t>
      </w:r>
      <w:proofErr w:type="spellStart"/>
      <w:r w:rsidRPr="00343997">
        <w:t>Bt</w:t>
      </w:r>
      <w:proofErr w:type="spellEnd"/>
      <w:r w:rsidRPr="00343997">
        <w:t xml:space="preserve"> su organismi non bersaglio, il che risulta problematico in quanto le pubblicazioni indicano che un riporto dal mangime a base di granturco GM al letame può comportare l'esposizione degli organismi del suolo alla Cry1Ab e che ciò può provocare effetti negativi su tali organismi con conseguenze per la biodiversità e i servizi </w:t>
      </w:r>
      <w:proofErr w:type="spellStart"/>
      <w:r w:rsidRPr="00343997">
        <w:t>ecosistemici</w:t>
      </w:r>
      <w:proofErr w:type="spellEnd"/>
      <w:r w:rsidRPr="00343997">
        <w:t xml:space="preserve">; </w:t>
      </w:r>
    </w:p>
    <w:p w:rsidR="004B4065" w:rsidRPr="00343997" w:rsidRDefault="004B4065" w:rsidP="004B4065">
      <w:pPr>
        <w:pStyle w:val="NormalHanging12a"/>
      </w:pPr>
      <w:r w:rsidRPr="00343997">
        <w:t>H.</w:t>
      </w:r>
      <w:r w:rsidRPr="00343997">
        <w:tab/>
        <w:t>considerando che il regolamento (CE) n. 1829/2003 stabilisce che gli alimenti o i mangimi geneticamente modificati non devono avere effetti nocivi sulla salute umana, la salute degli animali o l'ambiente e impone alla Commissione di tenere conto, al momento di elaborare la sua decisione, della pertinente normativa dell'Unione e di altri fattori legittimi pertinenti alla questione in esame; che tali fattori legittimi dovrebbero includere gli obblighi dell'Unione derivanti dagli obiettivi di sviluppo sostenibile delle Nazioni Unite (OSS) e dalla Convenzione delle Nazioni Unite sulla diversità biologica (CBD);</w:t>
      </w:r>
    </w:p>
    <w:p w:rsidR="004B4065" w:rsidRPr="00343997" w:rsidRDefault="004B4065" w:rsidP="004B4065">
      <w:pPr>
        <w:pStyle w:val="NormalHanging12a"/>
        <w:rPr>
          <w:b/>
          <w:i/>
        </w:rPr>
      </w:pPr>
      <w:r w:rsidRPr="00343997">
        <w:rPr>
          <w:b/>
          <w:i/>
        </w:rPr>
        <w:t>Ridurre la dipendenza dai mangimi importati</w:t>
      </w:r>
    </w:p>
    <w:p w:rsidR="004B4065" w:rsidRPr="00343997" w:rsidRDefault="004B4065" w:rsidP="004B4065">
      <w:pPr>
        <w:pStyle w:val="NormalHanging12a"/>
      </w:pPr>
      <w:r w:rsidRPr="00343997">
        <w:t>I.</w:t>
      </w:r>
      <w:r w:rsidRPr="00343997">
        <w:tab/>
        <w:t xml:space="preserve">considerando che uno degli insegnamenti tratti dalla crisi della COVID-19 e dalla guerra in corso in Ucraina è la necessità che l'Unione ponga fine alla dipendenza da alcuni materiali critici; che, nella lettera di incarico indirizzata al commissario designato Christophe Hansen, la Presidente della Commissione Ursula von </w:t>
      </w:r>
      <w:proofErr w:type="spellStart"/>
      <w:r w:rsidRPr="00343997">
        <w:t>der</w:t>
      </w:r>
      <w:proofErr w:type="spellEnd"/>
      <w:r w:rsidRPr="00343997">
        <w:t xml:space="preserve"> </w:t>
      </w:r>
      <w:proofErr w:type="spellStart"/>
      <w:r w:rsidRPr="00343997">
        <w:t>Leyen</w:t>
      </w:r>
      <w:proofErr w:type="spellEnd"/>
      <w:r w:rsidRPr="00343997">
        <w:t xml:space="preserve"> gli chiede di esaminare modalità per ridurre le importazioni di prodotti di base critici</w:t>
      </w:r>
      <w:r w:rsidRPr="00343997">
        <w:rPr>
          <w:rStyle w:val="FootnoteReference"/>
        </w:rPr>
        <w:footnoteReference w:id="11"/>
      </w:r>
      <w:r w:rsidRPr="00343997">
        <w:t xml:space="preserve">; </w:t>
      </w:r>
    </w:p>
    <w:p w:rsidR="004B4065" w:rsidRPr="00343997" w:rsidRDefault="004B4065" w:rsidP="004B4065">
      <w:pPr>
        <w:pStyle w:val="NormalHanging12a"/>
        <w:rPr>
          <w:b/>
          <w:i/>
        </w:rPr>
      </w:pPr>
      <w:r w:rsidRPr="00343997">
        <w:rPr>
          <w:b/>
          <w:i/>
        </w:rPr>
        <w:t>Processo decisionale non democratico</w:t>
      </w:r>
    </w:p>
    <w:p w:rsidR="004B4065" w:rsidRPr="00343997" w:rsidRDefault="004B4065" w:rsidP="004B4065">
      <w:pPr>
        <w:pStyle w:val="NormalHanging12a"/>
        <w:rPr>
          <w:b/>
          <w:i/>
        </w:rPr>
      </w:pPr>
      <w:r w:rsidRPr="00343997">
        <w:t>J.</w:t>
      </w:r>
      <w:r w:rsidRPr="00343997">
        <w:tab/>
      </w:r>
      <w:r w:rsidRPr="00343997">
        <w:rPr>
          <w:shd w:val="clear" w:color="auto" w:fill="FFFFFF"/>
        </w:rPr>
        <w:t>considerando che il 26 aprile 2024 il comitato permanente per le piante, gli animali, gli alimenti e i mangimi, di cui all'articolo 35 del regolamento (CE) n. 1829/2003, non ha espresso parere, il che significa che l'autorizzazione non è stata sostenuta dalla maggioranza qualificata degli Stati membri; che il 29 maggio 2024 anche il comitato di appello ha votato senza esprimere alcun parere;</w:t>
      </w:r>
    </w:p>
    <w:p w:rsidR="004B4065" w:rsidRPr="00343997" w:rsidRDefault="004B4065" w:rsidP="004B4065">
      <w:pPr>
        <w:pStyle w:val="NormalHanging12a"/>
      </w:pPr>
      <w:r w:rsidRPr="00343997">
        <w:t>K.</w:t>
      </w:r>
      <w:r w:rsidRPr="00343997">
        <w:tab/>
        <w:t>considerando che, nel corso dell'ottava legislatura, il Parlamento ha approvato in totale 36 risoluzioni che sollevavano obiezioni all'immissione in commercio di OGM a fini di alimentazione umana e animale (33 risoluzioni) e alla coltivazione di OGM nell'Unione (tre risoluzioni); che nel corso della nona legislatura il Parlamento ha approvato 38 obiezioni all'immissione in commercio di OGM;</w:t>
      </w:r>
    </w:p>
    <w:p w:rsidR="004B4065" w:rsidRPr="00343997" w:rsidRDefault="004B4065" w:rsidP="004B4065">
      <w:pPr>
        <w:pStyle w:val="NormalHanging12a"/>
      </w:pPr>
      <w:r w:rsidRPr="00343997">
        <w:t>L.</w:t>
      </w:r>
      <w:r w:rsidRPr="00343997">
        <w:tab/>
        <w:t>considerando che, nonostante abbia riconosciuto l'esistenza di lacune sul piano democratico e malgrado la mancanza di sostegno da parte degli Stati membri e le obiezioni sollevate dal Parlamento, la Commissione continua ad autorizzare gli OGM;</w:t>
      </w:r>
    </w:p>
    <w:p w:rsidR="004B4065" w:rsidRPr="00343997" w:rsidRDefault="004B4065" w:rsidP="004B4065">
      <w:pPr>
        <w:pStyle w:val="NormalHanging12a"/>
      </w:pPr>
      <w:r w:rsidRPr="00343997">
        <w:t>M.</w:t>
      </w:r>
      <w:r w:rsidRPr="00343997">
        <w:tab/>
        <w:t>considerando che non è necessario modificare la legislazione affinché la Commissione possa decidere di non autorizzare gli OGM quando non vi è una maggioranza qualificata di Stati membri favorevoli in seno al comitato di appello</w:t>
      </w:r>
      <w:r w:rsidRPr="00343997">
        <w:rPr>
          <w:rStyle w:val="FootnoteReference"/>
        </w:rPr>
        <w:footnoteReference w:id="12"/>
      </w:r>
      <w:r w:rsidRPr="00343997">
        <w:t>;</w:t>
      </w:r>
    </w:p>
    <w:p w:rsidR="004B4065" w:rsidRPr="00343997" w:rsidRDefault="004B4065" w:rsidP="004B4065">
      <w:pPr>
        <w:pStyle w:val="NormalHanging12a"/>
      </w:pPr>
      <w:r w:rsidRPr="00343997">
        <w:t>N.</w:t>
      </w:r>
      <w:r w:rsidRPr="00343997">
        <w:tab/>
        <w:t>considerando che il 2 luglio 2024 la Commissione ha rinnovato l'autorizzazione all'immissione in commercio del granturco GM;</w:t>
      </w:r>
    </w:p>
    <w:p w:rsidR="004B4065" w:rsidRPr="00343997" w:rsidRDefault="004B4065" w:rsidP="004B4065">
      <w:pPr>
        <w:pStyle w:val="NormalHanging12a"/>
      </w:pPr>
      <w:r w:rsidRPr="00343997">
        <w:t>1.</w:t>
      </w:r>
      <w:r w:rsidRPr="00343997">
        <w:tab/>
        <w:t>ritiene che la decisione di esecuzione (UE) 2024/1828 ecceda le competenze di esecuzione previste nel regolamento (CE) n. 1829/2003;</w:t>
      </w:r>
    </w:p>
    <w:p w:rsidR="004B4065" w:rsidRPr="00343997" w:rsidRDefault="004B4065" w:rsidP="004B4065">
      <w:pPr>
        <w:pStyle w:val="NormalHanging12a"/>
      </w:pPr>
      <w:r w:rsidRPr="00343997">
        <w:t>2.</w:t>
      </w:r>
      <w:r w:rsidRPr="00343997">
        <w:tab/>
        <w:t>reputa che la decisione di esecuzione (UE) 2024/1828 non sia coerente con il diritto dell'Unione, in quanto non è compatibile con l'obiettivo del regolamento (CE) n. 1829/2003, che consiste, in conformità dei principi generali sanciti dal regolamento (CE) n. 178/2002 del Parlamento europeo e del Consiglio</w:t>
      </w:r>
      <w:r w:rsidRPr="00343997">
        <w:rPr>
          <w:rStyle w:val="FootnoteReference"/>
        </w:rPr>
        <w:footnoteReference w:id="13"/>
      </w:r>
      <w:r w:rsidRPr="00343997">
        <w:t>,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w:t>
      </w:r>
    </w:p>
    <w:p w:rsidR="004B4065" w:rsidRPr="00343997" w:rsidRDefault="004B4065" w:rsidP="004B4065">
      <w:pPr>
        <w:pStyle w:val="NormalHanging12a"/>
      </w:pPr>
      <w:r w:rsidRPr="00343997">
        <w:t>3.</w:t>
      </w:r>
      <w:r w:rsidRPr="00343997">
        <w:tab/>
        <w:t>chiede alla Commissione di abrogare la decisione di esecuzione (UE) 2024/1828;</w:t>
      </w:r>
    </w:p>
    <w:p w:rsidR="004B4065" w:rsidRPr="00343997" w:rsidRDefault="004B4065" w:rsidP="004B4065">
      <w:pPr>
        <w:pStyle w:val="NormalHanging12a"/>
      </w:pPr>
      <w:r w:rsidRPr="00343997">
        <w:t>4.</w:t>
      </w:r>
      <w:r w:rsidRPr="00343997">
        <w:tab/>
        <w:t>plaude al fatto che, in una lettera ai deputati dell'11 settembre 2020, la Commissione abbia infine riconosciuto la necessità di prendere in considerazione la sostenibilità nelle decisioni di autorizzazione relative agli OGM</w:t>
      </w:r>
      <w:r w:rsidRPr="00343997">
        <w:rPr>
          <w:rStyle w:val="FootnoteReference"/>
        </w:rPr>
        <w:footnoteReference w:id="14"/>
      </w:r>
      <w:r w:rsidRPr="00343997">
        <w:t>; esprime tuttavia profondo rammarico per il fatto che, da allora, la Commissione abbia continuato ad autorizzare l'importazione di OGM nell'Unione, nonostante le continue obiezioni sollevate dal Parlamento e il voto contrario da parte della maggioranza degli Stati membri;</w:t>
      </w:r>
    </w:p>
    <w:p w:rsidR="004B4065" w:rsidRPr="00343997" w:rsidRDefault="004B4065" w:rsidP="004B4065">
      <w:pPr>
        <w:pStyle w:val="NormalHanging12a"/>
      </w:pPr>
      <w:r w:rsidRPr="00343997">
        <w:t>5.</w:t>
      </w:r>
      <w:r w:rsidRPr="00343997">
        <w:tab/>
        <w:t>esorta nuovamente la Commissione a tenere conto degli obblighi dell'Unione derivanti dagli accordi internazionali, quali l'accordo di Parigi sui cambiamenti climatici, la CBD e gli OSS delle Nazioni Unite; ribadisce la sua richiesta affinché i progetti di atti di esecuzione siano corredati di una sezione che spieghi in che modo essi rispettano il principio del "non nuocere"</w:t>
      </w:r>
      <w:r w:rsidRPr="00343997">
        <w:rPr>
          <w:rStyle w:val="FootnoteReference"/>
        </w:rPr>
        <w:footnoteReference w:id="15"/>
      </w:r>
      <w:r w:rsidRPr="00343997">
        <w:t xml:space="preserve">; </w:t>
      </w:r>
    </w:p>
    <w:p w:rsidR="00E365E1" w:rsidRPr="00343997" w:rsidRDefault="004B4065" w:rsidP="009617A0">
      <w:pPr>
        <w:pStyle w:val="NormalHanging12a"/>
      </w:pPr>
      <w:r w:rsidRPr="00343997">
        <w:t>6.</w:t>
      </w:r>
      <w:r w:rsidRPr="00343997">
        <w:tab/>
        <w:t>incarica la sua Presidente di trasmettere la presente risoluzione al Consiglio e alla Commissione nonché ai governi e ai parlamenti degli Stati membri.</w:t>
      </w:r>
      <w:bookmarkEnd w:id="0"/>
    </w:p>
    <w:sectPr w:rsidR="00E365E1" w:rsidRPr="00343997" w:rsidSect="00EA7BA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D34" w:rsidRPr="00EA7BA6" w:rsidRDefault="00302D34">
      <w:r w:rsidRPr="00EA7BA6">
        <w:separator/>
      </w:r>
    </w:p>
  </w:endnote>
  <w:endnote w:type="continuationSeparator" w:id="0">
    <w:p w:rsidR="00302D34" w:rsidRPr="00EA7BA6" w:rsidRDefault="00302D34">
      <w:r w:rsidRPr="00EA7B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D34" w:rsidRPr="00EA7BA6" w:rsidRDefault="00302D34">
      <w:r w:rsidRPr="00EA7BA6">
        <w:separator/>
      </w:r>
    </w:p>
  </w:footnote>
  <w:footnote w:type="continuationSeparator" w:id="0">
    <w:p w:rsidR="00302D34" w:rsidRPr="00EA7BA6" w:rsidRDefault="00302D34">
      <w:r w:rsidRPr="00EA7BA6">
        <w:continuationSeparator/>
      </w:r>
    </w:p>
  </w:footnote>
  <w:footnote w:id="1">
    <w:p w:rsidR="004B4065" w:rsidRPr="00FF6EA8" w:rsidRDefault="004B4065" w:rsidP="00EA7BA6">
      <w:pPr>
        <w:pStyle w:val="FootnoteText"/>
        <w:ind w:left="567" w:hanging="567"/>
        <w:rPr>
          <w:sz w:val="24"/>
          <w:lang w:val="fi-FI"/>
        </w:rPr>
      </w:pPr>
      <w:r w:rsidRPr="00EA7BA6">
        <w:rPr>
          <w:rStyle w:val="FootnoteReference"/>
          <w:sz w:val="24"/>
          <w:lang w:val="it-IT"/>
        </w:rPr>
        <w:footnoteRef/>
      </w:r>
      <w:r w:rsidR="00EA7BA6" w:rsidRPr="00FF6EA8">
        <w:rPr>
          <w:sz w:val="24"/>
          <w:lang w:val="fi-FI"/>
        </w:rPr>
        <w:t xml:space="preserve"> </w:t>
      </w:r>
      <w:r w:rsidR="00EA7BA6" w:rsidRPr="00FF6EA8">
        <w:rPr>
          <w:sz w:val="24"/>
          <w:lang w:val="fi-FI"/>
        </w:rPr>
        <w:tab/>
      </w:r>
      <w:r w:rsidRPr="00FF6EA8">
        <w:rPr>
          <w:sz w:val="24"/>
          <w:lang w:val="fi-FI"/>
        </w:rPr>
        <w:t xml:space="preserve">GU L, 2024/1828, 4.7.2024, ELI: </w:t>
      </w:r>
      <w:hyperlink r:id="rId1" w:tooltip="Accesso al documento tramite l'URI dell'ELI." w:history="1">
        <w:r w:rsidRPr="00FF6EA8">
          <w:rPr>
            <w:rStyle w:val="Hyperlink"/>
            <w:sz w:val="24"/>
            <w:shd w:val="clear" w:color="auto" w:fill="FFFFFF"/>
            <w:lang w:val="fi-FI"/>
          </w:rPr>
          <w:t>http://data.europa.eu/eli/dec_impl/2024/1828/oj</w:t>
        </w:r>
      </w:hyperlink>
      <w:r w:rsidRPr="00FF6EA8">
        <w:rPr>
          <w:sz w:val="24"/>
          <w:lang w:val="fi-FI"/>
        </w:rPr>
        <w:t>.</w:t>
      </w:r>
    </w:p>
  </w:footnote>
  <w:footnote w:id="2">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GU L 268 del 18.10.2003, pag. 1, ELI: </w:t>
      </w:r>
      <w:hyperlink r:id="rId2" w:tooltip="Accesso al documento tramite l'URI dell'ELI." w:history="1">
        <w:r w:rsidRPr="00EA7BA6">
          <w:rPr>
            <w:rStyle w:val="Hyperlink"/>
            <w:sz w:val="24"/>
            <w:shd w:val="clear" w:color="auto" w:fill="FFFFFF"/>
            <w:lang w:val="it-IT"/>
          </w:rPr>
          <w:t>http://data.europa.eu/eli/reg/2003/1829/oj</w:t>
        </w:r>
      </w:hyperlink>
      <w:r w:rsidRPr="00EA7BA6">
        <w:rPr>
          <w:sz w:val="24"/>
          <w:lang w:val="it-IT"/>
        </w:rPr>
        <w:t>.</w:t>
      </w:r>
    </w:p>
  </w:footnote>
  <w:footnote w:id="3">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GU L 55 del 28.2.2011, pag. 13, ELI: </w:t>
      </w:r>
      <w:hyperlink r:id="rId3" w:tooltip="Accesso al documento tramite l'URI dell'ELI." w:history="1">
        <w:r w:rsidRPr="00EA7BA6">
          <w:rPr>
            <w:rStyle w:val="Hyperlink"/>
            <w:sz w:val="24"/>
            <w:shd w:val="clear" w:color="auto" w:fill="FFFFFF"/>
            <w:lang w:val="it-IT"/>
          </w:rPr>
          <w:t>http://data.europa.eu/eli/reg/2011/182/oj</w:t>
        </w:r>
      </w:hyperlink>
      <w:r w:rsidRPr="00EA7BA6">
        <w:rPr>
          <w:sz w:val="24"/>
          <w:lang w:val="it-IT"/>
        </w:rPr>
        <w:t>.</w:t>
      </w:r>
    </w:p>
  </w:footnote>
  <w:footnote w:id="4">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Parere scientifico del gruppo di esperti scientifici dell'EFSA sugli organismi geneticamente modificati relativo alla valutazione del granturco geneticamente modificato MON 810 per il rinnovo dell'autorizzazione a norma del regolamento (CE) n. 1829/2003 (fascicolo GMFF-2022-9450), EFSA Journal, 2024;22(1):8489, </w:t>
      </w:r>
      <w:hyperlink r:id="rId4" w:history="1">
        <w:r w:rsidRPr="00EA7BA6">
          <w:rPr>
            <w:rStyle w:val="Hyperlink"/>
            <w:sz w:val="24"/>
            <w:lang w:val="it-IT"/>
          </w:rPr>
          <w:t>https://doi.org/10.2903/j.efsa.2024.8489</w:t>
        </w:r>
      </w:hyperlink>
      <w:r w:rsidRPr="00EA7BA6">
        <w:rPr>
          <w:sz w:val="24"/>
          <w:lang w:val="it-IT"/>
        </w:rPr>
        <w:t>.</w:t>
      </w:r>
    </w:p>
  </w:footnote>
  <w:footnote w:id="5">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Nel corso della sua ottava legislatura, il Parlamento ha adottato 36 risoluzioni e, nella sua nona legislatura, 38 risoluzioni che sollevano obiezioni all'autorizzazione degli OGM. </w:t>
      </w:r>
    </w:p>
  </w:footnote>
  <w:footnote w:id="6">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Decisione di esecuzione 2013/649/EU della Commissione, del 6 novembre 2013, che autorizza l'immissione in commercio di polline prodotto a partire dal granturco della linea MON 810 (MON-ØØ81Ø-6) ai sensi del regolamento (CE) n. 1829/2003 del Parlamento europeo e del Consiglio (GU L 302 del 13.11.2013, pag. 44, ELI: </w:t>
      </w:r>
      <w:hyperlink r:id="rId5" w:tooltip="Accesso al documento tramite l'URI dell'ELI." w:history="1">
        <w:r w:rsidRPr="00EA7BA6">
          <w:rPr>
            <w:rStyle w:val="Hyperlink"/>
            <w:sz w:val="24"/>
            <w:shd w:val="clear" w:color="auto" w:fill="FFFFFF"/>
            <w:lang w:val="it-IT"/>
          </w:rPr>
          <w:t>http://data.europa.eu/eli/dec_impl/2013/649/oj</w:t>
        </w:r>
      </w:hyperlink>
      <w:r w:rsidRPr="00EA7BA6">
        <w:rPr>
          <w:sz w:val="24"/>
          <w:lang w:val="it-IT"/>
        </w:rPr>
        <w:t>).</w:t>
      </w:r>
    </w:p>
  </w:footnote>
  <w:footnote w:id="7">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Decisione di esecuzione (UE) 2017/1207 della Commissione, del 4 luglio 2017, che rinnova l'autorizzazione all'immissione in commercio di prodotti a base di granturco geneticamente modificato MON 810 (MON-ØØ81Ø-6) in conformità al regolamento (CE) n. 1829/2003 del Parlamento europeo e del Consiglio (GU L 173 del 6.7.2017, pag. 18, ELI: </w:t>
      </w:r>
      <w:hyperlink r:id="rId6" w:tooltip="Accesso al documento tramite l'URI dell'ELI." w:history="1">
        <w:r w:rsidRPr="00EA7BA6">
          <w:rPr>
            <w:rStyle w:val="Hyperlink"/>
            <w:sz w:val="24"/>
            <w:shd w:val="clear" w:color="auto" w:fill="FFFFFF"/>
            <w:lang w:val="it-IT"/>
          </w:rPr>
          <w:t>http://data.europa.eu/eli/dec_impl/2017/1207/oj</w:t>
        </w:r>
      </w:hyperlink>
      <w:r w:rsidRPr="00EA7BA6">
        <w:rPr>
          <w:sz w:val="24"/>
          <w:lang w:val="it-IT"/>
        </w:rPr>
        <w:t>).</w:t>
      </w:r>
    </w:p>
  </w:footnote>
  <w:footnote w:id="8">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Per un'analisi, cfr. N. Rubio-Infante, L. Moreno-</w:t>
      </w:r>
      <w:proofErr w:type="spellStart"/>
      <w:r w:rsidRPr="00EA7BA6">
        <w:rPr>
          <w:sz w:val="24"/>
          <w:lang w:val="it-IT"/>
        </w:rPr>
        <w:t>Fierros</w:t>
      </w:r>
      <w:proofErr w:type="spellEnd"/>
      <w:r w:rsidRPr="00EA7BA6">
        <w:rPr>
          <w:sz w:val="24"/>
          <w:lang w:val="it-IT"/>
        </w:rPr>
        <w:t xml:space="preserve">, "An </w:t>
      </w:r>
      <w:proofErr w:type="spellStart"/>
      <w:r w:rsidRPr="00EA7BA6">
        <w:rPr>
          <w:sz w:val="24"/>
          <w:lang w:val="it-IT"/>
        </w:rPr>
        <w:t>overview</w:t>
      </w:r>
      <w:proofErr w:type="spellEnd"/>
      <w:r w:rsidRPr="00EA7BA6">
        <w:rPr>
          <w:sz w:val="24"/>
          <w:lang w:val="it-IT"/>
        </w:rPr>
        <w:t xml:space="preserve"> of the </w:t>
      </w:r>
      <w:proofErr w:type="spellStart"/>
      <w:r w:rsidRPr="00EA7BA6">
        <w:rPr>
          <w:sz w:val="24"/>
          <w:lang w:val="it-IT"/>
        </w:rPr>
        <w:t>safety</w:t>
      </w:r>
      <w:proofErr w:type="spellEnd"/>
      <w:r w:rsidRPr="00EA7BA6">
        <w:rPr>
          <w:sz w:val="24"/>
          <w:lang w:val="it-IT"/>
        </w:rPr>
        <w:t xml:space="preserve"> and </w:t>
      </w:r>
      <w:proofErr w:type="spellStart"/>
      <w:r w:rsidRPr="00EA7BA6">
        <w:rPr>
          <w:sz w:val="24"/>
          <w:lang w:val="it-IT"/>
        </w:rPr>
        <w:t>biological</w:t>
      </w:r>
      <w:proofErr w:type="spellEnd"/>
      <w:r w:rsidRPr="00EA7BA6">
        <w:rPr>
          <w:sz w:val="24"/>
          <w:lang w:val="it-IT"/>
        </w:rPr>
        <w:t xml:space="preserve"> </w:t>
      </w:r>
      <w:proofErr w:type="spellStart"/>
      <w:r w:rsidRPr="00EA7BA6">
        <w:rPr>
          <w:sz w:val="24"/>
          <w:lang w:val="it-IT"/>
        </w:rPr>
        <w:t>effects</w:t>
      </w:r>
      <w:proofErr w:type="spellEnd"/>
      <w:r w:rsidRPr="00EA7BA6">
        <w:rPr>
          <w:sz w:val="24"/>
          <w:lang w:val="it-IT"/>
        </w:rPr>
        <w:t xml:space="preserve"> of </w:t>
      </w:r>
      <w:proofErr w:type="spellStart"/>
      <w:r w:rsidRPr="00EA7BA6">
        <w:rPr>
          <w:i/>
          <w:sz w:val="24"/>
          <w:lang w:val="it-IT"/>
        </w:rPr>
        <w:t>Bacillus</w:t>
      </w:r>
      <w:proofErr w:type="spellEnd"/>
      <w:r w:rsidRPr="00EA7BA6">
        <w:rPr>
          <w:i/>
          <w:sz w:val="24"/>
          <w:lang w:val="it-IT"/>
        </w:rPr>
        <w:t xml:space="preserve"> </w:t>
      </w:r>
      <w:proofErr w:type="spellStart"/>
      <w:r w:rsidRPr="00EA7BA6">
        <w:rPr>
          <w:i/>
          <w:sz w:val="24"/>
          <w:lang w:val="it-IT"/>
        </w:rPr>
        <w:t>thuringiensis</w:t>
      </w:r>
      <w:proofErr w:type="spellEnd"/>
      <w:r w:rsidRPr="00EA7BA6">
        <w:rPr>
          <w:sz w:val="24"/>
          <w:lang w:val="it-IT"/>
        </w:rPr>
        <w:t xml:space="preserve"> </w:t>
      </w:r>
      <w:proofErr w:type="spellStart"/>
      <w:r w:rsidRPr="00EA7BA6">
        <w:rPr>
          <w:sz w:val="24"/>
          <w:lang w:val="it-IT"/>
        </w:rPr>
        <w:t>Cry</w:t>
      </w:r>
      <w:proofErr w:type="spellEnd"/>
      <w:r w:rsidRPr="00EA7BA6">
        <w:rPr>
          <w:sz w:val="24"/>
          <w:lang w:val="it-IT"/>
        </w:rPr>
        <w:t xml:space="preserve"> </w:t>
      </w:r>
      <w:proofErr w:type="spellStart"/>
      <w:r w:rsidRPr="00EA7BA6">
        <w:rPr>
          <w:sz w:val="24"/>
          <w:lang w:val="it-IT"/>
        </w:rPr>
        <w:t>toxins</w:t>
      </w:r>
      <w:proofErr w:type="spellEnd"/>
      <w:r w:rsidRPr="00EA7BA6">
        <w:rPr>
          <w:sz w:val="24"/>
          <w:lang w:val="it-IT"/>
        </w:rPr>
        <w:t xml:space="preserve"> in </w:t>
      </w:r>
      <w:proofErr w:type="spellStart"/>
      <w:r w:rsidRPr="00EA7BA6">
        <w:rPr>
          <w:sz w:val="24"/>
          <w:lang w:val="it-IT"/>
        </w:rPr>
        <w:t>mammals</w:t>
      </w:r>
      <w:proofErr w:type="spellEnd"/>
      <w:r w:rsidRPr="00EA7BA6">
        <w:rPr>
          <w:sz w:val="24"/>
          <w:lang w:val="it-IT"/>
        </w:rPr>
        <w:t xml:space="preserve">" (Una panoramica sulla sicurezza e sugli effetti biologici delle tossine </w:t>
      </w:r>
      <w:proofErr w:type="spellStart"/>
      <w:r w:rsidRPr="00EA7BA6">
        <w:rPr>
          <w:sz w:val="24"/>
          <w:lang w:val="it-IT"/>
        </w:rPr>
        <w:t>Cry</w:t>
      </w:r>
      <w:proofErr w:type="spellEnd"/>
      <w:r w:rsidRPr="00EA7BA6">
        <w:rPr>
          <w:sz w:val="24"/>
          <w:lang w:val="it-IT"/>
        </w:rPr>
        <w:t xml:space="preserve"> del </w:t>
      </w:r>
      <w:proofErr w:type="spellStart"/>
      <w:r w:rsidRPr="00EA7BA6">
        <w:rPr>
          <w:i/>
          <w:sz w:val="24"/>
          <w:lang w:val="it-IT"/>
        </w:rPr>
        <w:t>Bacillus</w:t>
      </w:r>
      <w:proofErr w:type="spellEnd"/>
      <w:r w:rsidRPr="00EA7BA6">
        <w:rPr>
          <w:i/>
          <w:sz w:val="24"/>
          <w:lang w:val="it-IT"/>
        </w:rPr>
        <w:t xml:space="preserve"> </w:t>
      </w:r>
      <w:proofErr w:type="spellStart"/>
      <w:r w:rsidRPr="00EA7BA6">
        <w:rPr>
          <w:i/>
          <w:sz w:val="24"/>
          <w:lang w:val="it-IT"/>
        </w:rPr>
        <w:t>thuringiensis</w:t>
      </w:r>
      <w:proofErr w:type="spellEnd"/>
      <w:r w:rsidRPr="00EA7BA6">
        <w:rPr>
          <w:sz w:val="24"/>
          <w:lang w:val="it-IT"/>
        </w:rPr>
        <w:t xml:space="preserve"> nei mammiferi), Journal of </w:t>
      </w:r>
      <w:proofErr w:type="spellStart"/>
      <w:r w:rsidRPr="00EA7BA6">
        <w:rPr>
          <w:sz w:val="24"/>
          <w:lang w:val="it-IT"/>
        </w:rPr>
        <w:t>Applied</w:t>
      </w:r>
      <w:proofErr w:type="spellEnd"/>
      <w:r w:rsidRPr="00EA7BA6">
        <w:rPr>
          <w:sz w:val="24"/>
          <w:lang w:val="it-IT"/>
        </w:rPr>
        <w:t xml:space="preserve"> </w:t>
      </w:r>
      <w:proofErr w:type="spellStart"/>
      <w:r w:rsidRPr="00EA7BA6">
        <w:rPr>
          <w:sz w:val="24"/>
          <w:lang w:val="it-IT"/>
        </w:rPr>
        <w:t>Toxicology</w:t>
      </w:r>
      <w:proofErr w:type="spellEnd"/>
      <w:r w:rsidRPr="00EA7BA6">
        <w:rPr>
          <w:sz w:val="24"/>
          <w:lang w:val="it-IT"/>
        </w:rPr>
        <w:t xml:space="preserve">, maggio 2016, 36(36,5), </w:t>
      </w:r>
      <w:proofErr w:type="spellStart"/>
      <w:r w:rsidRPr="00EA7BA6">
        <w:rPr>
          <w:sz w:val="24"/>
          <w:lang w:val="it-IT"/>
        </w:rPr>
        <w:t>pagg</w:t>
      </w:r>
      <w:proofErr w:type="spellEnd"/>
      <w:r w:rsidRPr="00EA7BA6">
        <w:rPr>
          <w:sz w:val="24"/>
          <w:lang w:val="it-IT"/>
        </w:rPr>
        <w:t xml:space="preserve">. 630-648, </w:t>
      </w:r>
      <w:hyperlink r:id="rId7" w:history="1">
        <w:r w:rsidRPr="00EA7BA6">
          <w:rPr>
            <w:rStyle w:val="Hyperlink"/>
            <w:sz w:val="24"/>
            <w:lang w:val="it-IT"/>
          </w:rPr>
          <w:t>https://onlinelibrary.wiley.com/doi/full/10.1002/jat.3252</w:t>
        </w:r>
      </w:hyperlink>
      <w:r w:rsidRPr="00EA7BA6">
        <w:rPr>
          <w:sz w:val="24"/>
          <w:lang w:val="it-IT"/>
        </w:rPr>
        <w:t>.</w:t>
      </w:r>
    </w:p>
  </w:footnote>
  <w:footnote w:id="9">
    <w:p w:rsidR="004B4065" w:rsidRPr="00FF6EA8" w:rsidRDefault="004B4065" w:rsidP="00EA7BA6">
      <w:pPr>
        <w:pStyle w:val="FootnoteText"/>
        <w:ind w:left="567" w:hanging="567"/>
        <w:rPr>
          <w:sz w:val="24"/>
          <w:lang w:val="en-GB"/>
        </w:rPr>
      </w:pPr>
      <w:r w:rsidRPr="00EA7BA6">
        <w:rPr>
          <w:rStyle w:val="FootnoteReference"/>
          <w:sz w:val="24"/>
          <w:lang w:val="it-IT"/>
        </w:rPr>
        <w:footnoteRef/>
      </w:r>
      <w:r w:rsidR="00EA7BA6" w:rsidRPr="00FF6EA8">
        <w:rPr>
          <w:sz w:val="24"/>
          <w:lang w:val="en-GB"/>
        </w:rPr>
        <w:t xml:space="preserve"> </w:t>
      </w:r>
      <w:r w:rsidR="00EA7BA6" w:rsidRPr="00FF6EA8">
        <w:rPr>
          <w:sz w:val="24"/>
          <w:lang w:val="en-GB"/>
        </w:rPr>
        <w:tab/>
      </w:r>
      <w:proofErr w:type="spellStart"/>
      <w:r w:rsidRPr="00FF6EA8">
        <w:rPr>
          <w:sz w:val="24"/>
          <w:lang w:val="en-GB"/>
        </w:rPr>
        <w:t>Hilbeck</w:t>
      </w:r>
      <w:proofErr w:type="spellEnd"/>
      <w:r w:rsidRPr="00FF6EA8">
        <w:rPr>
          <w:sz w:val="24"/>
          <w:lang w:val="en-GB"/>
        </w:rPr>
        <w:t xml:space="preserve">, A., </w:t>
      </w:r>
      <w:proofErr w:type="spellStart"/>
      <w:r w:rsidRPr="00FF6EA8">
        <w:rPr>
          <w:sz w:val="24"/>
          <w:lang w:val="en-GB"/>
        </w:rPr>
        <w:t>Defarge</w:t>
      </w:r>
      <w:proofErr w:type="spellEnd"/>
      <w:r w:rsidRPr="00FF6EA8">
        <w:rPr>
          <w:sz w:val="24"/>
          <w:lang w:val="en-GB"/>
        </w:rPr>
        <w:t xml:space="preserve">, N., </w:t>
      </w:r>
      <w:proofErr w:type="spellStart"/>
      <w:r w:rsidRPr="00FF6EA8">
        <w:rPr>
          <w:sz w:val="24"/>
          <w:lang w:val="en-GB"/>
        </w:rPr>
        <w:t>Lebrecht</w:t>
      </w:r>
      <w:proofErr w:type="spellEnd"/>
      <w:r w:rsidRPr="00FF6EA8">
        <w:rPr>
          <w:sz w:val="24"/>
          <w:lang w:val="en-GB"/>
        </w:rPr>
        <w:t xml:space="preserve">, T., </w:t>
      </w:r>
      <w:proofErr w:type="spellStart"/>
      <w:r w:rsidRPr="00FF6EA8">
        <w:rPr>
          <w:sz w:val="24"/>
          <w:lang w:val="en-GB"/>
        </w:rPr>
        <w:t>Bøhn</w:t>
      </w:r>
      <w:proofErr w:type="spellEnd"/>
      <w:r w:rsidRPr="00FF6EA8">
        <w:rPr>
          <w:sz w:val="24"/>
          <w:lang w:val="en-GB"/>
        </w:rPr>
        <w:t xml:space="preserve">, T., "Insecticidal </w:t>
      </w:r>
      <w:proofErr w:type="spellStart"/>
      <w:r w:rsidRPr="00FF6EA8">
        <w:rPr>
          <w:sz w:val="24"/>
          <w:lang w:val="en-GB"/>
        </w:rPr>
        <w:t>Bt</w:t>
      </w:r>
      <w:proofErr w:type="spellEnd"/>
      <w:r w:rsidRPr="00FF6EA8">
        <w:rPr>
          <w:sz w:val="24"/>
          <w:lang w:val="en-GB"/>
        </w:rPr>
        <w:t xml:space="preserve"> crops. EFSA's risk assessment approach for GM </w:t>
      </w:r>
      <w:proofErr w:type="spellStart"/>
      <w:r w:rsidRPr="00FF6EA8">
        <w:rPr>
          <w:sz w:val="24"/>
          <w:lang w:val="en-GB"/>
        </w:rPr>
        <w:t>Bt</w:t>
      </w:r>
      <w:proofErr w:type="spellEnd"/>
      <w:r w:rsidRPr="00FF6EA8">
        <w:rPr>
          <w:sz w:val="24"/>
          <w:lang w:val="en-GB"/>
        </w:rPr>
        <w:t xml:space="preserve"> plants fails by design" (</w:t>
      </w:r>
      <w:proofErr w:type="spellStart"/>
      <w:r w:rsidRPr="00FF6EA8">
        <w:rPr>
          <w:sz w:val="24"/>
          <w:lang w:val="en-GB"/>
        </w:rPr>
        <w:t>Colture</w:t>
      </w:r>
      <w:proofErr w:type="spellEnd"/>
      <w:r w:rsidRPr="00FF6EA8">
        <w:rPr>
          <w:sz w:val="24"/>
          <w:lang w:val="en-GB"/>
        </w:rPr>
        <w:t xml:space="preserve"> </w:t>
      </w:r>
      <w:proofErr w:type="spellStart"/>
      <w:proofErr w:type="gramStart"/>
      <w:r w:rsidRPr="00FF6EA8">
        <w:rPr>
          <w:sz w:val="24"/>
          <w:lang w:val="en-GB"/>
        </w:rPr>
        <w:t>Bt</w:t>
      </w:r>
      <w:proofErr w:type="spellEnd"/>
      <w:proofErr w:type="gramEnd"/>
      <w:r w:rsidRPr="00FF6EA8">
        <w:rPr>
          <w:sz w:val="24"/>
          <w:lang w:val="en-GB"/>
        </w:rPr>
        <w:t xml:space="preserve"> </w:t>
      </w:r>
      <w:proofErr w:type="spellStart"/>
      <w:r w:rsidRPr="00FF6EA8">
        <w:rPr>
          <w:sz w:val="24"/>
          <w:lang w:val="en-GB"/>
        </w:rPr>
        <w:t>insetticide</w:t>
      </w:r>
      <w:proofErr w:type="spellEnd"/>
      <w:r w:rsidRPr="00FF6EA8">
        <w:rPr>
          <w:sz w:val="24"/>
          <w:lang w:val="en-GB"/>
        </w:rPr>
        <w:t xml:space="preserve"> – </w:t>
      </w:r>
      <w:proofErr w:type="spellStart"/>
      <w:r w:rsidRPr="00FF6EA8">
        <w:rPr>
          <w:sz w:val="24"/>
          <w:lang w:val="en-GB"/>
        </w:rPr>
        <w:t>L'approccio</w:t>
      </w:r>
      <w:proofErr w:type="spellEnd"/>
      <w:r w:rsidRPr="00FF6EA8">
        <w:rPr>
          <w:sz w:val="24"/>
          <w:lang w:val="en-GB"/>
        </w:rPr>
        <w:t xml:space="preserve"> mal </w:t>
      </w:r>
      <w:proofErr w:type="spellStart"/>
      <w:r w:rsidRPr="00FF6EA8">
        <w:rPr>
          <w:sz w:val="24"/>
          <w:lang w:val="en-GB"/>
        </w:rPr>
        <w:t>concepito</w:t>
      </w:r>
      <w:proofErr w:type="spellEnd"/>
      <w:r w:rsidRPr="00FF6EA8">
        <w:rPr>
          <w:sz w:val="24"/>
          <w:lang w:val="en-GB"/>
        </w:rPr>
        <w:t xml:space="preserve"> </w:t>
      </w:r>
      <w:proofErr w:type="spellStart"/>
      <w:r w:rsidRPr="00FF6EA8">
        <w:rPr>
          <w:sz w:val="24"/>
          <w:lang w:val="en-GB"/>
        </w:rPr>
        <w:t>dell'EFSA</w:t>
      </w:r>
      <w:proofErr w:type="spellEnd"/>
      <w:r w:rsidRPr="00FF6EA8">
        <w:rPr>
          <w:sz w:val="24"/>
          <w:lang w:val="en-GB"/>
        </w:rPr>
        <w:t xml:space="preserve"> </w:t>
      </w:r>
      <w:proofErr w:type="spellStart"/>
      <w:r w:rsidRPr="00FF6EA8">
        <w:rPr>
          <w:sz w:val="24"/>
          <w:lang w:val="en-GB"/>
        </w:rPr>
        <w:t>alla</w:t>
      </w:r>
      <w:proofErr w:type="spellEnd"/>
      <w:r w:rsidRPr="00FF6EA8">
        <w:rPr>
          <w:sz w:val="24"/>
          <w:lang w:val="en-GB"/>
        </w:rPr>
        <w:t xml:space="preserve"> </w:t>
      </w:r>
      <w:proofErr w:type="spellStart"/>
      <w:r w:rsidRPr="00FF6EA8">
        <w:rPr>
          <w:sz w:val="24"/>
          <w:lang w:val="en-GB"/>
        </w:rPr>
        <w:t>valutazione</w:t>
      </w:r>
      <w:proofErr w:type="spellEnd"/>
      <w:r w:rsidRPr="00FF6EA8">
        <w:rPr>
          <w:sz w:val="24"/>
          <w:lang w:val="en-GB"/>
        </w:rPr>
        <w:t xml:space="preserve"> </w:t>
      </w:r>
      <w:proofErr w:type="spellStart"/>
      <w:r w:rsidRPr="00FF6EA8">
        <w:rPr>
          <w:sz w:val="24"/>
          <w:lang w:val="en-GB"/>
        </w:rPr>
        <w:t>dei</w:t>
      </w:r>
      <w:proofErr w:type="spellEnd"/>
      <w:r w:rsidRPr="00FF6EA8">
        <w:rPr>
          <w:sz w:val="24"/>
          <w:lang w:val="en-GB"/>
        </w:rPr>
        <w:t xml:space="preserve"> </w:t>
      </w:r>
      <w:proofErr w:type="spellStart"/>
      <w:r w:rsidRPr="00FF6EA8">
        <w:rPr>
          <w:sz w:val="24"/>
          <w:lang w:val="en-GB"/>
        </w:rPr>
        <w:t>rischi</w:t>
      </w:r>
      <w:proofErr w:type="spellEnd"/>
      <w:r w:rsidRPr="00FF6EA8">
        <w:rPr>
          <w:sz w:val="24"/>
          <w:lang w:val="en-GB"/>
        </w:rPr>
        <w:t xml:space="preserve"> per le </w:t>
      </w:r>
      <w:proofErr w:type="spellStart"/>
      <w:r w:rsidRPr="00FF6EA8">
        <w:rPr>
          <w:sz w:val="24"/>
          <w:lang w:val="en-GB"/>
        </w:rPr>
        <w:t>piante</w:t>
      </w:r>
      <w:proofErr w:type="spellEnd"/>
      <w:r w:rsidRPr="00FF6EA8">
        <w:rPr>
          <w:sz w:val="24"/>
          <w:lang w:val="en-GB"/>
        </w:rPr>
        <w:t xml:space="preserve"> </w:t>
      </w:r>
      <w:proofErr w:type="spellStart"/>
      <w:r w:rsidRPr="00FF6EA8">
        <w:rPr>
          <w:sz w:val="24"/>
          <w:lang w:val="en-GB"/>
        </w:rPr>
        <w:t>Bt</w:t>
      </w:r>
      <w:proofErr w:type="spellEnd"/>
      <w:r w:rsidRPr="00FF6EA8">
        <w:rPr>
          <w:sz w:val="24"/>
          <w:lang w:val="en-GB"/>
        </w:rPr>
        <w:t xml:space="preserve"> OGM), RAGES 2020, </w:t>
      </w:r>
      <w:proofErr w:type="spellStart"/>
      <w:r w:rsidRPr="00FF6EA8">
        <w:rPr>
          <w:sz w:val="24"/>
          <w:lang w:val="en-GB"/>
        </w:rPr>
        <w:t>pag</w:t>
      </w:r>
      <w:proofErr w:type="spellEnd"/>
      <w:r w:rsidRPr="00FF6EA8">
        <w:rPr>
          <w:sz w:val="24"/>
          <w:lang w:val="en-GB"/>
        </w:rPr>
        <w:t xml:space="preserve">. </w:t>
      </w:r>
      <w:proofErr w:type="gramStart"/>
      <w:r w:rsidRPr="00FF6EA8">
        <w:rPr>
          <w:sz w:val="24"/>
          <w:lang w:val="en-GB"/>
        </w:rPr>
        <w:t xml:space="preserve">4, </w:t>
      </w:r>
      <w:hyperlink r:id="rId8" w:history="1">
        <w:r w:rsidRPr="00FF6EA8">
          <w:rPr>
            <w:rStyle w:val="Hyperlink"/>
            <w:sz w:val="24"/>
            <w:lang w:val="en-GB"/>
          </w:rPr>
          <w:t>https://www.testbiotech.org/wp-content/uploads/2023/12/RAGES_report-Insecticidal-Bt-plants.pdf</w:t>
        </w:r>
      </w:hyperlink>
      <w:r w:rsidRPr="00FF6EA8">
        <w:rPr>
          <w:sz w:val="24"/>
          <w:lang w:val="en-GB"/>
        </w:rPr>
        <w:t>;</w:t>
      </w:r>
      <w:r w:rsidRPr="00FF6EA8">
        <w:rPr>
          <w:rStyle w:val="Hyperlink"/>
          <w:sz w:val="24"/>
          <w:lang w:val="en-GB"/>
        </w:rPr>
        <w:t xml:space="preserve"> </w:t>
      </w:r>
      <w:proofErr w:type="spellStart"/>
      <w:r w:rsidRPr="00FF6EA8">
        <w:rPr>
          <w:sz w:val="24"/>
          <w:lang w:val="en-GB"/>
        </w:rPr>
        <w:t>Cfr</w:t>
      </w:r>
      <w:proofErr w:type="spellEnd"/>
      <w:r w:rsidRPr="00FF6EA8">
        <w:rPr>
          <w:sz w:val="24"/>
          <w:lang w:val="en-GB"/>
        </w:rPr>
        <w:t xml:space="preserve">. ad </w:t>
      </w:r>
      <w:proofErr w:type="spellStart"/>
      <w:r w:rsidRPr="00FF6EA8">
        <w:rPr>
          <w:sz w:val="24"/>
          <w:lang w:val="en-GB"/>
        </w:rPr>
        <w:t>esempio</w:t>
      </w:r>
      <w:proofErr w:type="spellEnd"/>
      <w:r w:rsidRPr="00FF6EA8">
        <w:rPr>
          <w:sz w:val="24"/>
          <w:lang w:val="en-GB"/>
        </w:rPr>
        <w:t xml:space="preserve"> A. </w:t>
      </w:r>
      <w:proofErr w:type="spellStart"/>
      <w:r w:rsidRPr="00FF6EA8">
        <w:rPr>
          <w:sz w:val="24"/>
          <w:lang w:val="en-GB"/>
        </w:rPr>
        <w:t>Hilbeck</w:t>
      </w:r>
      <w:proofErr w:type="spellEnd"/>
      <w:r w:rsidRPr="00FF6EA8">
        <w:rPr>
          <w:sz w:val="24"/>
          <w:lang w:val="en-GB"/>
        </w:rPr>
        <w:t>, M. Otto, "Specificity and Combinatorial Effects of </w:t>
      </w:r>
      <w:r w:rsidRPr="00FF6EA8">
        <w:rPr>
          <w:i/>
          <w:sz w:val="24"/>
          <w:lang w:val="en-GB"/>
        </w:rPr>
        <w:t xml:space="preserve">Bacillus </w:t>
      </w:r>
      <w:proofErr w:type="spellStart"/>
      <w:r w:rsidRPr="00FF6EA8">
        <w:rPr>
          <w:i/>
          <w:sz w:val="24"/>
          <w:lang w:val="en-GB"/>
        </w:rPr>
        <w:t>thuringiensis</w:t>
      </w:r>
      <w:proofErr w:type="spellEnd"/>
      <w:r w:rsidRPr="00FF6EA8">
        <w:rPr>
          <w:sz w:val="24"/>
          <w:lang w:val="en-GB"/>
        </w:rPr>
        <w:t> Cry Toxins in the Context of GMO Environmental Risk Assessment" (</w:t>
      </w:r>
      <w:proofErr w:type="spellStart"/>
      <w:r w:rsidRPr="00FF6EA8">
        <w:rPr>
          <w:sz w:val="24"/>
          <w:lang w:val="en-GB"/>
        </w:rPr>
        <w:t>Specificità</w:t>
      </w:r>
      <w:proofErr w:type="spellEnd"/>
      <w:r w:rsidRPr="00FF6EA8">
        <w:rPr>
          <w:sz w:val="24"/>
          <w:lang w:val="en-GB"/>
        </w:rPr>
        <w:t xml:space="preserve"> </w:t>
      </w:r>
      <w:proofErr w:type="spellStart"/>
      <w:r w:rsidRPr="00FF6EA8">
        <w:rPr>
          <w:sz w:val="24"/>
          <w:lang w:val="en-GB"/>
        </w:rPr>
        <w:t>ed</w:t>
      </w:r>
      <w:proofErr w:type="spellEnd"/>
      <w:r w:rsidRPr="00FF6EA8">
        <w:rPr>
          <w:sz w:val="24"/>
          <w:lang w:val="en-GB"/>
        </w:rPr>
        <w:t xml:space="preserve"> </w:t>
      </w:r>
      <w:proofErr w:type="spellStart"/>
      <w:r w:rsidRPr="00FF6EA8">
        <w:rPr>
          <w:sz w:val="24"/>
          <w:lang w:val="en-GB"/>
        </w:rPr>
        <w:t>effetti</w:t>
      </w:r>
      <w:proofErr w:type="spellEnd"/>
      <w:r w:rsidRPr="00FF6EA8">
        <w:rPr>
          <w:sz w:val="24"/>
          <w:lang w:val="en-GB"/>
        </w:rPr>
        <w:t xml:space="preserve"> </w:t>
      </w:r>
      <w:proofErr w:type="spellStart"/>
      <w:r w:rsidRPr="00FF6EA8">
        <w:rPr>
          <w:sz w:val="24"/>
          <w:lang w:val="en-GB"/>
        </w:rPr>
        <w:t>combinatori</w:t>
      </w:r>
      <w:proofErr w:type="spellEnd"/>
      <w:r w:rsidRPr="00FF6EA8">
        <w:rPr>
          <w:sz w:val="24"/>
          <w:lang w:val="en-GB"/>
        </w:rPr>
        <w:t xml:space="preserve"> </w:t>
      </w:r>
      <w:proofErr w:type="spellStart"/>
      <w:r w:rsidRPr="00FF6EA8">
        <w:rPr>
          <w:sz w:val="24"/>
          <w:lang w:val="en-GB"/>
        </w:rPr>
        <w:t>delle</w:t>
      </w:r>
      <w:proofErr w:type="spellEnd"/>
      <w:r w:rsidRPr="00FF6EA8">
        <w:rPr>
          <w:sz w:val="24"/>
          <w:lang w:val="en-GB"/>
        </w:rPr>
        <w:t xml:space="preserve"> </w:t>
      </w:r>
      <w:proofErr w:type="spellStart"/>
      <w:r w:rsidRPr="00FF6EA8">
        <w:rPr>
          <w:sz w:val="24"/>
          <w:lang w:val="en-GB"/>
        </w:rPr>
        <w:t>tossine</w:t>
      </w:r>
      <w:proofErr w:type="spellEnd"/>
      <w:r w:rsidRPr="00FF6EA8">
        <w:rPr>
          <w:sz w:val="24"/>
          <w:lang w:val="en-GB"/>
        </w:rPr>
        <w:t xml:space="preserve"> Cry del </w:t>
      </w:r>
      <w:r w:rsidRPr="00FF6EA8">
        <w:rPr>
          <w:i/>
          <w:sz w:val="24"/>
          <w:lang w:val="en-GB"/>
        </w:rPr>
        <w:t xml:space="preserve">Bacillus </w:t>
      </w:r>
      <w:proofErr w:type="spellStart"/>
      <w:r w:rsidRPr="00FF6EA8">
        <w:rPr>
          <w:i/>
          <w:sz w:val="24"/>
          <w:lang w:val="en-GB"/>
        </w:rPr>
        <w:t>thuringiensis</w:t>
      </w:r>
      <w:proofErr w:type="spellEnd"/>
      <w:r w:rsidRPr="00FF6EA8">
        <w:rPr>
          <w:sz w:val="24"/>
          <w:lang w:val="en-GB"/>
        </w:rPr>
        <w:t xml:space="preserve"> </w:t>
      </w:r>
      <w:proofErr w:type="spellStart"/>
      <w:r w:rsidRPr="00FF6EA8">
        <w:rPr>
          <w:sz w:val="24"/>
          <w:lang w:val="en-GB"/>
        </w:rPr>
        <w:t>nel</w:t>
      </w:r>
      <w:proofErr w:type="spellEnd"/>
      <w:r w:rsidRPr="00FF6EA8">
        <w:rPr>
          <w:sz w:val="24"/>
          <w:lang w:val="en-GB"/>
        </w:rPr>
        <w:t xml:space="preserve"> </w:t>
      </w:r>
      <w:proofErr w:type="spellStart"/>
      <w:r w:rsidRPr="00FF6EA8">
        <w:rPr>
          <w:sz w:val="24"/>
          <w:lang w:val="en-GB"/>
        </w:rPr>
        <w:t>contesto</w:t>
      </w:r>
      <w:proofErr w:type="spellEnd"/>
      <w:r w:rsidRPr="00FF6EA8">
        <w:rPr>
          <w:sz w:val="24"/>
          <w:lang w:val="en-GB"/>
        </w:rPr>
        <w:t xml:space="preserve"> </w:t>
      </w:r>
      <w:proofErr w:type="spellStart"/>
      <w:r w:rsidRPr="00FF6EA8">
        <w:rPr>
          <w:sz w:val="24"/>
          <w:lang w:val="en-GB"/>
        </w:rPr>
        <w:t>della</w:t>
      </w:r>
      <w:proofErr w:type="spellEnd"/>
      <w:r w:rsidRPr="00FF6EA8">
        <w:rPr>
          <w:sz w:val="24"/>
          <w:lang w:val="en-GB"/>
        </w:rPr>
        <w:t xml:space="preserve"> </w:t>
      </w:r>
      <w:proofErr w:type="spellStart"/>
      <w:r w:rsidRPr="00FF6EA8">
        <w:rPr>
          <w:sz w:val="24"/>
          <w:lang w:val="en-GB"/>
        </w:rPr>
        <w:t>valutazione</w:t>
      </w:r>
      <w:proofErr w:type="spellEnd"/>
      <w:r w:rsidRPr="00FF6EA8">
        <w:rPr>
          <w:sz w:val="24"/>
          <w:lang w:val="en-GB"/>
        </w:rPr>
        <w:t xml:space="preserve"> del </w:t>
      </w:r>
      <w:proofErr w:type="spellStart"/>
      <w:r w:rsidRPr="00FF6EA8">
        <w:rPr>
          <w:sz w:val="24"/>
          <w:lang w:val="en-GB"/>
        </w:rPr>
        <w:t>rischio</w:t>
      </w:r>
      <w:proofErr w:type="spellEnd"/>
      <w:r w:rsidRPr="00FF6EA8">
        <w:rPr>
          <w:sz w:val="24"/>
          <w:lang w:val="en-GB"/>
        </w:rPr>
        <w:t xml:space="preserve"> </w:t>
      </w:r>
      <w:proofErr w:type="spellStart"/>
      <w:r w:rsidRPr="00FF6EA8">
        <w:rPr>
          <w:sz w:val="24"/>
          <w:lang w:val="en-GB"/>
        </w:rPr>
        <w:t>ambientale</w:t>
      </w:r>
      <w:proofErr w:type="spellEnd"/>
      <w:r w:rsidRPr="00FF6EA8">
        <w:rPr>
          <w:sz w:val="24"/>
          <w:lang w:val="en-GB"/>
        </w:rPr>
        <w:t xml:space="preserve"> </w:t>
      </w:r>
      <w:proofErr w:type="spellStart"/>
      <w:r w:rsidRPr="00FF6EA8">
        <w:rPr>
          <w:sz w:val="24"/>
          <w:lang w:val="en-GB"/>
        </w:rPr>
        <w:t>degli</w:t>
      </w:r>
      <w:proofErr w:type="spellEnd"/>
      <w:r w:rsidRPr="00FF6EA8">
        <w:rPr>
          <w:sz w:val="24"/>
          <w:lang w:val="en-GB"/>
        </w:rPr>
        <w:t xml:space="preserve"> OGM), Frontiers in Environmental Science 2015, 3:71, </w:t>
      </w:r>
      <w:hyperlink r:id="rId9" w:history="1">
        <w:r w:rsidRPr="00FF6EA8">
          <w:rPr>
            <w:rStyle w:val="Hyperlink"/>
            <w:sz w:val="24"/>
            <w:lang w:val="en-GB"/>
          </w:rPr>
          <w:t>https://doi.org/10.3389/fenvs.2015.00071</w:t>
        </w:r>
      </w:hyperlink>
      <w:r w:rsidRPr="00FF6EA8">
        <w:rPr>
          <w:sz w:val="24"/>
          <w:lang w:val="en-GB"/>
        </w:rPr>
        <w:t>.</w:t>
      </w:r>
      <w:proofErr w:type="gramEnd"/>
    </w:p>
  </w:footnote>
  <w:footnote w:id="10">
    <w:p w:rsidR="004B4065" w:rsidRPr="00FF6EA8" w:rsidRDefault="004B4065" w:rsidP="00EA7BA6">
      <w:pPr>
        <w:pStyle w:val="FootnoteText"/>
        <w:ind w:left="567" w:hanging="567"/>
        <w:rPr>
          <w:sz w:val="24"/>
          <w:lang w:val="en-GB"/>
        </w:rPr>
      </w:pPr>
      <w:r w:rsidRPr="00EA7BA6">
        <w:rPr>
          <w:rStyle w:val="FootnoteReference"/>
          <w:sz w:val="24"/>
          <w:lang w:val="it-IT"/>
        </w:rPr>
        <w:footnoteRef/>
      </w:r>
      <w:r w:rsidR="00EA7BA6" w:rsidRPr="00FF6EA8">
        <w:rPr>
          <w:sz w:val="24"/>
          <w:lang w:val="en-GB"/>
        </w:rPr>
        <w:t xml:space="preserve"> </w:t>
      </w:r>
      <w:r w:rsidR="00EA7BA6" w:rsidRPr="00FF6EA8">
        <w:rPr>
          <w:sz w:val="24"/>
          <w:lang w:val="en-GB"/>
        </w:rPr>
        <w:tab/>
      </w:r>
      <w:hyperlink r:id="rId10" w:history="1">
        <w:r w:rsidRPr="00FF6EA8">
          <w:rPr>
            <w:rStyle w:val="Hyperlink"/>
            <w:sz w:val="24"/>
            <w:lang w:val="en-GB"/>
          </w:rPr>
          <w:t>https://efsa.onlinelibrary.wiley.com/action/downloadSupplement?doi=10.2903%‌2Fj.efsa.2024.8489&amp;file=efs28489-sup-0008-Annex_8.pdf</w:t>
        </w:r>
      </w:hyperlink>
      <w:r w:rsidRPr="00FF6EA8">
        <w:rPr>
          <w:sz w:val="24"/>
          <w:lang w:val="en-GB"/>
        </w:rPr>
        <w:t>.</w:t>
      </w:r>
    </w:p>
  </w:footnote>
  <w:footnote w:id="11">
    <w:p w:rsidR="004B4065" w:rsidRPr="00FF6EA8" w:rsidRDefault="004B4065" w:rsidP="00EA7BA6">
      <w:pPr>
        <w:pStyle w:val="FootnoteText"/>
        <w:ind w:left="567" w:hanging="567"/>
        <w:rPr>
          <w:sz w:val="24"/>
          <w:lang w:val="en-GB"/>
        </w:rPr>
      </w:pPr>
      <w:r w:rsidRPr="00EA7BA6">
        <w:rPr>
          <w:rStyle w:val="FootnoteReference"/>
          <w:sz w:val="24"/>
          <w:lang w:val="it-IT"/>
        </w:rPr>
        <w:footnoteRef/>
      </w:r>
      <w:r w:rsidR="00EA7BA6" w:rsidRPr="00FF6EA8">
        <w:rPr>
          <w:sz w:val="24"/>
          <w:lang w:val="en-GB"/>
        </w:rPr>
        <w:t xml:space="preserve"> </w:t>
      </w:r>
      <w:r w:rsidR="00EA7BA6" w:rsidRPr="00FF6EA8">
        <w:rPr>
          <w:sz w:val="24"/>
          <w:lang w:val="en-GB"/>
        </w:rPr>
        <w:tab/>
      </w:r>
      <w:hyperlink r:id="rId11" w:history="1">
        <w:r w:rsidRPr="00FF6EA8">
          <w:rPr>
            <w:rStyle w:val="Hyperlink"/>
            <w:sz w:val="24"/>
            <w:lang w:val="en-GB"/>
          </w:rPr>
          <w:t>https://commission.europa.eu/document/2c64e540-c07a-4376-a1da-368d289f4afe_en</w:t>
        </w:r>
      </w:hyperlink>
      <w:r w:rsidRPr="00FF6EA8">
        <w:rPr>
          <w:sz w:val="24"/>
          <w:lang w:val="en-GB"/>
        </w:rPr>
        <w:t>.</w:t>
      </w:r>
    </w:p>
  </w:footnote>
  <w:footnote w:id="12">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Ai sensi dell'articolo 6, paragrafo 3, del regolamento (UE) n. 182/2011, la Commissione "può", e non "deve", procedere all'autorizzazione in assenza di una maggioranza qualificata di Stati membri favorevoli in seno al comitato di appello.</w:t>
      </w:r>
    </w:p>
  </w:footnote>
  <w:footnote w:id="13">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 xml:space="preserve">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ELI: </w:t>
      </w:r>
      <w:hyperlink r:id="rId12" w:tooltip="Accesso al documento tramite l'URI dell'ELI." w:history="1">
        <w:r w:rsidRPr="00EA7BA6">
          <w:rPr>
            <w:rStyle w:val="Hyperlink"/>
            <w:sz w:val="24"/>
            <w:shd w:val="clear" w:color="auto" w:fill="FFFFFF"/>
            <w:lang w:val="it-IT"/>
          </w:rPr>
          <w:t>http://data.europa.eu/eli/reg/2002/178/oj</w:t>
        </w:r>
      </w:hyperlink>
      <w:r w:rsidRPr="00EA7BA6">
        <w:rPr>
          <w:sz w:val="24"/>
          <w:lang w:val="it-IT"/>
        </w:rPr>
        <w:t>).</w:t>
      </w:r>
    </w:p>
  </w:footnote>
  <w:footnote w:id="14">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hyperlink r:id="rId13" w:history="1">
        <w:r w:rsidRPr="00EA7BA6">
          <w:rPr>
            <w:rStyle w:val="Hyperlink"/>
            <w:sz w:val="24"/>
            <w:lang w:val="it-IT"/>
          </w:rPr>
          <w:t>https://tillymetz.lu/wp-content/uploads/2020/09/Co-signed-letter-MEP-Metz.pdf</w:t>
        </w:r>
      </w:hyperlink>
      <w:r w:rsidRPr="00EA7BA6">
        <w:rPr>
          <w:sz w:val="24"/>
          <w:lang w:val="it-IT"/>
        </w:rPr>
        <w:t>.</w:t>
      </w:r>
    </w:p>
  </w:footnote>
  <w:footnote w:id="15">
    <w:p w:rsidR="004B4065" w:rsidRPr="00EA7BA6" w:rsidRDefault="004B4065" w:rsidP="00EA7BA6">
      <w:pPr>
        <w:pStyle w:val="FootnoteText"/>
        <w:ind w:left="567" w:hanging="567"/>
        <w:rPr>
          <w:sz w:val="24"/>
          <w:lang w:val="it-IT"/>
        </w:rPr>
      </w:pPr>
      <w:r w:rsidRPr="00EA7BA6">
        <w:rPr>
          <w:rStyle w:val="FootnoteReference"/>
          <w:sz w:val="24"/>
          <w:lang w:val="it-IT"/>
        </w:rPr>
        <w:footnoteRef/>
      </w:r>
      <w:r w:rsidR="00EA7BA6" w:rsidRPr="00EA7BA6">
        <w:rPr>
          <w:sz w:val="24"/>
          <w:lang w:val="it-IT"/>
        </w:rPr>
        <w:t xml:space="preserve"> </w:t>
      </w:r>
      <w:r w:rsidR="00EA7BA6" w:rsidRPr="00EA7BA6">
        <w:rPr>
          <w:sz w:val="24"/>
          <w:lang w:val="it-IT"/>
        </w:rPr>
        <w:tab/>
      </w:r>
      <w:r w:rsidRPr="00EA7BA6">
        <w:rPr>
          <w:sz w:val="24"/>
          <w:lang w:val="it-IT"/>
        </w:rPr>
        <w:t>Risoluzione del Parlamento europeo del 15 gennaio 2020 sul Green Deal europeo (GU C 270 del 7.7.2021, pag. 2), paragrafo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B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IT"/>
    <w:docVar w:name="dvnumam" w:val="0"/>
    <w:docVar w:name="dvpe" w:val="763.280"/>
    <w:docVar w:name="dvtitre" w:val="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2024/2840(RSP))"/>
  </w:docVars>
  <w:rsids>
    <w:rsidRoot w:val="00302D34"/>
    <w:rsid w:val="00002272"/>
    <w:rsid w:val="00064002"/>
    <w:rsid w:val="000677B9"/>
    <w:rsid w:val="000831BA"/>
    <w:rsid w:val="000A42CC"/>
    <w:rsid w:val="000E7DD9"/>
    <w:rsid w:val="0010095E"/>
    <w:rsid w:val="00125B37"/>
    <w:rsid w:val="00187494"/>
    <w:rsid w:val="001F32AE"/>
    <w:rsid w:val="002767FF"/>
    <w:rsid w:val="002B18FE"/>
    <w:rsid w:val="002B5493"/>
    <w:rsid w:val="00302D34"/>
    <w:rsid w:val="00343214"/>
    <w:rsid w:val="00343997"/>
    <w:rsid w:val="00361C00"/>
    <w:rsid w:val="00395FA1"/>
    <w:rsid w:val="003E15D4"/>
    <w:rsid w:val="00411CCE"/>
    <w:rsid w:val="0041666E"/>
    <w:rsid w:val="00421060"/>
    <w:rsid w:val="00471C19"/>
    <w:rsid w:val="004867E3"/>
    <w:rsid w:val="00494A28"/>
    <w:rsid w:val="004B4065"/>
    <w:rsid w:val="004C0004"/>
    <w:rsid w:val="004C5D52"/>
    <w:rsid w:val="0050519A"/>
    <w:rsid w:val="005072A1"/>
    <w:rsid w:val="00514517"/>
    <w:rsid w:val="00545827"/>
    <w:rsid w:val="00560270"/>
    <w:rsid w:val="005901D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7A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BA6"/>
    <w:rsid w:val="00EB006A"/>
    <w:rsid w:val="00EB4772"/>
    <w:rsid w:val="00ED169E"/>
    <w:rsid w:val="00ED4235"/>
    <w:rsid w:val="00F04346"/>
    <w:rsid w:val="00F075DC"/>
    <w:rsid w:val="00F149E9"/>
    <w:rsid w:val="00F5134D"/>
    <w:rsid w:val="00F74202"/>
    <w:rsid w:val="00F87713"/>
    <w:rsid w:val="00FB4360"/>
    <w:rsid w:val="00FD0C70"/>
    <w:rsid w:val="00FF6EA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9E33C"/>
  <w15:chartTrackingRefBased/>
  <w15:docId w15:val="{7D6D2896-BB12-4EB4-88D9-DB4AEF3F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4065"/>
    <w:pPr>
      <w:spacing w:before="480" w:after="240"/>
    </w:pPr>
  </w:style>
  <w:style w:type="paragraph" w:customStyle="1" w:styleId="NormalHanging12a">
    <w:name w:val="NormalHanging12a"/>
    <w:basedOn w:val="Normal"/>
    <w:rsid w:val="004B4065"/>
    <w:pPr>
      <w:spacing w:after="240"/>
      <w:ind w:left="567" w:hanging="567"/>
    </w:pPr>
  </w:style>
  <w:style w:type="character" w:styleId="Hyperlink">
    <w:name w:val="Hyperlink"/>
    <w:basedOn w:val="DefaultParagraphFont"/>
    <w:uiPriority w:val="99"/>
    <w:rsid w:val="004B4065"/>
    <w:rPr>
      <w:color w:val="0563C1" w:themeColor="hyperlink"/>
      <w:u w:val="single"/>
    </w:rPr>
  </w:style>
  <w:style w:type="paragraph" w:styleId="BalloonText">
    <w:name w:val="Balloon Text"/>
    <w:basedOn w:val="Normal"/>
    <w:link w:val="BalloonTextChar"/>
    <w:rsid w:val="005901D6"/>
    <w:rPr>
      <w:rFonts w:ascii="Segoe UI" w:hAnsi="Segoe UI" w:cs="Segoe UI"/>
      <w:sz w:val="18"/>
      <w:szCs w:val="18"/>
    </w:rPr>
  </w:style>
  <w:style w:type="character" w:customStyle="1" w:styleId="BalloonTextChar">
    <w:name w:val="Balloon Text Char"/>
    <w:basedOn w:val="DefaultParagraphFont"/>
    <w:link w:val="BalloonText"/>
    <w:rsid w:val="005901D6"/>
    <w:rPr>
      <w:rFonts w:ascii="Segoe UI" w:hAnsi="Segoe UI" w:cs="Segoe UI"/>
      <w:sz w:val="18"/>
      <w:szCs w:val="18"/>
      <w:lang w:val="it-IT"/>
    </w:rPr>
  </w:style>
  <w:style w:type="character" w:styleId="FollowedHyperlink">
    <w:name w:val="FollowedHyperlink"/>
    <w:basedOn w:val="DefaultParagraphFont"/>
    <w:rsid w:val="005901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3D229-834B-4E4C-884C-CDB5B8C0F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1457</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ROSSI Angela</cp:lastModifiedBy>
  <cp:revision>2</cp:revision>
  <cp:lastPrinted>2004-11-19T15:42:00Z</cp:lastPrinted>
  <dcterms:created xsi:type="dcterms:W3CDTF">2024-11-26T13:43:00Z</dcterms:created>
  <dcterms:modified xsi:type="dcterms:W3CDTF">2024-11-26T13:43:00Z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B10-0146/2024</vt:lpwstr>
  </property>
  <property fmtid="{D5CDD505-2E9C-101B-9397-08002B2CF9AE}" pid="4" name="&lt;Type&gt;">
    <vt:lpwstr>RR</vt:lpwstr>
  </property>
</Properties>
</file>