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655F" w:rsidTr="0010095E">
        <w:trPr>
          <w:trHeight w:hRule="exact" w:val="1418"/>
        </w:trPr>
        <w:tc>
          <w:tcPr>
            <w:tcW w:w="6804" w:type="dxa"/>
            <w:shd w:val="clear" w:color="auto" w:fill="auto"/>
            <w:vAlign w:val="center"/>
          </w:tcPr>
          <w:p w:rsidR="00751A4A" w:rsidRPr="005E655F" w:rsidRDefault="00116F5A" w:rsidP="0010095E">
            <w:pPr>
              <w:pStyle w:val="EPName"/>
            </w:pPr>
            <w:r w:rsidRPr="005E655F">
              <w:t>Europos Parlamentas</w:t>
            </w:r>
          </w:p>
          <w:p w:rsidR="00751A4A" w:rsidRPr="005E655F" w:rsidRDefault="005F1B17" w:rsidP="005F1B17">
            <w:pPr>
              <w:pStyle w:val="EPTerm"/>
              <w:rPr>
                <w:rStyle w:val="HideTWBExt"/>
                <w:noProof w:val="0"/>
                <w:vanish w:val="0"/>
                <w:color w:val="auto"/>
              </w:rPr>
            </w:pPr>
            <w:r w:rsidRPr="005E655F">
              <w:t>2024</w:t>
            </w:r>
            <w:r w:rsidR="00817416" w:rsidRPr="005E655F">
              <w:t>-202</w:t>
            </w:r>
            <w:r w:rsidRPr="005E655F">
              <w:t>9</w:t>
            </w:r>
          </w:p>
        </w:tc>
        <w:tc>
          <w:tcPr>
            <w:tcW w:w="2268" w:type="dxa"/>
            <w:shd w:val="clear" w:color="auto" w:fill="auto"/>
          </w:tcPr>
          <w:p w:rsidR="00751A4A" w:rsidRPr="005E655F" w:rsidRDefault="00187494" w:rsidP="0010095E">
            <w:pPr>
              <w:pStyle w:val="EPLogo"/>
            </w:pPr>
            <w:r w:rsidRPr="005E655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E655F" w:rsidRDefault="00D058B8" w:rsidP="004C5D52">
      <w:pPr>
        <w:pStyle w:val="LineTop"/>
      </w:pPr>
    </w:p>
    <w:p w:rsidR="00680577" w:rsidRPr="005E655F" w:rsidRDefault="00116F5A" w:rsidP="00680577">
      <w:pPr>
        <w:pStyle w:val="EPBodyTA1"/>
      </w:pPr>
      <w:r w:rsidRPr="005E655F">
        <w:t>PRIIMTI TEKSTAI</w:t>
      </w:r>
    </w:p>
    <w:p w:rsidR="00D058B8" w:rsidRPr="005E655F" w:rsidRDefault="00D058B8" w:rsidP="00D058B8">
      <w:pPr>
        <w:pStyle w:val="LineBottom"/>
      </w:pPr>
    </w:p>
    <w:p w:rsidR="00116F5A" w:rsidRPr="005E655F" w:rsidRDefault="00116F5A" w:rsidP="00116F5A">
      <w:pPr>
        <w:pStyle w:val="ATHeading1"/>
      </w:pPr>
      <w:bookmarkStart w:id="0" w:name="TANumber"/>
      <w:r w:rsidRPr="005E655F">
        <w:t>P10_TA(2024)00</w:t>
      </w:r>
      <w:r w:rsidR="00876B97">
        <w:t>41</w:t>
      </w:r>
      <w:bookmarkEnd w:id="0"/>
    </w:p>
    <w:p w:rsidR="00116F5A" w:rsidRPr="005E655F" w:rsidRDefault="00442E5D" w:rsidP="00116F5A">
      <w:pPr>
        <w:pStyle w:val="ATHeading2"/>
      </w:pPr>
      <w:bookmarkStart w:id="1" w:name="title"/>
      <w:r>
        <w:t>G</w:t>
      </w:r>
      <w:r w:rsidR="00116F5A" w:rsidRPr="005E655F">
        <w:t>enetiškai modifikuoti kukurūzai MON 810</w:t>
      </w:r>
      <w:bookmarkEnd w:id="1"/>
    </w:p>
    <w:p w:rsidR="00116F5A" w:rsidRPr="005E655F" w:rsidRDefault="00116F5A" w:rsidP="00116F5A">
      <w:pPr>
        <w:rPr>
          <w:i/>
          <w:vanish/>
        </w:rPr>
      </w:pPr>
      <w:r w:rsidRPr="005E655F">
        <w:rPr>
          <w:i/>
        </w:rPr>
        <w:fldChar w:fldCharType="begin"/>
      </w:r>
      <w:r w:rsidRPr="005E655F">
        <w:rPr>
          <w:i/>
        </w:rPr>
        <w:instrText xml:space="preserve"> TC"(</w:instrText>
      </w:r>
      <w:bookmarkStart w:id="2" w:name="DocNumber"/>
      <w:r w:rsidRPr="005E655F">
        <w:rPr>
          <w:i/>
        </w:rPr>
        <w:instrText>B10-0146/2024</w:instrText>
      </w:r>
      <w:bookmarkEnd w:id="2"/>
      <w:r w:rsidRPr="005E655F">
        <w:rPr>
          <w:i/>
        </w:rPr>
        <w:instrText xml:space="preserve">)"\l3 \n&gt; \* MERGEFORMAT </w:instrText>
      </w:r>
      <w:r w:rsidRPr="005E655F">
        <w:rPr>
          <w:i/>
        </w:rPr>
        <w:fldChar w:fldCharType="end"/>
      </w:r>
    </w:p>
    <w:p w:rsidR="00116F5A" w:rsidRPr="005E655F" w:rsidRDefault="00116F5A" w:rsidP="00116F5A">
      <w:pPr>
        <w:rPr>
          <w:vanish/>
        </w:rPr>
      </w:pPr>
      <w:bookmarkStart w:id="3" w:name="PE"/>
      <w:r w:rsidRPr="005E655F">
        <w:rPr>
          <w:vanish/>
        </w:rPr>
        <w:t>PE763.280</w:t>
      </w:r>
      <w:bookmarkEnd w:id="3"/>
    </w:p>
    <w:p w:rsidR="00116F5A" w:rsidRPr="005E655F" w:rsidRDefault="00442E5D" w:rsidP="00442E5D">
      <w:pPr>
        <w:pStyle w:val="ATHeading3"/>
      </w:pPr>
      <w:bookmarkStart w:id="4" w:name="Sujet"/>
      <w:r>
        <w:t xml:space="preserve">2024 m. lapkričio 26 d. </w:t>
      </w:r>
      <w:r w:rsidR="00116F5A" w:rsidRPr="005E655F">
        <w:t>Europos Parlamento rezoliucija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w:t>
      </w:r>
      <w:bookmarkEnd w:id="4"/>
      <w:r w:rsidR="00116F5A" w:rsidRPr="005E655F">
        <w:t xml:space="preserve"> </w:t>
      </w:r>
      <w:bookmarkStart w:id="5" w:name="References"/>
      <w:r w:rsidR="00116F5A" w:rsidRPr="005E655F">
        <w:t>(2024/2840(RSP))</w:t>
      </w:r>
      <w:bookmarkEnd w:id="5"/>
    </w:p>
    <w:p w:rsidR="004F31E9" w:rsidRPr="005E655F" w:rsidRDefault="004F31E9" w:rsidP="004F31E9">
      <w:pPr>
        <w:pStyle w:val="EPComma"/>
      </w:pPr>
      <w:bookmarkStart w:id="6" w:name="TextBodyBegin"/>
      <w:bookmarkEnd w:id="6"/>
      <w:r w:rsidRPr="005E655F">
        <w:rPr>
          <w:i/>
        </w:rPr>
        <w:t>Europos Pa</w:t>
      </w:r>
      <w:bookmarkStart w:id="7" w:name="_GoBack"/>
      <w:bookmarkEnd w:id="7"/>
      <w:r w:rsidRPr="005E655F">
        <w:rPr>
          <w:i/>
        </w:rPr>
        <w:t>rlamentas</w:t>
      </w:r>
      <w:r w:rsidRPr="005E655F">
        <w:t>,</w:t>
      </w:r>
    </w:p>
    <w:p w:rsidR="004F31E9" w:rsidRPr="005E655F" w:rsidRDefault="004F31E9" w:rsidP="004F31E9">
      <w:pPr>
        <w:pStyle w:val="NormalHanging12a"/>
      </w:pPr>
      <w:r w:rsidRPr="005E655F">
        <w:t>–</w:t>
      </w:r>
      <w:r w:rsidRPr="005E655F">
        <w:tab/>
        <w:t>atsižvelgdamas į Komisijos įgyvendinimo sprendimą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w:t>
      </w:r>
      <w:r w:rsidRPr="005E655F">
        <w:rPr>
          <w:rStyle w:val="FootnoteReference"/>
        </w:rPr>
        <w:footnoteReference w:id="1"/>
      </w:r>
    </w:p>
    <w:p w:rsidR="004F31E9" w:rsidRPr="005E655F" w:rsidRDefault="004F31E9" w:rsidP="004F31E9">
      <w:pPr>
        <w:pStyle w:val="NormalHanging12a"/>
      </w:pPr>
      <w:r w:rsidRPr="005E655F">
        <w:t>–</w:t>
      </w:r>
      <w:r w:rsidRPr="005E655F">
        <w:tab/>
        <w:t>atsižvelgdamas į 2003 m. rugsėjo 22 d. Europos Parlamento ir Tarybos reglamentą (EB) Nr. 1829/2003 dėl genetiškai modifikuoto maisto ir pašarų</w:t>
      </w:r>
      <w:r w:rsidRPr="005E655F">
        <w:rPr>
          <w:rStyle w:val="FootnoteReference"/>
        </w:rPr>
        <w:footnoteReference w:id="2"/>
      </w:r>
      <w:r w:rsidRPr="005E655F">
        <w:t>, ypač į jo 11 straipsnio 3 dalį ir 23 straipsnio 3 dalį,</w:t>
      </w:r>
    </w:p>
    <w:p w:rsidR="004F31E9" w:rsidRPr="005E655F" w:rsidRDefault="004F31E9" w:rsidP="004F31E9">
      <w:pPr>
        <w:pStyle w:val="NormalHanging12a"/>
      </w:pPr>
      <w:r w:rsidRPr="005E655F">
        <w:t>–</w:t>
      </w:r>
      <w:r w:rsidRPr="005E655F">
        <w:tab/>
        <w:t>atsižvelgdamas į tai, kad Reglamento (EB) Nr. 1829/2003 35 straipsnyje nurodytas Augalų, gyvūnų, maisto ir pašarų nuolatinis komitetas per 2024 m. balandžio 26 d. vykusį balsavimą nusprendė neteikti nuomonės, ir į tai, kad apeliacinis komitetas 2024 m. gegužės 29 d. balsavimu taip pat nusprendė neteikti nuomonės,</w:t>
      </w:r>
    </w:p>
    <w:p w:rsidR="004F31E9" w:rsidRPr="005E655F" w:rsidRDefault="004F31E9" w:rsidP="004F31E9">
      <w:pPr>
        <w:pStyle w:val="NormalHanging12a"/>
      </w:pPr>
      <w:r w:rsidRPr="005E655F">
        <w:t>–</w:t>
      </w:r>
      <w:r w:rsidRPr="005E655F">
        <w:tab/>
        <w:t>atsižvelgdamas į 2011 m. vasario 16 d. Europos Parlamento ir Tarybos reglamento (ES) Nr. 182/2011, kuriuo nustatomos valstybių narių vykdomos Komisijos naudojimosi įgyvendinimo įgaliojimais kontrolės mechanizmų taisyklės ir bendrieji principai</w:t>
      </w:r>
      <w:r w:rsidRPr="005E655F">
        <w:rPr>
          <w:rStyle w:val="FootnoteReference"/>
        </w:rPr>
        <w:footnoteReference w:id="3"/>
      </w:r>
      <w:r w:rsidRPr="005E655F">
        <w:t>, 11 straipsnį,</w:t>
      </w:r>
    </w:p>
    <w:p w:rsidR="004F31E9" w:rsidRPr="005E655F" w:rsidRDefault="004F31E9" w:rsidP="004F31E9">
      <w:pPr>
        <w:pStyle w:val="NormalHanging12a"/>
      </w:pPr>
      <w:r w:rsidRPr="005E655F">
        <w:t>–</w:t>
      </w:r>
      <w:r w:rsidRPr="005E655F">
        <w:tab/>
        <w:t xml:space="preserve">atsižvelgdamas į Europos maisto saugos tarnybos (EFSA) 2023 m. lapkričio 30 d. </w:t>
      </w:r>
      <w:r w:rsidRPr="005E655F">
        <w:lastRenderedPageBreak/>
        <w:t>priimtą ir 2024 m. sausio 19 d. paskelbtą nuomonę</w:t>
      </w:r>
      <w:r w:rsidRPr="005E655F">
        <w:rPr>
          <w:rStyle w:val="FootnoteReference"/>
        </w:rPr>
        <w:footnoteReference w:id="4"/>
      </w:r>
      <w:r w:rsidRPr="005E655F">
        <w:t>,</w:t>
      </w:r>
    </w:p>
    <w:p w:rsidR="004F31E9" w:rsidRPr="005E655F" w:rsidRDefault="004F31E9" w:rsidP="004F31E9">
      <w:pPr>
        <w:pStyle w:val="NormalHanging12a"/>
        <w:rPr>
          <w:szCs w:val="24"/>
          <w:shd w:val="clear" w:color="auto" w:fill="FFFFFF"/>
        </w:rPr>
      </w:pPr>
      <w:r w:rsidRPr="005E655F">
        <w:t>–</w:t>
      </w:r>
      <w:r w:rsidRPr="005E655F">
        <w:tab/>
      </w:r>
      <w:r w:rsidRPr="005E655F">
        <w:rPr>
          <w:shd w:val="clear" w:color="auto" w:fill="FFFFFF"/>
        </w:rPr>
        <w:t>atsižvelgdamas į ankstesnes savo rezoliucijas, kuriomis prieštaraujama leidimui naudoti genetiškai modifikuotus organizmus (GMO)</w:t>
      </w:r>
      <w:r w:rsidRPr="005E655F">
        <w:rPr>
          <w:szCs w:val="24"/>
          <w:shd w:val="clear" w:color="auto" w:fill="FFFFFF"/>
          <w:vertAlign w:val="superscript"/>
        </w:rPr>
        <w:footnoteReference w:id="5"/>
      </w:r>
      <w:r w:rsidRPr="005E655F">
        <w:rPr>
          <w:shd w:val="clear" w:color="auto" w:fill="FFFFFF"/>
        </w:rPr>
        <w:t>,</w:t>
      </w:r>
    </w:p>
    <w:p w:rsidR="004F31E9" w:rsidRPr="005E655F" w:rsidRDefault="004F31E9" w:rsidP="004F31E9">
      <w:pPr>
        <w:pStyle w:val="NormalHanging12a"/>
      </w:pPr>
      <w:r w:rsidRPr="005E655F">
        <w:t>–</w:t>
      </w:r>
      <w:r w:rsidRPr="005E655F">
        <w:tab/>
        <w:t>atsižvelgdamas į Darbo tvarkos taisyklių 115 straipsnio 2 ir 3 dalis,</w:t>
      </w:r>
    </w:p>
    <w:p w:rsidR="004F31E9" w:rsidRPr="005E655F" w:rsidRDefault="004F31E9" w:rsidP="004F31E9">
      <w:pPr>
        <w:pStyle w:val="NormalHanging12a"/>
      </w:pPr>
      <w:r w:rsidRPr="005E655F">
        <w:t>–</w:t>
      </w:r>
      <w:r w:rsidRPr="005E655F">
        <w:tab/>
        <w:t>atsižvelgdamas į Aplinkos, visuomenės sveikatos ir maisto saugos komiteto pasiūlymą dėl rezoliucijos,</w:t>
      </w:r>
    </w:p>
    <w:p w:rsidR="004F31E9" w:rsidRPr="005E655F" w:rsidRDefault="004F31E9" w:rsidP="004F31E9">
      <w:pPr>
        <w:pStyle w:val="NormalHanging12a"/>
      </w:pPr>
      <w:r w:rsidRPr="005E655F">
        <w:t>A.</w:t>
      </w:r>
      <w:r w:rsidRPr="005E655F">
        <w:tab/>
        <w:t xml:space="preserve">kadangi 2022 m. spalio 6 d. Belgijoje įsisteigusi bendrovė „Bayer </w:t>
      </w:r>
      <w:proofErr w:type="spellStart"/>
      <w:r w:rsidRPr="005E655F">
        <w:t>Agriculture</w:t>
      </w:r>
      <w:proofErr w:type="spellEnd"/>
      <w:r w:rsidRPr="005E655F">
        <w:t xml:space="preserve"> BV“ Jungtinėse Valstijose įsisteigusios bendrovės „Bayer </w:t>
      </w:r>
      <w:proofErr w:type="spellStart"/>
      <w:r w:rsidRPr="005E655F">
        <w:t>CropScience</w:t>
      </w:r>
      <w:proofErr w:type="spellEnd"/>
      <w:r w:rsidRPr="005E655F">
        <w:t xml:space="preserve"> LP“ vardu pateikė Komisijai prašymą atnaujinti Įgyvendinimo sprendimu 2013/649/ES</w:t>
      </w:r>
      <w:r w:rsidRPr="005E655F">
        <w:rPr>
          <w:rStyle w:val="FootnoteReference"/>
        </w:rPr>
        <w:footnoteReference w:id="6"/>
      </w:r>
      <w:r w:rsidRPr="005E655F">
        <w:t xml:space="preserve"> ir Įgyvendinimo sprendimu (ES) 2017/1207</w:t>
      </w:r>
      <w:r w:rsidRPr="005E655F">
        <w:rPr>
          <w:rStyle w:val="FootnoteReference"/>
        </w:rPr>
        <w:footnoteReference w:id="7"/>
      </w:r>
      <w:r w:rsidRPr="005E655F">
        <w:t xml:space="preserve"> suteiktus leidimus; kadangi pagal Reglamento (EB) Nr. 1829/2003 11 straipsnio 4 dalį Įgyvendinimo sprendimu 2013/649/ES suteikto leidimo naudoti genetiškai modifikuotų kukurūzų MON 810 genetiškai modifikuotas žiedadulkes maisto produktuose galiojimo laikotarpis buvo automatiškai pratęstas, kol bus priimtas sprendimas dėl prašymo dėl leidimo atnaujinimo;</w:t>
      </w:r>
    </w:p>
    <w:p w:rsidR="004F31E9" w:rsidRPr="005E655F" w:rsidRDefault="004F31E9" w:rsidP="004F31E9">
      <w:pPr>
        <w:pStyle w:val="NormalHanging12a"/>
      </w:pPr>
      <w:r w:rsidRPr="005E655F">
        <w:t>B.</w:t>
      </w:r>
      <w:r w:rsidRPr="005E655F">
        <w:tab/>
        <w:t xml:space="preserve">kadangi 2023 m. lapkričio 30 d. EFSA priėmė palankią nuomonę, kuri paskelbta 2024 m. sausio 19 d.; </w:t>
      </w:r>
    </w:p>
    <w:p w:rsidR="004F31E9" w:rsidRPr="005E655F" w:rsidRDefault="004F31E9" w:rsidP="004F31E9">
      <w:pPr>
        <w:pStyle w:val="NormalHanging12a"/>
      </w:pPr>
      <w:r w:rsidRPr="005E655F">
        <w:t>C.</w:t>
      </w:r>
      <w:r w:rsidRPr="005E655F">
        <w:tab/>
        <w:t>kadangi genetiškai modifikuoti kukurūzai buvo modifikuoti taip, kad jie gamintų insekticidus (</w:t>
      </w:r>
      <w:proofErr w:type="spellStart"/>
      <w:r w:rsidRPr="005E655F">
        <w:t>Bt</w:t>
      </w:r>
      <w:proofErr w:type="spellEnd"/>
      <w:r w:rsidRPr="005E655F">
        <w:t xml:space="preserve"> toksinus);</w:t>
      </w:r>
    </w:p>
    <w:p w:rsidR="004F31E9" w:rsidRPr="005E655F" w:rsidRDefault="004F31E9" w:rsidP="004F31E9">
      <w:pPr>
        <w:pStyle w:val="NormalHanging12a"/>
        <w:rPr>
          <w:b/>
          <w:i/>
        </w:rPr>
      </w:pPr>
      <w:r w:rsidRPr="005E655F">
        <w:rPr>
          <w:b/>
          <w:i/>
        </w:rPr>
        <w:t xml:space="preserve">Neišspręsti su </w:t>
      </w:r>
      <w:proofErr w:type="spellStart"/>
      <w:r w:rsidRPr="005E655F">
        <w:rPr>
          <w:b/>
          <w:i/>
        </w:rPr>
        <w:t>Bt</w:t>
      </w:r>
      <w:proofErr w:type="spellEnd"/>
      <w:r w:rsidRPr="005E655F">
        <w:rPr>
          <w:b/>
          <w:i/>
        </w:rPr>
        <w:t xml:space="preserve"> toksinais susiję klausimai</w:t>
      </w:r>
    </w:p>
    <w:p w:rsidR="004F31E9" w:rsidRPr="005E655F" w:rsidRDefault="004F31E9" w:rsidP="004F31E9">
      <w:pPr>
        <w:pStyle w:val="NormalHanging12a"/>
      </w:pPr>
      <w:r w:rsidRPr="005E655F">
        <w:t>D.</w:t>
      </w:r>
      <w:r w:rsidRPr="005E655F">
        <w:tab/>
        <w:t xml:space="preserve">kadangi iš įvairių tyrimų matyti, jog buvo nustatytas šalutinis poveikis žmogaus imuninei sistemai, galintis pasireikšti dėl </w:t>
      </w:r>
      <w:proofErr w:type="spellStart"/>
      <w:r w:rsidRPr="005E655F">
        <w:t>Bt</w:t>
      </w:r>
      <w:proofErr w:type="spellEnd"/>
      <w:r w:rsidRPr="005E655F">
        <w:t xml:space="preserve"> toksinų poveikio, ir kad kai kurie </w:t>
      </w:r>
      <w:proofErr w:type="spellStart"/>
      <w:r w:rsidRPr="005E655F">
        <w:t>Bt</w:t>
      </w:r>
      <w:proofErr w:type="spellEnd"/>
      <w:r w:rsidRPr="005E655F">
        <w:t xml:space="preserve"> toksinai gali turėti </w:t>
      </w:r>
      <w:proofErr w:type="spellStart"/>
      <w:r w:rsidRPr="005E655F">
        <w:t>adjuvantinių</w:t>
      </w:r>
      <w:proofErr w:type="spellEnd"/>
      <w:r w:rsidRPr="005E655F">
        <w:t xml:space="preserve"> savybių</w:t>
      </w:r>
      <w:r w:rsidRPr="005E655F">
        <w:rPr>
          <w:rStyle w:val="FootnoteReference"/>
        </w:rPr>
        <w:footnoteReference w:id="8"/>
      </w:r>
      <w:r w:rsidRPr="005E655F">
        <w:t xml:space="preserve">, t. y. dėl jų gali padidėti kitų baltymų, su kuriais šie baltymai sąveikauja, </w:t>
      </w:r>
      <w:proofErr w:type="spellStart"/>
      <w:r w:rsidRPr="005E655F">
        <w:t>alergeniškumas</w:t>
      </w:r>
      <w:proofErr w:type="spellEnd"/>
      <w:r w:rsidRPr="005E655F">
        <w:t>;</w:t>
      </w:r>
    </w:p>
    <w:p w:rsidR="004F31E9" w:rsidRPr="005E655F" w:rsidRDefault="004F31E9" w:rsidP="004F31E9">
      <w:pPr>
        <w:pStyle w:val="NormalHanging12a"/>
        <w:rPr>
          <w:b/>
          <w:i/>
        </w:rPr>
      </w:pPr>
      <w:proofErr w:type="spellStart"/>
      <w:r w:rsidRPr="005E655F">
        <w:rPr>
          <w:b/>
          <w:i/>
        </w:rPr>
        <w:lastRenderedPageBreak/>
        <w:t>Bt</w:t>
      </w:r>
      <w:proofErr w:type="spellEnd"/>
      <w:r w:rsidRPr="005E655F">
        <w:rPr>
          <w:b/>
          <w:i/>
        </w:rPr>
        <w:t xml:space="preserve"> kultūros. Poveikis nekontroliuojamiems organizmams</w:t>
      </w:r>
    </w:p>
    <w:p w:rsidR="004F31E9" w:rsidRPr="005E655F" w:rsidRDefault="004F31E9" w:rsidP="004F31E9">
      <w:pPr>
        <w:pStyle w:val="NormalHanging12a"/>
        <w:rPr>
          <w:b/>
          <w:i/>
        </w:rPr>
      </w:pPr>
      <w:r w:rsidRPr="005E655F">
        <w:t>E.</w:t>
      </w:r>
      <w:r w:rsidRPr="005E655F">
        <w:tab/>
        <w:t xml:space="preserve">kadangi, priešingai nei naudojant insekticidus, kai poveikis daromas purškimo metu ir ribotą laiką po jo, naudojant genetiškai modifikuotas </w:t>
      </w:r>
      <w:proofErr w:type="spellStart"/>
      <w:r w:rsidRPr="005E655F">
        <w:t>Bt</w:t>
      </w:r>
      <w:proofErr w:type="spellEnd"/>
      <w:r w:rsidRPr="005E655F">
        <w:t xml:space="preserve"> kultūras, kontroliuojamus ir nekontroliuojamus organizmus </w:t>
      </w:r>
      <w:proofErr w:type="spellStart"/>
      <w:r w:rsidRPr="005E655F">
        <w:t>Bt</w:t>
      </w:r>
      <w:proofErr w:type="spellEnd"/>
      <w:r w:rsidRPr="005E655F">
        <w:t xml:space="preserve"> toksinai veikia nuolatos;</w:t>
      </w:r>
    </w:p>
    <w:p w:rsidR="004F31E9" w:rsidRPr="005E655F" w:rsidRDefault="004F31E9" w:rsidP="004F31E9">
      <w:pPr>
        <w:pStyle w:val="NormalHanging12a"/>
      </w:pPr>
      <w:r w:rsidRPr="005E655F">
        <w:t>F.</w:t>
      </w:r>
      <w:r w:rsidRPr="005E655F">
        <w:tab/>
        <w:t xml:space="preserve">kadangi prielaida, jog </w:t>
      </w:r>
      <w:proofErr w:type="spellStart"/>
      <w:r w:rsidRPr="005E655F">
        <w:t>Bt</w:t>
      </w:r>
      <w:proofErr w:type="spellEnd"/>
      <w:r w:rsidRPr="005E655F">
        <w:t xml:space="preserve"> toksinai veikia vienu konkrečiu tiksliniu veikimo būdu, nebegali būti laikoma teisinga, ir negalima atmesti, kad daromas poveikis netiksliniams organizmams; kadangi pranešama, jog įvairiais būdais veikiamų nekontroliuojamų organizmų skaičius didėja; kadangi naujausioje peržiūroje</w:t>
      </w:r>
      <w:r w:rsidRPr="005E655F">
        <w:rPr>
          <w:rStyle w:val="FootnoteReference"/>
        </w:rPr>
        <w:footnoteReference w:id="9"/>
      </w:r>
      <w:r w:rsidRPr="005E655F">
        <w:t xml:space="preserve"> minimos 39 tarpusavyje įvertintos publikacijos, kuriose pranešama apie neigiamą </w:t>
      </w:r>
      <w:proofErr w:type="spellStart"/>
      <w:r w:rsidRPr="005E655F">
        <w:t>Bt</w:t>
      </w:r>
      <w:proofErr w:type="spellEnd"/>
      <w:r w:rsidRPr="005E655F">
        <w:t xml:space="preserve"> toksinų poveikį daugeliui rūšių, esančių už jų natūralaus paplitimo arealo ribų;</w:t>
      </w:r>
    </w:p>
    <w:p w:rsidR="004F31E9" w:rsidRPr="005E655F" w:rsidRDefault="004F31E9" w:rsidP="004F31E9">
      <w:pPr>
        <w:pStyle w:val="NormalHanging12a"/>
        <w:rPr>
          <w:b/>
          <w:i/>
        </w:rPr>
      </w:pPr>
      <w:r w:rsidRPr="005E655F">
        <w:rPr>
          <w:b/>
          <w:i/>
        </w:rPr>
        <w:t>Valstybių narių pastabos</w:t>
      </w:r>
    </w:p>
    <w:p w:rsidR="004F31E9" w:rsidRPr="005E655F" w:rsidRDefault="004F31E9" w:rsidP="004F31E9">
      <w:pPr>
        <w:pStyle w:val="NormalHanging12a"/>
      </w:pPr>
      <w:r w:rsidRPr="005E655F">
        <w:t>G.</w:t>
      </w:r>
      <w:r w:rsidRPr="005E655F">
        <w:tab/>
        <w:t>kadangi per trijų mėnesių konsultacijų laikotarpį valstybės narės EFSA pateikė daug kritinių pastabų</w:t>
      </w:r>
      <w:r w:rsidRPr="005E655F">
        <w:rPr>
          <w:rStyle w:val="FootnoteReference"/>
        </w:rPr>
        <w:footnoteReference w:id="10"/>
      </w:r>
      <w:r w:rsidRPr="005E655F">
        <w:t xml:space="preserve">, įskaitant tai, kad genetiškai modifikuotų kukurūzų sudėties duomenys turėtų būti tikrinami ir iš naujo analizuojami ir kad analizė turėtų atitikti dabartinius EFSA reikalavimus, be kita ko, lygiavertiškumo tyrimus, ir kad literatūros apžvalgoje nebuvo tyrimų dėl Cry1Ab išlikimo aplinkoje arba galimo </w:t>
      </w:r>
      <w:proofErr w:type="spellStart"/>
      <w:r w:rsidRPr="005E655F">
        <w:t>Bt</w:t>
      </w:r>
      <w:proofErr w:type="spellEnd"/>
      <w:r w:rsidRPr="005E655F">
        <w:t xml:space="preserve"> pasėlių liekanų poveikio netiksliniams organizmams, o tai kelia problemų, nes publikacijose teigiama, kad genetiškai modifikuotų kukurūzų liekanoms per pašarus patenkant į mėšlą dirvožemio organizmams Cry1Ab gali daryti poveikį, o tai gali jiems sukelti neigiamą poveikį, kas savo ruožtu gali turėti pasekmių biologinei įvairovei ir ekosistemų funkcijoms; </w:t>
      </w:r>
    </w:p>
    <w:p w:rsidR="004F31E9" w:rsidRPr="005E655F" w:rsidRDefault="004F31E9" w:rsidP="004F31E9">
      <w:pPr>
        <w:pStyle w:val="NormalHanging12a"/>
      </w:pPr>
      <w:r w:rsidRPr="005E655F">
        <w:t>H.</w:t>
      </w:r>
      <w:r w:rsidRPr="005E655F">
        <w:tab/>
        <w:t>kadangi Reglamente (EB) Nr. 1829/2003 nustatyta, jog genetiškai modifikuotas maistas ir pašarai turi nekelti neigiamo poveikio žmonių ir gyvūnų sveikatai arba aplinkai, ir reikalaujama, kad Komisija, rengdama sprendimą, atsižvelgtų į visas atitinkamas Sąjungos teisės nuostatas ir kitus su svarstomu klausimu pagrįstai siejamus veiksnius; kadangi šie teisėti veiksniai turėtų apimti Sąjungos įsipareigojimus pagal Jungtinių Tautų darnaus vystymosi tikslus (JT DVT) ir Jungtinių Tautų biologinės įvairovės konvenciją (JT BĮK);</w:t>
      </w:r>
    </w:p>
    <w:p w:rsidR="004F31E9" w:rsidRPr="005E655F" w:rsidRDefault="004F31E9" w:rsidP="004F31E9">
      <w:pPr>
        <w:pStyle w:val="NormalHanging12a"/>
        <w:rPr>
          <w:b/>
          <w:i/>
        </w:rPr>
      </w:pPr>
      <w:r w:rsidRPr="005E655F">
        <w:rPr>
          <w:b/>
          <w:i/>
        </w:rPr>
        <w:t>Priklausomybės nuo importuojamų pašarų mažinimas</w:t>
      </w:r>
    </w:p>
    <w:p w:rsidR="004F31E9" w:rsidRPr="005E655F" w:rsidRDefault="004F31E9" w:rsidP="004F31E9">
      <w:pPr>
        <w:pStyle w:val="NormalHanging12a"/>
      </w:pPr>
      <w:r w:rsidRPr="005E655F">
        <w:t>I.</w:t>
      </w:r>
      <w:r w:rsidRPr="005E655F">
        <w:tab/>
        <w:t xml:space="preserve">kadangi viena iš COVID-19 krizės ir tebevykstančio karo Ukrainoje pamokų yra tai, kad Sąjunga turi išsivaduoti iš priklausomybės nuo tam tikrų ypatingos svarbos medžiagų; kadangi paskirtajam Komisijos nariui </w:t>
      </w:r>
      <w:proofErr w:type="spellStart"/>
      <w:r w:rsidRPr="005E655F">
        <w:t>Christophe</w:t>
      </w:r>
      <w:proofErr w:type="spellEnd"/>
      <w:r w:rsidRPr="005E655F">
        <w:t xml:space="preserve"> Hansenui skirtame įgaliojamajame rašte Komisijos Pirmininkė </w:t>
      </w:r>
      <w:proofErr w:type="spellStart"/>
      <w:r w:rsidRPr="005E655F">
        <w:t>Ursula</w:t>
      </w:r>
      <w:proofErr w:type="spellEnd"/>
      <w:r w:rsidRPr="005E655F">
        <w:t xml:space="preserve"> </w:t>
      </w:r>
      <w:proofErr w:type="spellStart"/>
      <w:r w:rsidRPr="005E655F">
        <w:t>von</w:t>
      </w:r>
      <w:proofErr w:type="spellEnd"/>
      <w:r w:rsidRPr="005E655F">
        <w:t xml:space="preserve"> </w:t>
      </w:r>
      <w:proofErr w:type="spellStart"/>
      <w:r w:rsidRPr="005E655F">
        <w:t>der</w:t>
      </w:r>
      <w:proofErr w:type="spellEnd"/>
      <w:r w:rsidRPr="005E655F">
        <w:t xml:space="preserve"> </w:t>
      </w:r>
      <w:proofErr w:type="spellStart"/>
      <w:r w:rsidRPr="005E655F">
        <w:t>Leyen</w:t>
      </w:r>
      <w:proofErr w:type="spellEnd"/>
      <w:r w:rsidRPr="005E655F">
        <w:t xml:space="preserve"> prašo jo ieškoti būdų, kaip sumažinti ypatingos svarbos prekių importą</w:t>
      </w:r>
      <w:r w:rsidRPr="005E655F">
        <w:rPr>
          <w:rStyle w:val="FootnoteReference"/>
        </w:rPr>
        <w:footnoteReference w:id="11"/>
      </w:r>
      <w:r w:rsidRPr="005E655F">
        <w:t xml:space="preserve">; </w:t>
      </w:r>
    </w:p>
    <w:p w:rsidR="004F31E9" w:rsidRPr="005E655F" w:rsidRDefault="004F31E9" w:rsidP="004F31E9">
      <w:pPr>
        <w:pStyle w:val="NormalHanging12a"/>
        <w:rPr>
          <w:b/>
          <w:i/>
        </w:rPr>
      </w:pPr>
      <w:r w:rsidRPr="005E655F">
        <w:rPr>
          <w:b/>
          <w:i/>
        </w:rPr>
        <w:lastRenderedPageBreak/>
        <w:t>Nedemokratiškas sprendimų priėmimas</w:t>
      </w:r>
    </w:p>
    <w:p w:rsidR="004F31E9" w:rsidRPr="005E655F" w:rsidRDefault="004F31E9" w:rsidP="004F31E9">
      <w:pPr>
        <w:pStyle w:val="NormalHanging12a"/>
        <w:rPr>
          <w:b/>
          <w:i/>
        </w:rPr>
      </w:pPr>
      <w:r w:rsidRPr="005E655F">
        <w:t>J.</w:t>
      </w:r>
      <w:r w:rsidRPr="005E655F">
        <w:tab/>
      </w:r>
      <w:r w:rsidRPr="005E655F">
        <w:rPr>
          <w:shd w:val="clear" w:color="auto" w:fill="FFFFFF"/>
        </w:rPr>
        <w:t>kadangi Reglamento (EB) Nr. 1829/2003 35 straipsnyje nurodytas Augalų, gyvūnų, maisto ir pašarų nuolatinis komitetas per 2024 m. balandžio 26 d. vykusį balsavimą nusprendė nuomonės neteikti, o tai reiškia, kad leidimas kvalifikuota valstybių narių balsų dauguma patvirtintas nebuvo; kadangi apeliacinis komitetas balsuodamas per 2024 m. gegužės 29 d. posėdį taip pat nusprendė nuomonės neteikti;</w:t>
      </w:r>
    </w:p>
    <w:p w:rsidR="004F31E9" w:rsidRPr="005E655F" w:rsidRDefault="004F31E9" w:rsidP="004F31E9">
      <w:pPr>
        <w:pStyle w:val="NormalHanging12a"/>
      </w:pPr>
      <w:r w:rsidRPr="005E655F">
        <w:t>K.</w:t>
      </w:r>
      <w:r w:rsidRPr="005E655F">
        <w:tab/>
        <w:t xml:space="preserve">kadangi per savo aštuntąją kadenciją Parlamentas priėmė iš viso 36 rezoliucijas, kuriomis nepritarė tam, kad rinkai būtų teikiamas genetiškai modifikuotas maistas ir pašarai (33 rezoliucijos) ir kad Sąjungoje būtų leidžiama auginti GMO (trys rezoliucijos); kadangi per devintąją kadenciją Parlamentas patvirtino 38 </w:t>
      </w:r>
      <w:proofErr w:type="spellStart"/>
      <w:r w:rsidRPr="005E655F">
        <w:t>prieštaravimus</w:t>
      </w:r>
      <w:proofErr w:type="spellEnd"/>
      <w:r w:rsidRPr="005E655F">
        <w:t xml:space="preserve"> dėl GMO pateikimo rinkai;</w:t>
      </w:r>
    </w:p>
    <w:p w:rsidR="004F31E9" w:rsidRPr="005E655F" w:rsidRDefault="004F31E9" w:rsidP="004F31E9">
      <w:pPr>
        <w:pStyle w:val="NormalHanging12a"/>
      </w:pPr>
      <w:r w:rsidRPr="005E655F">
        <w:t>L.</w:t>
      </w:r>
      <w:r w:rsidRPr="005E655F">
        <w:tab/>
        <w:t>kadangi, nepaisydama pačios pripažintų demokratijos trūkumų, to, kad valstybės narės GMO nepalaiko, ir Parlamento prieštaravimų, Komisija ir toliau suteikia leidimus GMO;</w:t>
      </w:r>
    </w:p>
    <w:p w:rsidR="004F31E9" w:rsidRPr="005E655F" w:rsidRDefault="004F31E9" w:rsidP="004F31E9">
      <w:pPr>
        <w:pStyle w:val="NormalHanging12a"/>
      </w:pPr>
      <w:r w:rsidRPr="005E655F">
        <w:t>M.</w:t>
      </w:r>
      <w:r w:rsidRPr="005E655F">
        <w:tab/>
        <w:t>kadangi nereikia teisės aktų pakeitimų, kad Komisija galėtų nesuteikti leidimų GMO, kai apeliaciniame komitete nesama patvirtinimo kvalifikuota valstybių narių balsų dauguma</w:t>
      </w:r>
      <w:r w:rsidRPr="005E655F">
        <w:rPr>
          <w:rStyle w:val="FootnoteReference"/>
        </w:rPr>
        <w:footnoteReference w:id="12"/>
      </w:r>
      <w:r w:rsidRPr="005E655F">
        <w:t>;</w:t>
      </w:r>
    </w:p>
    <w:p w:rsidR="004F31E9" w:rsidRPr="005E655F" w:rsidRDefault="004F31E9" w:rsidP="004F31E9">
      <w:pPr>
        <w:pStyle w:val="NormalHanging12a"/>
      </w:pPr>
      <w:r w:rsidRPr="005E655F">
        <w:t>N.</w:t>
      </w:r>
      <w:r w:rsidRPr="005E655F">
        <w:tab/>
        <w:t>kadangi 2024 m. liepos 2 d. Komisija pratęsė leidimą dėl genetiškai modifikuotų kukurūzų teikimo rinkai;</w:t>
      </w:r>
    </w:p>
    <w:p w:rsidR="004F31E9" w:rsidRPr="005E655F" w:rsidRDefault="004F31E9" w:rsidP="004F31E9">
      <w:pPr>
        <w:pStyle w:val="NormalHanging12a"/>
      </w:pPr>
      <w:r w:rsidRPr="005E655F">
        <w:t>1.</w:t>
      </w:r>
      <w:r w:rsidRPr="005E655F">
        <w:tab/>
        <w:t>mano, kad Komisijos įgyvendinimo sprendimas (ES) 2024/1828 viršija Reglamente (EB) Nr. 1829/2003 numatytus įgyvendinimo įgaliojimus;</w:t>
      </w:r>
    </w:p>
    <w:p w:rsidR="004F31E9" w:rsidRPr="005E655F" w:rsidRDefault="004F31E9" w:rsidP="004F31E9">
      <w:pPr>
        <w:pStyle w:val="NormalHanging12a"/>
      </w:pPr>
      <w:r w:rsidRPr="005E655F">
        <w:t>2.</w:t>
      </w:r>
      <w:r w:rsidRPr="005E655F">
        <w:tab/>
        <w:t>mano, kad Komisijos įgyvendinimo sprendimas (ES) 2024/1828 neatitinka Sąjungos teisės, nes jis nesuderinamas su Reglamento (EB) Nr. 1829/2003 tikslu, pagal kurį, remiantis Europos Parlamento ir Tarybos reglamente (EB) Nr. 178/2002</w:t>
      </w:r>
      <w:r w:rsidRPr="005E655F">
        <w:rPr>
          <w:rStyle w:val="FootnoteReference"/>
        </w:rPr>
        <w:footnoteReference w:id="13"/>
      </w:r>
      <w:r w:rsidRPr="005E655F">
        <w:t xml:space="preserve"> nustatytais bendraisiais 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w:t>
      </w:r>
    </w:p>
    <w:p w:rsidR="004F31E9" w:rsidRPr="005E655F" w:rsidRDefault="004F31E9" w:rsidP="004F31E9">
      <w:pPr>
        <w:pStyle w:val="NormalHanging12a"/>
      </w:pPr>
      <w:r w:rsidRPr="005E655F">
        <w:t>3.</w:t>
      </w:r>
      <w:r w:rsidRPr="005E655F">
        <w:tab/>
        <w:t>prašo Komisijos panaikinti Įgyvendinimo sprendimą (ES) 2024/1828;</w:t>
      </w:r>
    </w:p>
    <w:p w:rsidR="004F31E9" w:rsidRPr="005E655F" w:rsidRDefault="004F31E9" w:rsidP="004F31E9">
      <w:pPr>
        <w:pStyle w:val="NormalHanging12a"/>
      </w:pPr>
      <w:r w:rsidRPr="005E655F">
        <w:t>4.</w:t>
      </w:r>
      <w:r w:rsidRPr="005E655F">
        <w:tab/>
        <w:t>palankiai vertina tai, kad Komisija 2020 m. rugsėjo 11 d. laiške Parlamento nariams pagaliau pripažino, jog priimant sprendimus dėl GMO leidimų reikia atsižvelgti į tvarumą</w:t>
      </w:r>
      <w:r w:rsidRPr="005E655F">
        <w:rPr>
          <w:rStyle w:val="FootnoteReference"/>
        </w:rPr>
        <w:footnoteReference w:id="14"/>
      </w:r>
      <w:r w:rsidRPr="005E655F">
        <w:t xml:space="preserve">; vis dėlto reiškia didelį nusivylimą, kad nuo to laiko Komisija ir toliau suteikia leidimus į Sąjungą importuoti GMO, nepaisydama nuolatinių Parlamento ir daugumos </w:t>
      </w:r>
      <w:r w:rsidRPr="005E655F">
        <w:lastRenderedPageBreak/>
        <w:t>valstybių narių, balsavusių prieš, prieštaravimų;</w:t>
      </w:r>
    </w:p>
    <w:p w:rsidR="004F31E9" w:rsidRPr="005E655F" w:rsidRDefault="004F31E9" w:rsidP="004F31E9">
      <w:pPr>
        <w:pStyle w:val="NormalHanging12a"/>
      </w:pPr>
      <w:r w:rsidRPr="005E655F">
        <w:t>5.</w:t>
      </w:r>
      <w:r w:rsidRPr="005E655F">
        <w:tab/>
        <w:t>dar kartą ragina Komisiją atsižvelgti į Sąjungos įsipareigojimus pagal tarptautinius susitarimus, kaip antai Paryžiaus klimato susitarimą ir JT BĮK bei JT DVT; pakartoja savo raginimą prie įgyvendinimo aktų projektų pridėti aiškinamąjį memorandumą, kuriame būtų paaiškinta, kaip tuose aktuose laikomasi žalos nedarymo principo</w:t>
      </w:r>
      <w:r w:rsidRPr="005E655F">
        <w:rPr>
          <w:rStyle w:val="FootnoteReference"/>
        </w:rPr>
        <w:footnoteReference w:id="15"/>
      </w:r>
      <w:r w:rsidRPr="005E655F">
        <w:t xml:space="preserve">; </w:t>
      </w:r>
    </w:p>
    <w:p w:rsidR="00E365E1" w:rsidRDefault="004F31E9" w:rsidP="00442E5D">
      <w:pPr>
        <w:ind w:left="567" w:hanging="567"/>
      </w:pPr>
      <w:r w:rsidRPr="005E655F">
        <w:t>6.</w:t>
      </w:r>
      <w:r w:rsidRPr="005E655F">
        <w:tab/>
        <w:t>paveda Pirmininkei perduoti šią rezoliuciją Tarybai ir Komisijai bei valstybių narių vyriausybėms ir parlamentams.</w:t>
      </w:r>
    </w:p>
    <w:p w:rsidR="00442E5D" w:rsidRPr="005E655F" w:rsidRDefault="00442E5D" w:rsidP="00442E5D">
      <w:pPr>
        <w:ind w:left="567" w:hanging="567"/>
      </w:pPr>
    </w:p>
    <w:sectPr w:rsidR="00442E5D" w:rsidRPr="005E655F" w:rsidSect="005E655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F5A" w:rsidRPr="005E655F" w:rsidRDefault="00116F5A">
      <w:r w:rsidRPr="005E655F">
        <w:separator/>
      </w:r>
    </w:p>
  </w:endnote>
  <w:endnote w:type="continuationSeparator" w:id="0">
    <w:p w:rsidR="00116F5A" w:rsidRPr="005E655F" w:rsidRDefault="00116F5A">
      <w:r w:rsidRPr="005E65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65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65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65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F5A" w:rsidRPr="005E655F" w:rsidRDefault="00116F5A">
      <w:r w:rsidRPr="005E655F">
        <w:separator/>
      </w:r>
    </w:p>
  </w:footnote>
  <w:footnote w:type="continuationSeparator" w:id="0">
    <w:p w:rsidR="00116F5A" w:rsidRPr="005E655F" w:rsidRDefault="00116F5A">
      <w:r w:rsidRPr="005E655F">
        <w:continuationSeparator/>
      </w:r>
    </w:p>
  </w:footnote>
  <w:footnote w:id="1">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sz w:val="24"/>
          <w:lang w:val="lt-LT"/>
        </w:rPr>
        <w:t xml:space="preserve"> </w:t>
      </w:r>
      <w:r w:rsidR="005E655F" w:rsidRPr="005E655F">
        <w:rPr>
          <w:sz w:val="24"/>
          <w:lang w:val="lt-LT"/>
        </w:rPr>
        <w:tab/>
      </w:r>
      <w:r w:rsidRPr="005E655F">
        <w:rPr>
          <w:sz w:val="24"/>
          <w:lang w:val="lt-LT"/>
        </w:rPr>
        <w:t xml:space="preserve">OL L, 2024/1828, 2024 7 4, ELI: </w:t>
      </w:r>
      <w:hyperlink r:id="rId1" w:tooltip="Prieiga prie šio dokumento per jo ELI nuorodą." w:history="1">
        <w:r w:rsidRPr="005E655F">
          <w:rPr>
            <w:rStyle w:val="Hyperlink"/>
            <w:color w:val="337AB7"/>
            <w:sz w:val="24"/>
            <w:shd w:val="clear" w:color="auto" w:fill="FFFFFF"/>
            <w:lang w:val="lt-LT"/>
          </w:rPr>
          <w:t>http://data.europa.eu/eli/dec_impl/2024/1828/oj</w:t>
        </w:r>
      </w:hyperlink>
      <w:r w:rsidRPr="005E655F">
        <w:rPr>
          <w:sz w:val="24"/>
          <w:lang w:val="lt-LT"/>
        </w:rPr>
        <w:t>.</w:t>
      </w:r>
    </w:p>
  </w:footnote>
  <w:footnote w:id="2">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sz w:val="24"/>
          <w:lang w:val="lt-LT"/>
        </w:rPr>
        <w:t xml:space="preserve"> </w:t>
      </w:r>
      <w:r w:rsidR="005E655F" w:rsidRPr="005E655F">
        <w:rPr>
          <w:sz w:val="24"/>
          <w:lang w:val="lt-LT"/>
        </w:rPr>
        <w:tab/>
      </w:r>
      <w:r w:rsidRPr="005E655F">
        <w:rPr>
          <w:sz w:val="24"/>
          <w:lang w:val="lt-LT"/>
        </w:rPr>
        <w:t xml:space="preserve">OL L 268, 2003 10 18, p. 1, ELI: </w:t>
      </w:r>
      <w:hyperlink r:id="rId2" w:tooltip="Prieiga prie šio dokumento per jo ELI nuorodą." w:history="1">
        <w:r w:rsidRPr="005E655F">
          <w:rPr>
            <w:rStyle w:val="Hyperlink"/>
            <w:color w:val="337AB7"/>
            <w:sz w:val="24"/>
            <w:shd w:val="clear" w:color="auto" w:fill="FFFFFF"/>
            <w:lang w:val="lt-LT"/>
          </w:rPr>
          <w:t>http://data.europa.eu/eli/reg/2003/1829/oj</w:t>
        </w:r>
      </w:hyperlink>
      <w:r w:rsidRPr="005E655F">
        <w:rPr>
          <w:sz w:val="24"/>
          <w:lang w:val="lt-LT"/>
        </w:rPr>
        <w:t>.</w:t>
      </w:r>
    </w:p>
  </w:footnote>
  <w:footnote w:id="3">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sz w:val="24"/>
          <w:lang w:val="lt-LT"/>
        </w:rPr>
        <w:t xml:space="preserve"> </w:t>
      </w:r>
      <w:r w:rsidR="005E655F" w:rsidRPr="005E655F">
        <w:rPr>
          <w:sz w:val="24"/>
          <w:lang w:val="lt-LT"/>
        </w:rPr>
        <w:tab/>
      </w:r>
      <w:r w:rsidRPr="005E655F">
        <w:rPr>
          <w:sz w:val="24"/>
          <w:lang w:val="lt-LT"/>
        </w:rPr>
        <w:t xml:space="preserve">OL L 55, 2011 2 28, p. 13, ELI: </w:t>
      </w:r>
      <w:hyperlink r:id="rId3" w:tooltip="Prieiga prie šio dokumento per jo ELI nuorodą." w:history="1">
        <w:r w:rsidRPr="005E655F">
          <w:rPr>
            <w:rStyle w:val="Hyperlink"/>
            <w:color w:val="337AB7"/>
            <w:sz w:val="24"/>
            <w:shd w:val="clear" w:color="auto" w:fill="FFFFFF"/>
            <w:lang w:val="lt-LT"/>
          </w:rPr>
          <w:t>http://data.europa.eu/eli/reg/2011/182/oj</w:t>
        </w:r>
      </w:hyperlink>
      <w:r w:rsidRPr="005E655F">
        <w:rPr>
          <w:sz w:val="24"/>
          <w:lang w:val="lt-LT"/>
        </w:rPr>
        <w:t>.</w:t>
      </w:r>
    </w:p>
  </w:footnote>
  <w:footnote w:id="4">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sz w:val="24"/>
          <w:lang w:val="lt-LT"/>
        </w:rPr>
        <w:t xml:space="preserve"> </w:t>
      </w:r>
      <w:r w:rsidR="005E655F" w:rsidRPr="005E655F">
        <w:rPr>
          <w:sz w:val="24"/>
          <w:lang w:val="lt-LT"/>
        </w:rPr>
        <w:tab/>
      </w:r>
      <w:r w:rsidRPr="005E655F">
        <w:rPr>
          <w:sz w:val="24"/>
          <w:lang w:val="lt-LT"/>
        </w:rPr>
        <w:t xml:space="preserve">EFSA genetiškai modifikuotų organizmų specialistų grupės mokslinė nuomonė dėl genetiškai modifikuotų kukurūzų MON 810 leidimo pratęsimo vertinimo pagal Reglamentą (EB) Nr. 1829/2003 (paraiška GMFF-2022-9450), EFSA leidinys 2024:22(1):8489, </w:t>
      </w:r>
      <w:hyperlink r:id="rId4" w:history="1">
        <w:r w:rsidRPr="005E655F">
          <w:rPr>
            <w:rStyle w:val="Hyperlink"/>
            <w:sz w:val="24"/>
            <w:lang w:val="lt-LT"/>
          </w:rPr>
          <w:t>https://doi.org/10.2903/j.efsa.2024.8489</w:t>
        </w:r>
      </w:hyperlink>
      <w:r w:rsidRPr="005E655F">
        <w:rPr>
          <w:sz w:val="24"/>
          <w:lang w:val="lt-LT"/>
        </w:rPr>
        <w:t>.</w:t>
      </w:r>
    </w:p>
  </w:footnote>
  <w:footnote w:id="5">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color w:val="000000" w:themeColor="text1"/>
          <w:sz w:val="24"/>
          <w:lang w:val="lt-LT"/>
        </w:rPr>
        <w:t xml:space="preserve"> </w:t>
      </w:r>
      <w:r w:rsidR="005E655F" w:rsidRPr="005E655F">
        <w:rPr>
          <w:color w:val="000000" w:themeColor="text1"/>
          <w:sz w:val="24"/>
          <w:lang w:val="lt-LT"/>
        </w:rPr>
        <w:tab/>
      </w:r>
      <w:r w:rsidRPr="005E655F">
        <w:rPr>
          <w:color w:val="000000" w:themeColor="text1"/>
          <w:sz w:val="24"/>
          <w:lang w:val="lt-LT"/>
        </w:rPr>
        <w:t xml:space="preserve">Per aštuntąją kadenciją Parlamentas priėmė 36 rezoliucijas, o per devintąją kadenciją – 38 rezoliucijas, kuriose prieštaraujama leidimui naudoti GMO. </w:t>
      </w:r>
    </w:p>
  </w:footnote>
  <w:footnote w:id="6">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sz w:val="24"/>
          <w:lang w:val="lt-LT"/>
        </w:rPr>
        <w:t xml:space="preserve"> </w:t>
      </w:r>
      <w:r w:rsidR="005E655F" w:rsidRPr="005E655F">
        <w:rPr>
          <w:sz w:val="24"/>
          <w:lang w:val="lt-LT"/>
        </w:rPr>
        <w:tab/>
      </w:r>
      <w:r w:rsidRPr="005E655F">
        <w:rPr>
          <w:sz w:val="24"/>
          <w:lang w:val="lt-LT"/>
        </w:rPr>
        <w:t xml:space="preserve">2013 m. lapkričio 6 d. Komisijos įgyvendinimo sprendimas 2013/649/ES, kuriuo pagal Europos Parlamento ir Tarybos reglamentą (EB) Nr. 1829/2003 leidžiama pateikti rinkai kukurūzų MON 810 (MON-ØØ81Ø-6) žiedadulkes (OL L 302, 2013 11 13, p. 44, ELI: </w:t>
      </w:r>
      <w:hyperlink r:id="rId5" w:tooltip="Prieiga prie šio dokumento per jo ELI nuorodą." w:history="1">
        <w:r w:rsidRPr="005E655F">
          <w:rPr>
            <w:rStyle w:val="Hyperlink"/>
            <w:color w:val="337AB7"/>
            <w:sz w:val="24"/>
            <w:shd w:val="clear" w:color="auto" w:fill="FFFFFF"/>
            <w:lang w:val="lt-LT"/>
          </w:rPr>
          <w:t>http://data.europa.eu/eli/dec_impl/2013/649/oj</w:t>
        </w:r>
      </w:hyperlink>
      <w:r w:rsidRPr="005E655F">
        <w:rPr>
          <w:sz w:val="24"/>
          <w:lang w:val="lt-LT"/>
        </w:rPr>
        <w:t>).</w:t>
      </w:r>
    </w:p>
  </w:footnote>
  <w:footnote w:id="7">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sz w:val="24"/>
          <w:lang w:val="lt-LT"/>
        </w:rPr>
        <w:t xml:space="preserve"> </w:t>
      </w:r>
      <w:r w:rsidR="005E655F" w:rsidRPr="005E655F">
        <w:rPr>
          <w:sz w:val="24"/>
          <w:lang w:val="lt-LT"/>
        </w:rPr>
        <w:tab/>
      </w:r>
      <w:r w:rsidRPr="005E655F">
        <w:rPr>
          <w:sz w:val="24"/>
          <w:lang w:val="lt-LT"/>
        </w:rPr>
        <w:t xml:space="preserve">2017 m. liepos 4 d. Komisijos įgyvendinimo sprendimas (ES) 2017/1207, kuriuo pagal Europos Parlamento ir Tarybos reglamentą (EB) Nr. 1829/2003 atnaujinamas leidimas pateikti rinkai produktus, kurių sudėtyje yra genetiškai modifikuotų kukurūzų MON 810 (MON-ØØ81Ø-6), kurie iš jų sudaryti arba kurie iš jų pagaminti (OL L 173, 2017 7 6, p. 18, ELI: </w:t>
      </w:r>
      <w:hyperlink r:id="rId6" w:tooltip="Prieiga prie šio dokumento per jo ELI nuorodą." w:history="1">
        <w:r w:rsidRPr="005E655F">
          <w:rPr>
            <w:rStyle w:val="Hyperlink"/>
            <w:color w:val="337AB7"/>
            <w:sz w:val="24"/>
            <w:shd w:val="clear" w:color="auto" w:fill="FFFFFF"/>
            <w:lang w:val="lt-LT"/>
          </w:rPr>
          <w:t>http://data.europa.eu/eli/dec_impl/2017/1207/oj</w:t>
        </w:r>
      </w:hyperlink>
      <w:r w:rsidRPr="005E655F">
        <w:rPr>
          <w:sz w:val="24"/>
          <w:lang w:val="lt-LT"/>
        </w:rPr>
        <w:t>).</w:t>
      </w:r>
    </w:p>
  </w:footnote>
  <w:footnote w:id="8">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sz w:val="24"/>
          <w:lang w:val="lt-LT"/>
        </w:rPr>
        <w:t xml:space="preserve"> </w:t>
      </w:r>
      <w:r w:rsidR="005E655F" w:rsidRPr="005E655F">
        <w:rPr>
          <w:sz w:val="24"/>
          <w:lang w:val="lt-LT"/>
        </w:rPr>
        <w:tab/>
      </w:r>
      <w:r w:rsidRPr="005E655F">
        <w:rPr>
          <w:sz w:val="24"/>
          <w:lang w:val="lt-LT"/>
        </w:rPr>
        <w:t>Žr. N. </w:t>
      </w:r>
      <w:proofErr w:type="spellStart"/>
      <w:r w:rsidRPr="005E655F">
        <w:rPr>
          <w:sz w:val="24"/>
          <w:lang w:val="lt-LT"/>
        </w:rPr>
        <w:t>Rubio-Infante</w:t>
      </w:r>
      <w:proofErr w:type="spellEnd"/>
      <w:r w:rsidRPr="005E655F">
        <w:rPr>
          <w:sz w:val="24"/>
          <w:lang w:val="lt-LT"/>
        </w:rPr>
        <w:t>, L. </w:t>
      </w:r>
      <w:proofErr w:type="spellStart"/>
      <w:r w:rsidRPr="005E655F">
        <w:rPr>
          <w:sz w:val="24"/>
          <w:lang w:val="lt-LT"/>
        </w:rPr>
        <w:t>Moreno-Fierros</w:t>
      </w:r>
      <w:proofErr w:type="spellEnd"/>
      <w:r w:rsidRPr="005E655F">
        <w:rPr>
          <w:sz w:val="24"/>
          <w:lang w:val="lt-LT"/>
        </w:rPr>
        <w:t>, „</w:t>
      </w:r>
      <w:proofErr w:type="spellStart"/>
      <w:r w:rsidRPr="005E655F">
        <w:rPr>
          <w:sz w:val="24"/>
          <w:lang w:val="lt-LT"/>
        </w:rPr>
        <w:t>An</w:t>
      </w:r>
      <w:proofErr w:type="spellEnd"/>
      <w:r w:rsidRPr="005E655F">
        <w:rPr>
          <w:sz w:val="24"/>
          <w:lang w:val="lt-LT"/>
        </w:rPr>
        <w:t xml:space="preserve"> </w:t>
      </w:r>
      <w:proofErr w:type="spellStart"/>
      <w:r w:rsidRPr="005E655F">
        <w:rPr>
          <w:sz w:val="24"/>
          <w:lang w:val="lt-LT"/>
        </w:rPr>
        <w:t>overview</w:t>
      </w:r>
      <w:proofErr w:type="spellEnd"/>
      <w:r w:rsidRPr="005E655F">
        <w:rPr>
          <w:sz w:val="24"/>
          <w:lang w:val="lt-LT"/>
        </w:rPr>
        <w:t xml:space="preserve"> </w:t>
      </w:r>
      <w:proofErr w:type="spellStart"/>
      <w:r w:rsidRPr="005E655F">
        <w:rPr>
          <w:sz w:val="24"/>
          <w:lang w:val="lt-LT"/>
        </w:rPr>
        <w:t>of</w:t>
      </w:r>
      <w:proofErr w:type="spellEnd"/>
      <w:r w:rsidRPr="005E655F">
        <w:rPr>
          <w:sz w:val="24"/>
          <w:lang w:val="lt-LT"/>
        </w:rPr>
        <w:t xml:space="preserve"> </w:t>
      </w:r>
      <w:proofErr w:type="spellStart"/>
      <w:r w:rsidRPr="005E655F">
        <w:rPr>
          <w:sz w:val="24"/>
          <w:lang w:val="lt-LT"/>
        </w:rPr>
        <w:t>the</w:t>
      </w:r>
      <w:proofErr w:type="spellEnd"/>
      <w:r w:rsidRPr="005E655F">
        <w:rPr>
          <w:sz w:val="24"/>
          <w:lang w:val="lt-LT"/>
        </w:rPr>
        <w:t xml:space="preserve"> </w:t>
      </w:r>
      <w:proofErr w:type="spellStart"/>
      <w:r w:rsidRPr="005E655F">
        <w:rPr>
          <w:sz w:val="24"/>
          <w:lang w:val="lt-LT"/>
        </w:rPr>
        <w:t>safety</w:t>
      </w:r>
      <w:proofErr w:type="spellEnd"/>
      <w:r w:rsidRPr="005E655F">
        <w:rPr>
          <w:sz w:val="24"/>
          <w:lang w:val="lt-LT"/>
        </w:rPr>
        <w:t xml:space="preserve"> </w:t>
      </w:r>
      <w:proofErr w:type="spellStart"/>
      <w:r w:rsidRPr="005E655F">
        <w:rPr>
          <w:sz w:val="24"/>
          <w:lang w:val="lt-LT"/>
        </w:rPr>
        <w:t>and</w:t>
      </w:r>
      <w:proofErr w:type="spellEnd"/>
      <w:r w:rsidRPr="005E655F">
        <w:rPr>
          <w:sz w:val="24"/>
          <w:lang w:val="lt-LT"/>
        </w:rPr>
        <w:t xml:space="preserve"> </w:t>
      </w:r>
      <w:proofErr w:type="spellStart"/>
      <w:r w:rsidRPr="005E655F">
        <w:rPr>
          <w:sz w:val="24"/>
          <w:lang w:val="lt-LT"/>
        </w:rPr>
        <w:t>biological</w:t>
      </w:r>
      <w:proofErr w:type="spellEnd"/>
      <w:r w:rsidRPr="005E655F">
        <w:rPr>
          <w:sz w:val="24"/>
          <w:lang w:val="lt-LT"/>
        </w:rPr>
        <w:t xml:space="preserve"> </w:t>
      </w:r>
      <w:proofErr w:type="spellStart"/>
      <w:r w:rsidRPr="005E655F">
        <w:rPr>
          <w:sz w:val="24"/>
          <w:lang w:val="lt-LT"/>
        </w:rPr>
        <w:t>effects</w:t>
      </w:r>
      <w:proofErr w:type="spellEnd"/>
      <w:r w:rsidRPr="005E655F">
        <w:rPr>
          <w:sz w:val="24"/>
          <w:lang w:val="lt-LT"/>
        </w:rPr>
        <w:t xml:space="preserve"> </w:t>
      </w:r>
      <w:proofErr w:type="spellStart"/>
      <w:r w:rsidRPr="005E655F">
        <w:rPr>
          <w:sz w:val="24"/>
          <w:lang w:val="lt-LT"/>
        </w:rPr>
        <w:t>of</w:t>
      </w:r>
      <w:proofErr w:type="spellEnd"/>
      <w:r w:rsidRPr="005E655F">
        <w:rPr>
          <w:sz w:val="24"/>
          <w:lang w:val="lt-LT"/>
        </w:rPr>
        <w:t xml:space="preserve"> </w:t>
      </w:r>
      <w:proofErr w:type="spellStart"/>
      <w:r w:rsidRPr="005E655F">
        <w:rPr>
          <w:i/>
          <w:iCs/>
          <w:sz w:val="24"/>
          <w:lang w:val="lt-LT"/>
        </w:rPr>
        <w:t>Bacillus</w:t>
      </w:r>
      <w:proofErr w:type="spellEnd"/>
      <w:r w:rsidRPr="005E655F">
        <w:rPr>
          <w:i/>
          <w:iCs/>
          <w:sz w:val="24"/>
          <w:lang w:val="lt-LT"/>
        </w:rPr>
        <w:t xml:space="preserve"> </w:t>
      </w:r>
      <w:proofErr w:type="spellStart"/>
      <w:r w:rsidRPr="005E655F">
        <w:rPr>
          <w:i/>
          <w:iCs/>
          <w:sz w:val="24"/>
          <w:lang w:val="lt-LT"/>
        </w:rPr>
        <w:t>thuringiensis</w:t>
      </w:r>
      <w:proofErr w:type="spellEnd"/>
      <w:r w:rsidRPr="005E655F">
        <w:rPr>
          <w:sz w:val="24"/>
          <w:lang w:val="lt-LT"/>
        </w:rPr>
        <w:t xml:space="preserve"> </w:t>
      </w:r>
      <w:proofErr w:type="spellStart"/>
      <w:r w:rsidRPr="005E655F">
        <w:rPr>
          <w:sz w:val="24"/>
          <w:lang w:val="lt-LT"/>
        </w:rPr>
        <w:t>Cry</w:t>
      </w:r>
      <w:proofErr w:type="spellEnd"/>
      <w:r w:rsidRPr="005E655F">
        <w:rPr>
          <w:sz w:val="24"/>
          <w:lang w:val="lt-LT"/>
        </w:rPr>
        <w:t xml:space="preserve"> </w:t>
      </w:r>
      <w:proofErr w:type="spellStart"/>
      <w:r w:rsidRPr="005E655F">
        <w:rPr>
          <w:sz w:val="24"/>
          <w:lang w:val="lt-LT"/>
        </w:rPr>
        <w:t>toxins</w:t>
      </w:r>
      <w:proofErr w:type="spellEnd"/>
      <w:r w:rsidRPr="005E655F">
        <w:rPr>
          <w:sz w:val="24"/>
          <w:lang w:val="lt-LT"/>
        </w:rPr>
        <w:t xml:space="preserve"> </w:t>
      </w:r>
      <w:proofErr w:type="spellStart"/>
      <w:r w:rsidRPr="005E655F">
        <w:rPr>
          <w:sz w:val="24"/>
          <w:lang w:val="lt-LT"/>
        </w:rPr>
        <w:t>in</w:t>
      </w:r>
      <w:proofErr w:type="spellEnd"/>
      <w:r w:rsidRPr="005E655F">
        <w:rPr>
          <w:sz w:val="24"/>
          <w:lang w:val="lt-LT"/>
        </w:rPr>
        <w:t xml:space="preserve"> </w:t>
      </w:r>
      <w:proofErr w:type="spellStart"/>
      <w:r w:rsidRPr="005E655F">
        <w:rPr>
          <w:sz w:val="24"/>
          <w:lang w:val="lt-LT"/>
        </w:rPr>
        <w:t>mammals</w:t>
      </w:r>
      <w:proofErr w:type="spellEnd"/>
      <w:r w:rsidRPr="005E655F">
        <w:rPr>
          <w:sz w:val="24"/>
          <w:lang w:val="lt-LT"/>
        </w:rPr>
        <w:t xml:space="preserve">“, </w:t>
      </w:r>
      <w:proofErr w:type="spellStart"/>
      <w:r w:rsidRPr="005E655F">
        <w:rPr>
          <w:sz w:val="24"/>
          <w:lang w:val="lt-LT"/>
        </w:rPr>
        <w:t>Journal</w:t>
      </w:r>
      <w:proofErr w:type="spellEnd"/>
      <w:r w:rsidRPr="005E655F">
        <w:rPr>
          <w:sz w:val="24"/>
          <w:lang w:val="lt-LT"/>
        </w:rPr>
        <w:t xml:space="preserve"> </w:t>
      </w:r>
      <w:proofErr w:type="spellStart"/>
      <w:r w:rsidRPr="005E655F">
        <w:rPr>
          <w:sz w:val="24"/>
          <w:lang w:val="lt-LT"/>
        </w:rPr>
        <w:t>of</w:t>
      </w:r>
      <w:proofErr w:type="spellEnd"/>
      <w:r w:rsidRPr="005E655F">
        <w:rPr>
          <w:sz w:val="24"/>
          <w:lang w:val="lt-LT"/>
        </w:rPr>
        <w:t xml:space="preserve"> </w:t>
      </w:r>
      <w:proofErr w:type="spellStart"/>
      <w:r w:rsidRPr="005E655F">
        <w:rPr>
          <w:sz w:val="24"/>
          <w:lang w:val="lt-LT"/>
        </w:rPr>
        <w:t>Applied</w:t>
      </w:r>
      <w:proofErr w:type="spellEnd"/>
      <w:r w:rsidRPr="005E655F">
        <w:rPr>
          <w:sz w:val="24"/>
          <w:lang w:val="lt-LT"/>
        </w:rPr>
        <w:t xml:space="preserve"> </w:t>
      </w:r>
      <w:proofErr w:type="spellStart"/>
      <w:r w:rsidRPr="005E655F">
        <w:rPr>
          <w:sz w:val="24"/>
          <w:lang w:val="lt-LT"/>
        </w:rPr>
        <w:t>Toxicology</w:t>
      </w:r>
      <w:proofErr w:type="spellEnd"/>
      <w:r w:rsidRPr="005E655F">
        <w:rPr>
          <w:sz w:val="24"/>
          <w:lang w:val="lt-LT"/>
        </w:rPr>
        <w:t>, 2016 m. gegužės mėn., 36,5, p. 630–648</w:t>
      </w:r>
      <w:r w:rsidR="00442E5D">
        <w:rPr>
          <w:sz w:val="24"/>
          <w:lang w:val="lt-LT"/>
        </w:rPr>
        <w:t xml:space="preserve">, </w:t>
      </w:r>
      <w:hyperlink r:id="rId7" w:history="1">
        <w:r w:rsidRPr="005E655F">
          <w:rPr>
            <w:rStyle w:val="Hyperlink"/>
            <w:sz w:val="24"/>
            <w:lang w:val="lt-LT"/>
          </w:rPr>
          <w:t>https://onlinelibrary.wiley.com/doi/full/10.1002/jat.3252</w:t>
        </w:r>
      </w:hyperlink>
      <w:r w:rsidRPr="005E655F">
        <w:rPr>
          <w:rStyle w:val="Hyperlink"/>
          <w:sz w:val="24"/>
          <w:lang w:val="lt-LT"/>
        </w:rPr>
        <w:t>.</w:t>
      </w:r>
    </w:p>
  </w:footnote>
  <w:footnote w:id="9">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sz w:val="24"/>
          <w:lang w:val="lt-LT"/>
        </w:rPr>
        <w:t xml:space="preserve"> </w:t>
      </w:r>
      <w:r w:rsidR="005E655F" w:rsidRPr="005E655F">
        <w:rPr>
          <w:sz w:val="24"/>
          <w:lang w:val="lt-LT"/>
        </w:rPr>
        <w:tab/>
      </w:r>
      <w:r w:rsidRPr="005E655F">
        <w:rPr>
          <w:sz w:val="24"/>
          <w:lang w:val="lt-LT"/>
        </w:rPr>
        <w:t>A. </w:t>
      </w:r>
      <w:proofErr w:type="spellStart"/>
      <w:r w:rsidRPr="005E655F">
        <w:rPr>
          <w:sz w:val="24"/>
          <w:lang w:val="lt-LT"/>
        </w:rPr>
        <w:t>Hilbeck</w:t>
      </w:r>
      <w:proofErr w:type="spellEnd"/>
      <w:r w:rsidRPr="005E655F">
        <w:rPr>
          <w:sz w:val="24"/>
          <w:lang w:val="lt-LT"/>
        </w:rPr>
        <w:t>, N. </w:t>
      </w:r>
      <w:proofErr w:type="spellStart"/>
      <w:r w:rsidRPr="005E655F">
        <w:rPr>
          <w:sz w:val="24"/>
          <w:lang w:val="lt-LT"/>
        </w:rPr>
        <w:t>Defarge</w:t>
      </w:r>
      <w:proofErr w:type="spellEnd"/>
      <w:r w:rsidRPr="005E655F">
        <w:rPr>
          <w:sz w:val="24"/>
          <w:lang w:val="lt-LT"/>
        </w:rPr>
        <w:t>, T. </w:t>
      </w:r>
      <w:proofErr w:type="spellStart"/>
      <w:r w:rsidRPr="005E655F">
        <w:rPr>
          <w:sz w:val="24"/>
          <w:lang w:val="lt-LT"/>
        </w:rPr>
        <w:t>Lebrecht</w:t>
      </w:r>
      <w:proofErr w:type="spellEnd"/>
      <w:r w:rsidRPr="005E655F">
        <w:rPr>
          <w:sz w:val="24"/>
          <w:lang w:val="lt-LT"/>
        </w:rPr>
        <w:t>, T. </w:t>
      </w:r>
      <w:proofErr w:type="spellStart"/>
      <w:r w:rsidRPr="005E655F">
        <w:rPr>
          <w:sz w:val="24"/>
          <w:lang w:val="lt-LT"/>
        </w:rPr>
        <w:t>Bøhn</w:t>
      </w:r>
      <w:proofErr w:type="spellEnd"/>
      <w:r w:rsidRPr="005E655F">
        <w:rPr>
          <w:sz w:val="24"/>
          <w:lang w:val="lt-LT"/>
        </w:rPr>
        <w:t>, „</w:t>
      </w:r>
      <w:proofErr w:type="spellStart"/>
      <w:r w:rsidRPr="005E655F">
        <w:rPr>
          <w:sz w:val="24"/>
          <w:lang w:val="lt-LT"/>
        </w:rPr>
        <w:t>Insecticidal</w:t>
      </w:r>
      <w:proofErr w:type="spellEnd"/>
      <w:r w:rsidRPr="005E655F">
        <w:rPr>
          <w:sz w:val="24"/>
          <w:lang w:val="lt-LT"/>
        </w:rPr>
        <w:t xml:space="preserve"> </w:t>
      </w:r>
      <w:proofErr w:type="spellStart"/>
      <w:r w:rsidRPr="005E655F">
        <w:rPr>
          <w:sz w:val="24"/>
          <w:lang w:val="lt-LT"/>
        </w:rPr>
        <w:t>Bt</w:t>
      </w:r>
      <w:proofErr w:type="spellEnd"/>
      <w:r w:rsidRPr="005E655F">
        <w:rPr>
          <w:sz w:val="24"/>
          <w:lang w:val="lt-LT"/>
        </w:rPr>
        <w:t xml:space="preserve"> </w:t>
      </w:r>
      <w:proofErr w:type="spellStart"/>
      <w:r w:rsidRPr="005E655F">
        <w:rPr>
          <w:sz w:val="24"/>
          <w:lang w:val="lt-LT"/>
        </w:rPr>
        <w:t>crops</w:t>
      </w:r>
      <w:proofErr w:type="spellEnd"/>
      <w:r w:rsidRPr="005E655F">
        <w:rPr>
          <w:sz w:val="24"/>
          <w:lang w:val="lt-LT"/>
        </w:rPr>
        <w:t xml:space="preserve">. </w:t>
      </w:r>
      <w:proofErr w:type="spellStart"/>
      <w:r w:rsidRPr="005E655F">
        <w:rPr>
          <w:sz w:val="24"/>
          <w:lang w:val="lt-LT"/>
        </w:rPr>
        <w:t>EFSA’s</w:t>
      </w:r>
      <w:proofErr w:type="spellEnd"/>
      <w:r w:rsidRPr="005E655F">
        <w:rPr>
          <w:sz w:val="24"/>
          <w:lang w:val="lt-LT"/>
        </w:rPr>
        <w:t xml:space="preserve"> risk </w:t>
      </w:r>
      <w:proofErr w:type="spellStart"/>
      <w:r w:rsidRPr="005E655F">
        <w:rPr>
          <w:sz w:val="24"/>
          <w:lang w:val="lt-LT"/>
        </w:rPr>
        <w:t>assessment</w:t>
      </w:r>
      <w:proofErr w:type="spellEnd"/>
      <w:r w:rsidRPr="005E655F">
        <w:rPr>
          <w:sz w:val="24"/>
          <w:lang w:val="lt-LT"/>
        </w:rPr>
        <w:t xml:space="preserve"> </w:t>
      </w:r>
      <w:proofErr w:type="spellStart"/>
      <w:r w:rsidRPr="005E655F">
        <w:rPr>
          <w:sz w:val="24"/>
          <w:lang w:val="lt-LT"/>
        </w:rPr>
        <w:t>approach</w:t>
      </w:r>
      <w:proofErr w:type="spellEnd"/>
      <w:r w:rsidRPr="005E655F">
        <w:rPr>
          <w:sz w:val="24"/>
          <w:lang w:val="lt-LT"/>
        </w:rPr>
        <w:t xml:space="preserve"> </w:t>
      </w:r>
      <w:proofErr w:type="spellStart"/>
      <w:r w:rsidRPr="005E655F">
        <w:rPr>
          <w:sz w:val="24"/>
          <w:lang w:val="lt-LT"/>
        </w:rPr>
        <w:t>for</w:t>
      </w:r>
      <w:proofErr w:type="spellEnd"/>
      <w:r w:rsidRPr="005E655F">
        <w:rPr>
          <w:sz w:val="24"/>
          <w:lang w:val="lt-LT"/>
        </w:rPr>
        <w:t xml:space="preserve"> GM </w:t>
      </w:r>
      <w:proofErr w:type="spellStart"/>
      <w:r w:rsidRPr="005E655F">
        <w:rPr>
          <w:sz w:val="24"/>
          <w:lang w:val="lt-LT"/>
        </w:rPr>
        <w:t>Bt</w:t>
      </w:r>
      <w:proofErr w:type="spellEnd"/>
      <w:r w:rsidRPr="005E655F">
        <w:rPr>
          <w:sz w:val="24"/>
          <w:lang w:val="lt-LT"/>
        </w:rPr>
        <w:t xml:space="preserve"> </w:t>
      </w:r>
      <w:proofErr w:type="spellStart"/>
      <w:r w:rsidRPr="005E655F">
        <w:rPr>
          <w:sz w:val="24"/>
          <w:lang w:val="lt-LT"/>
        </w:rPr>
        <w:t>plants</w:t>
      </w:r>
      <w:proofErr w:type="spellEnd"/>
      <w:r w:rsidRPr="005E655F">
        <w:rPr>
          <w:sz w:val="24"/>
          <w:lang w:val="lt-LT"/>
        </w:rPr>
        <w:t xml:space="preserve"> </w:t>
      </w:r>
      <w:proofErr w:type="spellStart"/>
      <w:r w:rsidRPr="005E655F">
        <w:rPr>
          <w:sz w:val="24"/>
          <w:lang w:val="lt-LT"/>
        </w:rPr>
        <w:t>fails</w:t>
      </w:r>
      <w:proofErr w:type="spellEnd"/>
      <w:r w:rsidRPr="005E655F">
        <w:rPr>
          <w:sz w:val="24"/>
          <w:lang w:val="lt-LT"/>
        </w:rPr>
        <w:t xml:space="preserve"> </w:t>
      </w:r>
      <w:proofErr w:type="spellStart"/>
      <w:r w:rsidRPr="005E655F">
        <w:rPr>
          <w:sz w:val="24"/>
          <w:lang w:val="lt-LT"/>
        </w:rPr>
        <w:t>by</w:t>
      </w:r>
      <w:proofErr w:type="spellEnd"/>
      <w:r w:rsidRPr="005E655F">
        <w:rPr>
          <w:sz w:val="24"/>
          <w:lang w:val="lt-LT"/>
        </w:rPr>
        <w:t xml:space="preserve"> </w:t>
      </w:r>
      <w:proofErr w:type="spellStart"/>
      <w:r w:rsidRPr="005E655F">
        <w:rPr>
          <w:sz w:val="24"/>
          <w:lang w:val="lt-LT"/>
        </w:rPr>
        <w:t>design</w:t>
      </w:r>
      <w:proofErr w:type="spellEnd"/>
      <w:r w:rsidRPr="005E655F">
        <w:rPr>
          <w:sz w:val="24"/>
          <w:lang w:val="lt-LT"/>
        </w:rPr>
        <w:t xml:space="preserve">“, RAGES, 2020, p. 4, </w:t>
      </w:r>
      <w:hyperlink r:id="rId8" w:history="1">
        <w:r w:rsidRPr="005E655F">
          <w:rPr>
            <w:rStyle w:val="Hyperlink"/>
            <w:sz w:val="24"/>
            <w:lang w:val="lt-LT"/>
          </w:rPr>
          <w:t>https://www.testbiotech.org/wp-content/uploads/2023/12/RAGES_report-Insecticidal-Bt-plants.pdf</w:t>
        </w:r>
      </w:hyperlink>
      <w:r w:rsidRPr="005E655F">
        <w:rPr>
          <w:sz w:val="24"/>
          <w:lang w:val="lt-LT"/>
        </w:rPr>
        <w:t>;</w:t>
      </w:r>
      <w:r w:rsidRPr="005E655F">
        <w:rPr>
          <w:rStyle w:val="Hyperlink"/>
          <w:sz w:val="24"/>
          <w:lang w:val="lt-LT"/>
        </w:rPr>
        <w:t xml:space="preserve"> </w:t>
      </w:r>
      <w:r w:rsidRPr="005E655F">
        <w:rPr>
          <w:sz w:val="24"/>
          <w:lang w:val="lt-LT"/>
        </w:rPr>
        <w:t>Žr., pavyzdžiui, A. </w:t>
      </w:r>
      <w:proofErr w:type="spellStart"/>
      <w:r w:rsidRPr="005E655F">
        <w:rPr>
          <w:sz w:val="24"/>
          <w:lang w:val="lt-LT"/>
        </w:rPr>
        <w:t>Hilbeck</w:t>
      </w:r>
      <w:proofErr w:type="spellEnd"/>
      <w:r w:rsidRPr="005E655F">
        <w:rPr>
          <w:sz w:val="24"/>
          <w:lang w:val="lt-LT"/>
        </w:rPr>
        <w:t>, M. </w:t>
      </w:r>
      <w:proofErr w:type="spellStart"/>
      <w:r w:rsidRPr="005E655F">
        <w:rPr>
          <w:sz w:val="24"/>
          <w:lang w:val="lt-LT"/>
        </w:rPr>
        <w:t>Otto</w:t>
      </w:r>
      <w:proofErr w:type="spellEnd"/>
      <w:r w:rsidRPr="005E655F">
        <w:rPr>
          <w:sz w:val="24"/>
          <w:lang w:val="lt-LT"/>
        </w:rPr>
        <w:t>, „</w:t>
      </w:r>
      <w:proofErr w:type="spellStart"/>
      <w:r w:rsidRPr="005E655F">
        <w:rPr>
          <w:sz w:val="24"/>
          <w:lang w:val="lt-LT"/>
        </w:rPr>
        <w:t>Specificity</w:t>
      </w:r>
      <w:proofErr w:type="spellEnd"/>
      <w:r w:rsidRPr="005E655F">
        <w:rPr>
          <w:sz w:val="24"/>
          <w:lang w:val="lt-LT"/>
        </w:rPr>
        <w:t xml:space="preserve"> </w:t>
      </w:r>
      <w:proofErr w:type="spellStart"/>
      <w:r w:rsidRPr="005E655F">
        <w:rPr>
          <w:sz w:val="24"/>
          <w:lang w:val="lt-LT"/>
        </w:rPr>
        <w:t>and</w:t>
      </w:r>
      <w:proofErr w:type="spellEnd"/>
      <w:r w:rsidRPr="005E655F">
        <w:rPr>
          <w:sz w:val="24"/>
          <w:lang w:val="lt-LT"/>
        </w:rPr>
        <w:t xml:space="preserve"> </w:t>
      </w:r>
      <w:proofErr w:type="spellStart"/>
      <w:r w:rsidRPr="005E655F">
        <w:rPr>
          <w:sz w:val="24"/>
          <w:lang w:val="lt-LT"/>
        </w:rPr>
        <w:t>combinatorial</w:t>
      </w:r>
      <w:proofErr w:type="spellEnd"/>
      <w:r w:rsidRPr="005E655F">
        <w:rPr>
          <w:sz w:val="24"/>
          <w:lang w:val="lt-LT"/>
        </w:rPr>
        <w:t xml:space="preserve"> </w:t>
      </w:r>
      <w:proofErr w:type="spellStart"/>
      <w:r w:rsidRPr="005E655F">
        <w:rPr>
          <w:sz w:val="24"/>
          <w:lang w:val="lt-LT"/>
        </w:rPr>
        <w:t>effects</w:t>
      </w:r>
      <w:proofErr w:type="spellEnd"/>
      <w:r w:rsidRPr="005E655F">
        <w:rPr>
          <w:sz w:val="24"/>
          <w:lang w:val="lt-LT"/>
        </w:rPr>
        <w:t xml:space="preserve"> </w:t>
      </w:r>
      <w:proofErr w:type="spellStart"/>
      <w:r w:rsidRPr="005E655F">
        <w:rPr>
          <w:sz w:val="24"/>
          <w:lang w:val="lt-LT"/>
        </w:rPr>
        <w:t>of</w:t>
      </w:r>
      <w:proofErr w:type="spellEnd"/>
      <w:r w:rsidRPr="005E655F">
        <w:rPr>
          <w:sz w:val="24"/>
          <w:lang w:val="lt-LT"/>
        </w:rPr>
        <w:t xml:space="preserve"> </w:t>
      </w:r>
      <w:proofErr w:type="spellStart"/>
      <w:r w:rsidRPr="005E655F">
        <w:rPr>
          <w:i/>
          <w:iCs/>
          <w:sz w:val="24"/>
          <w:lang w:val="lt-LT"/>
        </w:rPr>
        <w:t>Bacillus</w:t>
      </w:r>
      <w:proofErr w:type="spellEnd"/>
      <w:r w:rsidRPr="005E655F">
        <w:rPr>
          <w:i/>
          <w:iCs/>
          <w:sz w:val="24"/>
          <w:lang w:val="lt-LT"/>
        </w:rPr>
        <w:t xml:space="preserve"> </w:t>
      </w:r>
      <w:proofErr w:type="spellStart"/>
      <w:r w:rsidRPr="005E655F">
        <w:rPr>
          <w:i/>
          <w:iCs/>
          <w:sz w:val="24"/>
          <w:lang w:val="lt-LT"/>
        </w:rPr>
        <w:t>thuringiensis</w:t>
      </w:r>
      <w:proofErr w:type="spellEnd"/>
      <w:r w:rsidRPr="005E655F">
        <w:rPr>
          <w:sz w:val="24"/>
          <w:lang w:val="lt-LT"/>
        </w:rPr>
        <w:t xml:space="preserve"> </w:t>
      </w:r>
      <w:proofErr w:type="spellStart"/>
      <w:r w:rsidRPr="005E655F">
        <w:rPr>
          <w:sz w:val="24"/>
          <w:lang w:val="lt-LT"/>
        </w:rPr>
        <w:t>Cry</w:t>
      </w:r>
      <w:proofErr w:type="spellEnd"/>
      <w:r w:rsidRPr="005E655F">
        <w:rPr>
          <w:sz w:val="24"/>
          <w:lang w:val="lt-LT"/>
        </w:rPr>
        <w:t xml:space="preserve"> </w:t>
      </w:r>
      <w:proofErr w:type="spellStart"/>
      <w:r w:rsidRPr="005E655F">
        <w:rPr>
          <w:sz w:val="24"/>
          <w:lang w:val="lt-LT"/>
        </w:rPr>
        <w:t>toxins</w:t>
      </w:r>
      <w:proofErr w:type="spellEnd"/>
      <w:r w:rsidRPr="005E655F">
        <w:rPr>
          <w:sz w:val="24"/>
          <w:lang w:val="lt-LT"/>
        </w:rPr>
        <w:t xml:space="preserve"> </w:t>
      </w:r>
      <w:proofErr w:type="spellStart"/>
      <w:r w:rsidRPr="005E655F">
        <w:rPr>
          <w:sz w:val="24"/>
          <w:lang w:val="lt-LT"/>
        </w:rPr>
        <w:t>in</w:t>
      </w:r>
      <w:proofErr w:type="spellEnd"/>
      <w:r w:rsidRPr="005E655F">
        <w:rPr>
          <w:sz w:val="24"/>
          <w:lang w:val="lt-LT"/>
        </w:rPr>
        <w:t xml:space="preserve"> </w:t>
      </w:r>
      <w:proofErr w:type="spellStart"/>
      <w:r w:rsidRPr="005E655F">
        <w:rPr>
          <w:sz w:val="24"/>
          <w:lang w:val="lt-LT"/>
        </w:rPr>
        <w:t>the</w:t>
      </w:r>
      <w:proofErr w:type="spellEnd"/>
      <w:r w:rsidRPr="005E655F">
        <w:rPr>
          <w:sz w:val="24"/>
          <w:lang w:val="lt-LT"/>
        </w:rPr>
        <w:t xml:space="preserve"> </w:t>
      </w:r>
      <w:proofErr w:type="spellStart"/>
      <w:r w:rsidRPr="005E655F">
        <w:rPr>
          <w:sz w:val="24"/>
          <w:lang w:val="lt-LT"/>
        </w:rPr>
        <w:t>context</w:t>
      </w:r>
      <w:proofErr w:type="spellEnd"/>
      <w:r w:rsidRPr="005E655F">
        <w:rPr>
          <w:sz w:val="24"/>
          <w:lang w:val="lt-LT"/>
        </w:rPr>
        <w:t xml:space="preserve"> </w:t>
      </w:r>
      <w:proofErr w:type="spellStart"/>
      <w:r w:rsidRPr="005E655F">
        <w:rPr>
          <w:sz w:val="24"/>
          <w:lang w:val="lt-LT"/>
        </w:rPr>
        <w:t>of</w:t>
      </w:r>
      <w:proofErr w:type="spellEnd"/>
      <w:r w:rsidRPr="005E655F">
        <w:rPr>
          <w:sz w:val="24"/>
          <w:lang w:val="lt-LT"/>
        </w:rPr>
        <w:t xml:space="preserve"> GMO </w:t>
      </w:r>
      <w:proofErr w:type="spellStart"/>
      <w:r w:rsidRPr="005E655F">
        <w:rPr>
          <w:sz w:val="24"/>
          <w:lang w:val="lt-LT"/>
        </w:rPr>
        <w:t>environmental</w:t>
      </w:r>
      <w:proofErr w:type="spellEnd"/>
      <w:r w:rsidRPr="005E655F">
        <w:rPr>
          <w:sz w:val="24"/>
          <w:lang w:val="lt-LT"/>
        </w:rPr>
        <w:t xml:space="preserve"> risk </w:t>
      </w:r>
      <w:proofErr w:type="spellStart"/>
      <w:r w:rsidRPr="005E655F">
        <w:rPr>
          <w:sz w:val="24"/>
          <w:lang w:val="lt-LT"/>
        </w:rPr>
        <w:t>assessment</w:t>
      </w:r>
      <w:proofErr w:type="spellEnd"/>
      <w:r w:rsidRPr="005E655F">
        <w:rPr>
          <w:sz w:val="24"/>
          <w:lang w:val="lt-LT"/>
        </w:rPr>
        <w:t xml:space="preserve">“, </w:t>
      </w:r>
      <w:proofErr w:type="spellStart"/>
      <w:r w:rsidRPr="005E655F">
        <w:rPr>
          <w:sz w:val="24"/>
          <w:lang w:val="lt-LT"/>
        </w:rPr>
        <w:t>Frontiers</w:t>
      </w:r>
      <w:proofErr w:type="spellEnd"/>
      <w:r w:rsidRPr="005E655F">
        <w:rPr>
          <w:sz w:val="24"/>
          <w:lang w:val="lt-LT"/>
        </w:rPr>
        <w:t xml:space="preserve"> </w:t>
      </w:r>
      <w:proofErr w:type="spellStart"/>
      <w:r w:rsidRPr="005E655F">
        <w:rPr>
          <w:sz w:val="24"/>
          <w:lang w:val="lt-LT"/>
        </w:rPr>
        <w:t>in</w:t>
      </w:r>
      <w:proofErr w:type="spellEnd"/>
      <w:r w:rsidRPr="005E655F">
        <w:rPr>
          <w:sz w:val="24"/>
          <w:lang w:val="lt-LT"/>
        </w:rPr>
        <w:t xml:space="preserve"> </w:t>
      </w:r>
      <w:proofErr w:type="spellStart"/>
      <w:r w:rsidRPr="005E655F">
        <w:rPr>
          <w:sz w:val="24"/>
          <w:lang w:val="lt-LT"/>
        </w:rPr>
        <w:t>Environmental</w:t>
      </w:r>
      <w:proofErr w:type="spellEnd"/>
      <w:r w:rsidRPr="005E655F">
        <w:rPr>
          <w:sz w:val="24"/>
          <w:lang w:val="lt-LT"/>
        </w:rPr>
        <w:t xml:space="preserve"> </w:t>
      </w:r>
      <w:proofErr w:type="spellStart"/>
      <w:r w:rsidRPr="005E655F">
        <w:rPr>
          <w:sz w:val="24"/>
          <w:lang w:val="lt-LT"/>
        </w:rPr>
        <w:t>Science</w:t>
      </w:r>
      <w:proofErr w:type="spellEnd"/>
      <w:r w:rsidRPr="005E655F">
        <w:rPr>
          <w:sz w:val="24"/>
          <w:lang w:val="lt-LT"/>
        </w:rPr>
        <w:t xml:space="preserve">, 2015, 3:71, </w:t>
      </w:r>
      <w:hyperlink r:id="rId9" w:history="1">
        <w:r w:rsidRPr="005E655F">
          <w:rPr>
            <w:rStyle w:val="Hyperlink"/>
            <w:sz w:val="24"/>
            <w:lang w:val="lt-LT"/>
          </w:rPr>
          <w:t>https://doi.org/10.3389/fenvs.2015.00071</w:t>
        </w:r>
      </w:hyperlink>
      <w:r w:rsidRPr="005E655F">
        <w:rPr>
          <w:sz w:val="24"/>
          <w:lang w:val="lt-LT"/>
        </w:rPr>
        <w:t>.</w:t>
      </w:r>
    </w:p>
  </w:footnote>
  <w:footnote w:id="10">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sz w:val="24"/>
          <w:lang w:val="lt-LT"/>
        </w:rPr>
        <w:t xml:space="preserve"> </w:t>
      </w:r>
      <w:r w:rsidR="005E655F" w:rsidRPr="005E655F">
        <w:rPr>
          <w:sz w:val="24"/>
          <w:lang w:val="lt-LT"/>
        </w:rPr>
        <w:tab/>
      </w:r>
      <w:hyperlink r:id="rId10" w:history="1">
        <w:r w:rsidRPr="005E655F">
          <w:rPr>
            <w:rStyle w:val="Hyperlink"/>
            <w:sz w:val="24"/>
            <w:lang w:val="lt-LT"/>
          </w:rPr>
          <w:t>https://efsa.onlinelibrary.wiley.com/action/downloadSupplement?doi=10.2903%‌2Fj.efsa.2024.8489&amp;file=efs28489-sup-0008-Annex_8.pdf</w:t>
        </w:r>
      </w:hyperlink>
      <w:r w:rsidRPr="005E655F">
        <w:rPr>
          <w:rStyle w:val="Hyperlink"/>
          <w:sz w:val="24"/>
          <w:lang w:val="lt-LT"/>
        </w:rPr>
        <w:t>.</w:t>
      </w:r>
    </w:p>
  </w:footnote>
  <w:footnote w:id="11">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sz w:val="24"/>
          <w:lang w:val="lt-LT"/>
        </w:rPr>
        <w:t xml:space="preserve"> </w:t>
      </w:r>
      <w:r w:rsidR="005E655F" w:rsidRPr="005E655F">
        <w:rPr>
          <w:sz w:val="24"/>
          <w:lang w:val="lt-LT"/>
        </w:rPr>
        <w:tab/>
      </w:r>
      <w:hyperlink r:id="rId11" w:history="1">
        <w:r w:rsidRPr="005E655F">
          <w:rPr>
            <w:rStyle w:val="Hyperlink"/>
            <w:sz w:val="24"/>
            <w:lang w:val="lt-LT"/>
          </w:rPr>
          <w:t>https://commission.europa.eu/document/2c64e540-c07a-4376-a1da-368d289f4afe_en</w:t>
        </w:r>
      </w:hyperlink>
    </w:p>
  </w:footnote>
  <w:footnote w:id="12">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sz w:val="24"/>
          <w:lang w:val="lt-LT"/>
        </w:rPr>
        <w:t xml:space="preserve"> </w:t>
      </w:r>
      <w:r w:rsidR="005E655F" w:rsidRPr="005E655F">
        <w:rPr>
          <w:sz w:val="24"/>
          <w:lang w:val="lt-LT"/>
        </w:rPr>
        <w:tab/>
      </w:r>
      <w:r w:rsidRPr="005E655F">
        <w:rPr>
          <w:sz w:val="24"/>
          <w:lang w:val="lt-LT"/>
        </w:rPr>
        <w:t>Pagal Reglamento (ES) Nr. 182/2011 6 straipsnio 3 dalį Komisija „gali“, o ne „turi“ suteikti leidimą, jei apeliaciniame komitete nėra pritariančios kvalifikuotos valstybių narių balsų daugumos.</w:t>
      </w:r>
    </w:p>
  </w:footnote>
  <w:footnote w:id="13">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sz w:val="24"/>
          <w:lang w:val="lt-LT"/>
        </w:rPr>
        <w:t xml:space="preserve"> </w:t>
      </w:r>
      <w:r w:rsidR="005E655F" w:rsidRPr="005E655F">
        <w:rPr>
          <w:sz w:val="24"/>
          <w:lang w:val="lt-LT"/>
        </w:rPr>
        <w:tab/>
      </w:r>
      <w:r w:rsidRPr="005E655F">
        <w:rPr>
          <w:sz w:val="24"/>
          <w:lang w:val="lt-LT"/>
        </w:rPr>
        <w:t xml:space="preserve">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 </w:t>
      </w:r>
      <w:hyperlink r:id="rId12" w:tooltip="Prieiga prie šio dokumento per jo ELI nuorodą." w:history="1">
        <w:r w:rsidRPr="005E655F">
          <w:rPr>
            <w:rStyle w:val="Hyperlink"/>
            <w:color w:val="337AB7"/>
            <w:sz w:val="24"/>
            <w:shd w:val="clear" w:color="auto" w:fill="FFFFFF"/>
            <w:lang w:val="lt-LT"/>
          </w:rPr>
          <w:t>http://data.europa.eu/eli/reg/2002/178/oj</w:t>
        </w:r>
      </w:hyperlink>
      <w:r w:rsidRPr="005E655F">
        <w:rPr>
          <w:sz w:val="24"/>
          <w:lang w:val="lt-LT"/>
        </w:rPr>
        <w:t>).</w:t>
      </w:r>
    </w:p>
  </w:footnote>
  <w:footnote w:id="14">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sz w:val="24"/>
          <w:lang w:val="lt-LT"/>
        </w:rPr>
        <w:t xml:space="preserve"> </w:t>
      </w:r>
      <w:r w:rsidR="005E655F" w:rsidRPr="005E655F">
        <w:rPr>
          <w:sz w:val="24"/>
          <w:lang w:val="lt-LT"/>
        </w:rPr>
        <w:tab/>
      </w:r>
      <w:hyperlink r:id="rId13" w:history="1">
        <w:r w:rsidRPr="005E655F">
          <w:rPr>
            <w:rStyle w:val="Hyperlink"/>
            <w:sz w:val="24"/>
            <w:lang w:val="lt-LT"/>
          </w:rPr>
          <w:t>https://tillymetz.lu/wp-content/uploads/2020/09/Co-signed-letter-MEP-Metz.pdf</w:t>
        </w:r>
      </w:hyperlink>
      <w:r w:rsidRPr="005E655F">
        <w:rPr>
          <w:rStyle w:val="Hyperlink"/>
          <w:sz w:val="24"/>
          <w:lang w:val="lt-LT"/>
        </w:rPr>
        <w:t>.</w:t>
      </w:r>
    </w:p>
  </w:footnote>
  <w:footnote w:id="15">
    <w:p w:rsidR="004F31E9" w:rsidRPr="005E655F" w:rsidRDefault="004F31E9" w:rsidP="005E655F">
      <w:pPr>
        <w:pStyle w:val="FootnoteText"/>
        <w:ind w:left="567" w:hanging="567"/>
        <w:rPr>
          <w:sz w:val="24"/>
          <w:lang w:val="lt-LT"/>
        </w:rPr>
      </w:pPr>
      <w:r w:rsidRPr="005E655F">
        <w:rPr>
          <w:rStyle w:val="FootnoteReference"/>
          <w:sz w:val="24"/>
          <w:lang w:val="lt-LT"/>
        </w:rPr>
        <w:footnoteRef/>
      </w:r>
      <w:r w:rsidR="005E655F" w:rsidRPr="005E655F">
        <w:rPr>
          <w:sz w:val="24"/>
          <w:lang w:val="lt-LT"/>
        </w:rPr>
        <w:t xml:space="preserve"> </w:t>
      </w:r>
      <w:r w:rsidR="005E655F" w:rsidRPr="005E655F">
        <w:rPr>
          <w:sz w:val="24"/>
          <w:lang w:val="lt-LT"/>
        </w:rPr>
        <w:tab/>
      </w:r>
      <w:r w:rsidRPr="005E655F">
        <w:rPr>
          <w:sz w:val="24"/>
          <w:lang w:val="lt-LT"/>
        </w:rPr>
        <w:t>2020 m. sausio 15 d. Europos Parlamento rezoliucija dėl Europos žaliojo kurso (OL C 270, 2021 7 7, p. 2), 102 dalis.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65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65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65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4"/>
    <w:docVar w:name="dvlangue" w:val="LT"/>
    <w:docVar w:name="dvnumam" w:val="0"/>
    <w:docVar w:name="dvpe" w:val="763.280"/>
    <w:docVar w:name="dvtitre" w:val="Europos Parlamento rezoliucija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2024/2840(RSP))"/>
  </w:docVars>
  <w:rsids>
    <w:rsidRoot w:val="00116F5A"/>
    <w:rsid w:val="00002272"/>
    <w:rsid w:val="00064002"/>
    <w:rsid w:val="000677B9"/>
    <w:rsid w:val="000831BA"/>
    <w:rsid w:val="000A42CC"/>
    <w:rsid w:val="000E7DD9"/>
    <w:rsid w:val="0010095E"/>
    <w:rsid w:val="00116F5A"/>
    <w:rsid w:val="00125B37"/>
    <w:rsid w:val="00187494"/>
    <w:rsid w:val="001C5943"/>
    <w:rsid w:val="001F32AE"/>
    <w:rsid w:val="002767FF"/>
    <w:rsid w:val="002B18FE"/>
    <w:rsid w:val="002B5493"/>
    <w:rsid w:val="00343214"/>
    <w:rsid w:val="00361C00"/>
    <w:rsid w:val="00395FA1"/>
    <w:rsid w:val="003E15D4"/>
    <w:rsid w:val="00411CCE"/>
    <w:rsid w:val="0041666E"/>
    <w:rsid w:val="00421060"/>
    <w:rsid w:val="00442E5D"/>
    <w:rsid w:val="00471C19"/>
    <w:rsid w:val="004867E3"/>
    <w:rsid w:val="00494A28"/>
    <w:rsid w:val="004C0004"/>
    <w:rsid w:val="004C5D52"/>
    <w:rsid w:val="004F31E9"/>
    <w:rsid w:val="0050519A"/>
    <w:rsid w:val="005072A1"/>
    <w:rsid w:val="00514517"/>
    <w:rsid w:val="00545827"/>
    <w:rsid w:val="00560270"/>
    <w:rsid w:val="005C2568"/>
    <w:rsid w:val="005E655F"/>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B9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426E20"/>
  <w15:chartTrackingRefBased/>
  <w15:docId w15:val="{F8511080-06AF-4710-8464-FB92D3943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F31E9"/>
    <w:pPr>
      <w:spacing w:before="480" w:after="240"/>
    </w:pPr>
  </w:style>
  <w:style w:type="paragraph" w:customStyle="1" w:styleId="NormalHanging12a">
    <w:name w:val="NormalHanging12a"/>
    <w:basedOn w:val="Normal"/>
    <w:rsid w:val="004F31E9"/>
    <w:pPr>
      <w:spacing w:after="240"/>
      <w:ind w:left="567" w:hanging="567"/>
    </w:pPr>
  </w:style>
  <w:style w:type="character" w:styleId="Hyperlink">
    <w:name w:val="Hyperlink"/>
    <w:basedOn w:val="DefaultParagraphFont"/>
    <w:uiPriority w:val="99"/>
    <w:rsid w:val="004F31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tillymetz.lu/wp-content/uploads/2020/09/Co-signed-letter-MEP-Metz.pdf" TargetMode="External"/><Relationship Id="rId3" Type="http://schemas.openxmlformats.org/officeDocument/2006/relationships/hyperlink" Target="http://data.europa.eu/eli/reg/2011/182/oj" TargetMode="External"/><Relationship Id="rId7" Type="http://schemas.openxmlformats.org/officeDocument/2006/relationships/hyperlink" Target="https://onlinelibrary.wiley.com/doi/full/10.1002/jat.3252" TargetMode="External"/><Relationship Id="rId12" Type="http://schemas.openxmlformats.org/officeDocument/2006/relationships/hyperlink" Target="http://data.europa.eu/eli/reg/2002/178/oj"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1828/oj" TargetMode="External"/><Relationship Id="rId6" Type="http://schemas.openxmlformats.org/officeDocument/2006/relationships/hyperlink" Target="http://data.europa.eu/eli/dec_impl/2017/1207/oj" TargetMode="External"/><Relationship Id="rId11" Type="http://schemas.openxmlformats.org/officeDocument/2006/relationships/hyperlink" Target="https://commission.europa.eu/document/2c64e540-c07a-4376-a1da-368d289f4afe_en" TargetMode="External"/><Relationship Id="rId5" Type="http://schemas.openxmlformats.org/officeDocument/2006/relationships/hyperlink" Target="http://data.europa.eu/eli/dec_impl/2013/649/oj" TargetMode="External"/><Relationship Id="rId10" Type="http://schemas.openxmlformats.org/officeDocument/2006/relationships/hyperlink" Target="https://efsa.onlinelibrary.wiley.com/action/downloadSupplement?doi=10.2903/j.efsa.2024.8489&amp;file=efs28489-sup-0008-Annex_8.pdf" TargetMode="External"/><Relationship Id="rId4" Type="http://schemas.openxmlformats.org/officeDocument/2006/relationships/hyperlink" Target="https://doi.org/10.2903/j.efsa.2024.8489" TargetMode="External"/><Relationship Id="rId9"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18BA1-728F-42A0-98B1-B20B71806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7725</Characters>
  <Application>Microsoft Office Word</Application>
  <DocSecurity>0</DocSecurity>
  <Lines>772</Lines>
  <Paragraphs>807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2024-11-26T11:36:00Z</dcterms:created>
  <dcterms:modified xsi:type="dcterms:W3CDTF">2024-11-26T11:36:00Z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B10-0146/2024</vt:lpwstr>
  </property>
  <property fmtid="{D5CDD505-2E9C-101B-9397-08002B2CF9AE}" pid="4" name="&lt;Type&gt;">
    <vt:lpwstr>RR</vt:lpwstr>
  </property>
</Properties>
</file>