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6FAC" w:rsidTr="0010095E">
        <w:trPr>
          <w:trHeight w:hRule="exact" w:val="1418"/>
        </w:trPr>
        <w:tc>
          <w:tcPr>
            <w:tcW w:w="6804" w:type="dxa"/>
            <w:shd w:val="clear" w:color="auto" w:fill="auto"/>
            <w:vAlign w:val="center"/>
          </w:tcPr>
          <w:p w:rsidR="00751A4A" w:rsidRPr="00826FAC" w:rsidRDefault="00D3060F" w:rsidP="0010095E">
            <w:pPr>
              <w:pStyle w:val="EPName"/>
            </w:pPr>
            <w:r w:rsidRPr="00826FAC">
              <w:t>Eiropas Parlaments</w:t>
            </w:r>
          </w:p>
          <w:p w:rsidR="00751A4A" w:rsidRPr="00826FAC" w:rsidRDefault="005F1B17" w:rsidP="005F1B17">
            <w:pPr>
              <w:pStyle w:val="EPTerm"/>
              <w:rPr>
                <w:rStyle w:val="HideTWBExt"/>
                <w:noProof w:val="0"/>
                <w:vanish w:val="0"/>
                <w:color w:val="auto"/>
              </w:rPr>
            </w:pPr>
            <w:r w:rsidRPr="00826FAC">
              <w:t>2024</w:t>
            </w:r>
            <w:r w:rsidR="00817416" w:rsidRPr="00826FAC">
              <w:t>-202</w:t>
            </w:r>
            <w:r w:rsidRPr="00826FAC">
              <w:t>9</w:t>
            </w:r>
          </w:p>
        </w:tc>
        <w:tc>
          <w:tcPr>
            <w:tcW w:w="2268" w:type="dxa"/>
            <w:shd w:val="clear" w:color="auto" w:fill="auto"/>
          </w:tcPr>
          <w:p w:rsidR="00751A4A" w:rsidRPr="00826FAC" w:rsidRDefault="00187494" w:rsidP="0010095E">
            <w:pPr>
              <w:pStyle w:val="EPLogo"/>
            </w:pPr>
            <w:r w:rsidRPr="00826FAC">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6FAC" w:rsidRDefault="00D058B8" w:rsidP="004C5D52">
      <w:pPr>
        <w:pStyle w:val="LineTop"/>
      </w:pPr>
    </w:p>
    <w:p w:rsidR="00680577" w:rsidRPr="00826FAC" w:rsidRDefault="00D3060F" w:rsidP="00680577">
      <w:pPr>
        <w:pStyle w:val="EPBodyTA1"/>
      </w:pPr>
      <w:r w:rsidRPr="00826FAC">
        <w:t>PIEŅEMTIE TEKSTI</w:t>
      </w:r>
    </w:p>
    <w:p w:rsidR="00D058B8" w:rsidRPr="00826FAC" w:rsidRDefault="00D058B8" w:rsidP="00D058B8">
      <w:pPr>
        <w:pStyle w:val="LineBottom"/>
      </w:pPr>
    </w:p>
    <w:p w:rsidR="00D3060F" w:rsidRPr="00826FAC" w:rsidRDefault="00D3060F" w:rsidP="00D3060F">
      <w:pPr>
        <w:pStyle w:val="ATHeading1"/>
      </w:pPr>
      <w:bookmarkStart w:id="0" w:name="TANumber"/>
      <w:r w:rsidRPr="00826FAC">
        <w:t>P10_TA(2024)00</w:t>
      </w:r>
      <w:r w:rsidR="00826FAC" w:rsidRPr="00826FAC">
        <w:t>41</w:t>
      </w:r>
      <w:bookmarkEnd w:id="0"/>
    </w:p>
    <w:p w:rsidR="00D3060F" w:rsidRPr="00826FAC" w:rsidRDefault="00C86A0E" w:rsidP="00C86A0E">
      <w:pPr>
        <w:pStyle w:val="ATHeading2"/>
      </w:pPr>
      <w:bookmarkStart w:id="1" w:name="title"/>
      <w:r w:rsidRPr="00826FAC">
        <w:t xml:space="preserve">Ģenētiski modificēta kukurūza </w:t>
      </w:r>
      <w:r w:rsidRPr="00826FAC">
        <w:rPr>
          <w:i/>
        </w:rPr>
        <w:t>MON 810</w:t>
      </w:r>
      <w:bookmarkEnd w:id="1"/>
    </w:p>
    <w:p w:rsidR="00D3060F" w:rsidRPr="00826FAC" w:rsidRDefault="00D3060F" w:rsidP="00D3060F">
      <w:pPr>
        <w:rPr>
          <w:i/>
          <w:vanish/>
        </w:rPr>
      </w:pPr>
      <w:r w:rsidRPr="00826FAC">
        <w:rPr>
          <w:i/>
        </w:rPr>
        <w:fldChar w:fldCharType="begin"/>
      </w:r>
      <w:r w:rsidRPr="00826FAC">
        <w:rPr>
          <w:i/>
        </w:rPr>
        <w:instrText xml:space="preserve"> TC"(</w:instrText>
      </w:r>
      <w:bookmarkStart w:id="2" w:name="DocNumber"/>
      <w:r w:rsidRPr="00826FAC">
        <w:rPr>
          <w:i/>
        </w:rPr>
        <w:instrText>B10-0146/2024</w:instrText>
      </w:r>
      <w:bookmarkEnd w:id="2"/>
      <w:r w:rsidRPr="00826FAC">
        <w:rPr>
          <w:i/>
        </w:rPr>
        <w:instrText xml:space="preserve">)"\l3 \n&gt; \* MERGEFORMAT </w:instrText>
      </w:r>
      <w:r w:rsidRPr="00826FAC">
        <w:rPr>
          <w:i/>
        </w:rPr>
        <w:fldChar w:fldCharType="end"/>
      </w:r>
    </w:p>
    <w:p w:rsidR="00D3060F" w:rsidRPr="00826FAC" w:rsidRDefault="00D3060F" w:rsidP="00D3060F">
      <w:pPr>
        <w:rPr>
          <w:vanish/>
        </w:rPr>
      </w:pPr>
      <w:bookmarkStart w:id="3" w:name="PE"/>
      <w:r w:rsidRPr="00826FAC">
        <w:rPr>
          <w:vanish/>
        </w:rPr>
        <w:t>PE763.280</w:t>
      </w:r>
      <w:bookmarkEnd w:id="3"/>
    </w:p>
    <w:p w:rsidR="00D3060F" w:rsidRPr="00826FAC" w:rsidRDefault="00D3060F" w:rsidP="00D3060F">
      <w:pPr>
        <w:pStyle w:val="ATHeading3"/>
      </w:pPr>
      <w:bookmarkStart w:id="4" w:name="Sujet"/>
      <w:r w:rsidRPr="00826FAC">
        <w:t xml:space="preserve">Eiropas Parlamenta 2024. gada </w:t>
      </w:r>
      <w:r w:rsidR="00C86A0E" w:rsidRPr="00826FAC">
        <w:t>26. novembra</w:t>
      </w:r>
      <w:r w:rsidRPr="00826FAC">
        <w:t xml:space="preserve"> rezolūcija par Komisijas Īstenošanas lēmumu (ES) 2024/1828, ar ko, ievērojot Eiropas Parlamenta un Padomes Regulu (EK) Nr. 1829/2003, atjauno atļauju laist tirgū barību, kura satur ģenētiski modificētu kukurūzu </w:t>
      </w:r>
      <w:r w:rsidRPr="00826FAC">
        <w:rPr>
          <w:i/>
        </w:rPr>
        <w:t>MON 810</w:t>
      </w:r>
      <w:r w:rsidRPr="00826FAC">
        <w:t xml:space="preserve"> vai sastāv no tās, kā arī no šādas kukurūzas ražotus pārtikas un barības produktus, un atceļ Komisijas Īstenošanas lēmumu (ES) 2017/1207</w:t>
      </w:r>
      <w:bookmarkEnd w:id="4"/>
      <w:r w:rsidRPr="00826FAC">
        <w:t xml:space="preserve"> </w:t>
      </w:r>
      <w:bookmarkStart w:id="5" w:name="References"/>
      <w:r w:rsidRPr="00826FAC">
        <w:t>(2024/2840(RSP))</w:t>
      </w:r>
      <w:bookmarkEnd w:id="5"/>
    </w:p>
    <w:p w:rsidR="00482B10" w:rsidRPr="00826FAC" w:rsidRDefault="00482B10" w:rsidP="00482B10">
      <w:pPr>
        <w:pStyle w:val="EPComma"/>
      </w:pPr>
      <w:bookmarkStart w:id="6" w:name="TextBodyBegin"/>
      <w:bookmarkEnd w:id="6"/>
      <w:r w:rsidRPr="00826FAC">
        <w:rPr>
          <w:i/>
          <w:iCs/>
        </w:rPr>
        <w:t>Eiropas Parlaments</w:t>
      </w:r>
      <w:r w:rsidRPr="00826FAC">
        <w:t>,</w:t>
      </w:r>
    </w:p>
    <w:p w:rsidR="00482B10" w:rsidRPr="00826FAC" w:rsidRDefault="00482B10" w:rsidP="00482B10">
      <w:pPr>
        <w:pStyle w:val="NormalHanging12a"/>
      </w:pPr>
      <w:r w:rsidRPr="00826FAC">
        <w:t>–</w:t>
      </w:r>
      <w:r w:rsidRPr="00826FAC">
        <w:tab/>
        <w:t>ņemot vērā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w:t>
      </w:r>
      <w:r w:rsidRPr="00826FAC">
        <w:rPr>
          <w:rStyle w:val="FootnoteReference"/>
        </w:rPr>
        <w:footnoteReference w:id="1"/>
      </w:r>
      <w:r w:rsidRPr="00826FAC">
        <w:t>,</w:t>
      </w:r>
    </w:p>
    <w:p w:rsidR="00482B10" w:rsidRPr="00826FAC" w:rsidRDefault="00482B10" w:rsidP="00482B10">
      <w:pPr>
        <w:pStyle w:val="NormalHanging12a"/>
      </w:pPr>
      <w:r w:rsidRPr="00826FAC">
        <w:t>–</w:t>
      </w:r>
      <w:r w:rsidRPr="00826FAC">
        <w:tab/>
        <w:t>ņemot vērā Eiropas Parlamenta un Padomes 2003. gada 22. septembra Regulu (EK) Nr. 1829/2003 par ģenētiski modificētu pārtiku un barību</w:t>
      </w:r>
      <w:r w:rsidRPr="00826FAC">
        <w:rPr>
          <w:rStyle w:val="FootnoteReference"/>
        </w:rPr>
        <w:footnoteReference w:id="2"/>
      </w:r>
      <w:r w:rsidRPr="00826FAC">
        <w:t xml:space="preserve"> un jo īpaši tās 11. panta 3. punktu un 23. panta 3. punktu,</w:t>
      </w:r>
    </w:p>
    <w:p w:rsidR="00482B10" w:rsidRPr="00826FAC" w:rsidRDefault="00482B10" w:rsidP="00482B10">
      <w:pPr>
        <w:pStyle w:val="NormalHanging12a"/>
      </w:pPr>
      <w:r w:rsidRPr="00826FAC">
        <w:t>–</w:t>
      </w:r>
      <w:r w:rsidRPr="00826FAC">
        <w:tab/>
        <w:t>ņemot vērā Regulas (EK) Nr. 1829/2003 35. pantā minētās Augu, dzīvnieku, pārtikas aprites un dzīvnieku barības pastāvīgās komitejas 2024. gada 26. aprīļa balsojumu, nesniedzot atzinumu, un Pārsūdzības komitejas 2024. gada 29. maija balsojumu, arī nesniedzot atzinumu,</w:t>
      </w:r>
    </w:p>
    <w:p w:rsidR="00482B10" w:rsidRPr="00826FAC" w:rsidRDefault="00482B10" w:rsidP="00482B10">
      <w:pPr>
        <w:pStyle w:val="NormalHanging12a"/>
      </w:pPr>
      <w:r w:rsidRPr="00826FAC">
        <w:t>–</w:t>
      </w:r>
      <w:r w:rsidRPr="00826FAC">
        <w:tab/>
        <w:t>ņemot vērā 11. pantu Eiropas Parlamenta un Padomes 2011. gada 16. februāra Regulā (ES) Nr. 182/2011, ar ko nosaka normas un vispārīgus principus par dalībvalstu kontroles mehānismiem, kuri attiecas uz Komisijas īstenošanas pilnvaru izmantošanu</w:t>
      </w:r>
      <w:r w:rsidRPr="00826FAC">
        <w:rPr>
          <w:rStyle w:val="FootnoteReference"/>
        </w:rPr>
        <w:footnoteReference w:id="3"/>
      </w:r>
      <w:r w:rsidRPr="00826FAC">
        <w:t>,</w:t>
      </w:r>
    </w:p>
    <w:p w:rsidR="00482B10" w:rsidRPr="00826FAC" w:rsidRDefault="00482B10" w:rsidP="00482B10">
      <w:pPr>
        <w:pStyle w:val="NormalHanging12a"/>
      </w:pPr>
      <w:r w:rsidRPr="00826FAC">
        <w:t>–</w:t>
      </w:r>
      <w:r w:rsidRPr="00826FAC">
        <w:tab/>
        <w:t>ņemot vērā Eiropas Pārtikas nekaitīguma iestādes (</w:t>
      </w:r>
      <w:r w:rsidRPr="00826FAC">
        <w:rPr>
          <w:i/>
          <w:iCs/>
        </w:rPr>
        <w:t>EFSA</w:t>
      </w:r>
      <w:r w:rsidRPr="00826FAC">
        <w:t xml:space="preserve">) 2023. gada 30. novembra </w:t>
      </w:r>
      <w:r w:rsidRPr="00826FAC">
        <w:lastRenderedPageBreak/>
        <w:t>atzinumu, kas publicēts 2024. gada 19. janvārī</w:t>
      </w:r>
      <w:r w:rsidRPr="00826FAC">
        <w:rPr>
          <w:rStyle w:val="FootnoteReference"/>
        </w:rPr>
        <w:footnoteReference w:id="4"/>
      </w:r>
      <w:r w:rsidRPr="00826FAC">
        <w:t>,</w:t>
      </w:r>
    </w:p>
    <w:p w:rsidR="00482B10" w:rsidRPr="00826FAC" w:rsidRDefault="00482B10" w:rsidP="00482B10">
      <w:pPr>
        <w:pStyle w:val="NormalHanging12a"/>
        <w:rPr>
          <w:szCs w:val="24"/>
          <w:shd w:val="clear" w:color="auto" w:fill="FFFFFF"/>
        </w:rPr>
      </w:pPr>
      <w:r w:rsidRPr="00826FAC">
        <w:t>–</w:t>
      </w:r>
      <w:r w:rsidRPr="00826FAC">
        <w:tab/>
      </w:r>
      <w:r w:rsidRPr="00826FAC">
        <w:rPr>
          <w:shd w:val="clear" w:color="auto" w:fill="FFFFFF"/>
        </w:rPr>
        <w:t>ņemot vērā Parlamenta iepriekšējās rezolūcijas, kurās tas iebilst pret atļauju izmantot ģenētiski modificētus organismus (ĢMO)</w:t>
      </w:r>
      <w:r w:rsidRPr="00826FAC">
        <w:rPr>
          <w:szCs w:val="24"/>
          <w:shd w:val="clear" w:color="auto" w:fill="FFFFFF"/>
          <w:vertAlign w:val="superscript"/>
        </w:rPr>
        <w:footnoteReference w:id="5"/>
      </w:r>
      <w:r w:rsidRPr="00826FAC">
        <w:rPr>
          <w:shd w:val="clear" w:color="auto" w:fill="FFFFFF"/>
        </w:rPr>
        <w:t>,</w:t>
      </w:r>
    </w:p>
    <w:p w:rsidR="00482B10" w:rsidRPr="00826FAC" w:rsidRDefault="00482B10" w:rsidP="00482B10">
      <w:pPr>
        <w:pStyle w:val="NormalHanging12a"/>
      </w:pPr>
      <w:r w:rsidRPr="00826FAC">
        <w:t>–</w:t>
      </w:r>
      <w:r w:rsidRPr="00826FAC">
        <w:tab/>
        <w:t>ņemot vērā Reglamenta 115. panta 2. un 3. punktu,</w:t>
      </w:r>
    </w:p>
    <w:p w:rsidR="00482B10" w:rsidRPr="00826FAC" w:rsidRDefault="00482B10" w:rsidP="00482B10">
      <w:pPr>
        <w:pStyle w:val="NormalHanging12a"/>
      </w:pPr>
      <w:r w:rsidRPr="00826FAC">
        <w:t>–</w:t>
      </w:r>
      <w:r w:rsidRPr="00826FAC">
        <w:tab/>
        <w:t>ņemot vērā Vides, sabiedrības veselības un pārtikas nekaitīguma komitejas rezolūcijas priekšlikumu,</w:t>
      </w:r>
    </w:p>
    <w:p w:rsidR="00482B10" w:rsidRPr="00826FAC" w:rsidRDefault="00482B10" w:rsidP="00482B10">
      <w:pPr>
        <w:pStyle w:val="NormalHanging12a"/>
      </w:pPr>
      <w:r w:rsidRPr="00826FAC">
        <w:t>A.</w:t>
      </w:r>
      <w:r w:rsidRPr="00826FAC">
        <w:tab/>
        <w:t>tā kā 2022. gada 6. oktobrī Beļģijā bāzētais uzņēmums “</w:t>
      </w:r>
      <w:proofErr w:type="spellStart"/>
      <w:r w:rsidRPr="00826FAC">
        <w:rPr>
          <w:i/>
          <w:iCs/>
        </w:rPr>
        <w:t>Bayer</w:t>
      </w:r>
      <w:proofErr w:type="spellEnd"/>
      <w:r w:rsidRPr="00826FAC">
        <w:rPr>
          <w:i/>
          <w:iCs/>
        </w:rPr>
        <w:t xml:space="preserve"> </w:t>
      </w:r>
      <w:proofErr w:type="spellStart"/>
      <w:r w:rsidRPr="00826FAC">
        <w:rPr>
          <w:i/>
          <w:iCs/>
        </w:rPr>
        <w:t>Agriculture</w:t>
      </w:r>
      <w:proofErr w:type="spellEnd"/>
      <w:r w:rsidRPr="00826FAC">
        <w:rPr>
          <w:i/>
          <w:iCs/>
        </w:rPr>
        <w:t xml:space="preserve"> BV</w:t>
      </w:r>
      <w:r w:rsidRPr="00826FAC">
        <w:t>” Amerikas Savienotajās valstīs bāzētā uzņēmuma “</w:t>
      </w:r>
      <w:proofErr w:type="spellStart"/>
      <w:r w:rsidRPr="00826FAC">
        <w:rPr>
          <w:i/>
          <w:iCs/>
        </w:rPr>
        <w:t>Bayer</w:t>
      </w:r>
      <w:proofErr w:type="spellEnd"/>
      <w:r w:rsidRPr="00826FAC">
        <w:rPr>
          <w:i/>
          <w:iCs/>
        </w:rPr>
        <w:t xml:space="preserve"> </w:t>
      </w:r>
      <w:proofErr w:type="spellStart"/>
      <w:r w:rsidRPr="00826FAC">
        <w:rPr>
          <w:i/>
          <w:iCs/>
        </w:rPr>
        <w:t>CropScience</w:t>
      </w:r>
      <w:proofErr w:type="spellEnd"/>
      <w:r w:rsidRPr="00826FAC">
        <w:rPr>
          <w:i/>
          <w:iCs/>
        </w:rPr>
        <w:t xml:space="preserve"> LP</w:t>
      </w:r>
      <w:r w:rsidRPr="00826FAC">
        <w:t>” vārdā iesniedza Komisijai pieteikumu, kurā lūdza atjaunot Komisijas Īstenošanas lēmumus 2013/649/ES</w:t>
      </w:r>
      <w:r w:rsidRPr="00826FAC">
        <w:rPr>
          <w:rStyle w:val="FootnoteReference"/>
        </w:rPr>
        <w:footnoteReference w:id="6"/>
      </w:r>
      <w:r w:rsidRPr="00826FAC">
        <w:t xml:space="preserve"> un (ES) 2017/1207</w:t>
      </w:r>
      <w:r w:rsidRPr="00826FAC">
        <w:rPr>
          <w:rStyle w:val="FootnoteReference"/>
        </w:rPr>
        <w:footnoteReference w:id="7"/>
      </w:r>
      <w:r w:rsidRPr="00826FAC">
        <w:t>; tā kā saskaņā ar Regulas (EK) Nr. 1829/2003 11. panta 4. punktu atļaujas derīguma termiņš no ģenētiski modificētas kukurūzas MON 810 (“ĢM kukurūza”) ražotiem ģenētiski modificētiem ziedputekšņiem, kurus Īstenošanas lēmumā 2013/649/ES paredzētajos veidos atļauts lietot pārtikā, tika automātiski pagarināts, līdz tiks pieņemts lēmums par atļaujas atjaunošanas pieteikumu;</w:t>
      </w:r>
    </w:p>
    <w:p w:rsidR="00482B10" w:rsidRPr="00826FAC" w:rsidRDefault="00482B10" w:rsidP="00482B10">
      <w:pPr>
        <w:pStyle w:val="NormalHanging12a"/>
      </w:pPr>
      <w:r w:rsidRPr="00826FAC">
        <w:t>B.</w:t>
      </w:r>
      <w:r w:rsidRPr="00826FAC">
        <w:tab/>
        <w:t xml:space="preserve">tā kā 2023. gada 30. novembrī </w:t>
      </w:r>
      <w:r w:rsidRPr="00826FAC">
        <w:rPr>
          <w:i/>
          <w:iCs/>
        </w:rPr>
        <w:t>EFSA</w:t>
      </w:r>
      <w:r w:rsidRPr="00826FAC">
        <w:t xml:space="preserve"> pieņēma labvēlīgu atzinumu, kas tika publicēts 2024. gada 19. janvārī; </w:t>
      </w:r>
    </w:p>
    <w:p w:rsidR="00482B10" w:rsidRPr="00826FAC" w:rsidRDefault="00482B10" w:rsidP="00482B10">
      <w:pPr>
        <w:pStyle w:val="NormalHanging12a"/>
      </w:pPr>
      <w:r w:rsidRPr="00826FAC">
        <w:t>C.</w:t>
      </w:r>
      <w:r w:rsidRPr="00826FAC">
        <w:tab/>
        <w:t>tā kā ĢM kukurūza ir pārveidota, lai ražotu insekticīdus (“</w:t>
      </w:r>
      <w:proofErr w:type="spellStart"/>
      <w:r w:rsidRPr="00826FAC">
        <w:t>Bt</w:t>
      </w:r>
      <w:proofErr w:type="spellEnd"/>
      <w:r w:rsidRPr="00826FAC">
        <w:t xml:space="preserve"> toksīni”);</w:t>
      </w:r>
    </w:p>
    <w:p w:rsidR="00482B10" w:rsidRPr="00826FAC" w:rsidRDefault="00482B10" w:rsidP="00482B10">
      <w:pPr>
        <w:pStyle w:val="NormalHanging12a"/>
        <w:rPr>
          <w:b/>
          <w:i/>
        </w:rPr>
      </w:pPr>
      <w:r w:rsidRPr="00826FAC">
        <w:rPr>
          <w:b/>
          <w:i/>
        </w:rPr>
        <w:t xml:space="preserve">Neatbildēti jautājumi par </w:t>
      </w:r>
      <w:proofErr w:type="spellStart"/>
      <w:r w:rsidRPr="00826FAC">
        <w:rPr>
          <w:b/>
          <w:i/>
        </w:rPr>
        <w:t>Bt</w:t>
      </w:r>
      <w:proofErr w:type="spellEnd"/>
      <w:r w:rsidRPr="00826FAC">
        <w:rPr>
          <w:b/>
          <w:i/>
        </w:rPr>
        <w:t> toksīniem</w:t>
      </w:r>
    </w:p>
    <w:p w:rsidR="00482B10" w:rsidRPr="00826FAC" w:rsidRDefault="00482B10" w:rsidP="00482B10">
      <w:pPr>
        <w:pStyle w:val="NormalHanging12a"/>
      </w:pPr>
      <w:r w:rsidRPr="00826FAC">
        <w:t>D.</w:t>
      </w:r>
      <w:r w:rsidRPr="00826FAC">
        <w:tab/>
        <w:t xml:space="preserve">tā kā vairāki pētījumi liecina, ka ir novērotas blakusparādības, kas </w:t>
      </w:r>
      <w:proofErr w:type="spellStart"/>
      <w:r w:rsidRPr="00826FAC">
        <w:t>Bt</w:t>
      </w:r>
      <w:proofErr w:type="spellEnd"/>
      <w:r w:rsidRPr="00826FAC">
        <w:t xml:space="preserve"> toksīnu iedarbības rezultātā var ietekmēt cilvēka imūnsistēmu, un ka dažiem </w:t>
      </w:r>
      <w:proofErr w:type="spellStart"/>
      <w:r w:rsidRPr="00826FAC">
        <w:t>Bt</w:t>
      </w:r>
      <w:proofErr w:type="spellEnd"/>
      <w:r w:rsidRPr="00826FAC">
        <w:t xml:space="preserve"> toksīniem var būt </w:t>
      </w:r>
      <w:proofErr w:type="spellStart"/>
      <w:r w:rsidRPr="00826FAC">
        <w:t>palīgvielas</w:t>
      </w:r>
      <w:proofErr w:type="spellEnd"/>
      <w:r w:rsidRPr="00826FAC">
        <w:t xml:space="preserve"> iedarbība</w:t>
      </w:r>
      <w:r w:rsidRPr="00826FAC">
        <w:rPr>
          <w:rStyle w:val="FootnoteReference"/>
        </w:rPr>
        <w:footnoteReference w:id="8"/>
      </w:r>
      <w:r w:rsidRPr="00826FAC">
        <w:t>, proti, nonākot saskarē ar citiem proteīniem, tie var palielināt šo proteīnu alerģiskas iedarbības iespējamību;</w:t>
      </w:r>
    </w:p>
    <w:p w:rsidR="00482B10" w:rsidRPr="00826FAC" w:rsidRDefault="00482B10" w:rsidP="00482B10">
      <w:pPr>
        <w:pStyle w:val="NormalHanging12a"/>
        <w:rPr>
          <w:b/>
          <w:i/>
        </w:rPr>
      </w:pPr>
      <w:proofErr w:type="spellStart"/>
      <w:r w:rsidRPr="00826FAC">
        <w:rPr>
          <w:b/>
          <w:i/>
        </w:rPr>
        <w:lastRenderedPageBreak/>
        <w:t>Bt</w:t>
      </w:r>
      <w:proofErr w:type="spellEnd"/>
      <w:r w:rsidRPr="00826FAC">
        <w:rPr>
          <w:b/>
          <w:i/>
        </w:rPr>
        <w:t xml:space="preserve"> kultūras: ietekme uz </w:t>
      </w:r>
      <w:proofErr w:type="spellStart"/>
      <w:r w:rsidRPr="00826FAC">
        <w:rPr>
          <w:b/>
          <w:i/>
        </w:rPr>
        <w:t>nemērķa</w:t>
      </w:r>
      <w:proofErr w:type="spellEnd"/>
      <w:r w:rsidRPr="00826FAC">
        <w:rPr>
          <w:b/>
          <w:i/>
        </w:rPr>
        <w:t xml:space="preserve"> organismiem</w:t>
      </w:r>
    </w:p>
    <w:p w:rsidR="00482B10" w:rsidRPr="00826FAC" w:rsidRDefault="00482B10" w:rsidP="00482B10">
      <w:pPr>
        <w:pStyle w:val="NormalHanging12a"/>
        <w:rPr>
          <w:b/>
          <w:i/>
        </w:rPr>
      </w:pPr>
      <w:r w:rsidRPr="00826FAC">
        <w:t>E.</w:t>
      </w:r>
      <w:r w:rsidRPr="00826FAC">
        <w:tab/>
        <w:t xml:space="preserve">tā kā atšķirībā no insekticīdiem, kuri iedarbojas izsmidzināšanas laikā un ierobežotu laiku pēc tās, ģenētiski modificēti </w:t>
      </w:r>
      <w:proofErr w:type="spellStart"/>
      <w:r w:rsidRPr="00826FAC">
        <w:t>Bt</w:t>
      </w:r>
      <w:proofErr w:type="spellEnd"/>
      <w:r w:rsidRPr="00826FAC">
        <w:t xml:space="preserve"> kultūraugi izraisa pastāvīgu </w:t>
      </w:r>
      <w:proofErr w:type="spellStart"/>
      <w:r w:rsidRPr="00826FAC">
        <w:t>Bt</w:t>
      </w:r>
      <w:proofErr w:type="spellEnd"/>
      <w:r w:rsidRPr="00826FAC">
        <w:t xml:space="preserve"> toksīnu iedarbību uz mērķa un </w:t>
      </w:r>
      <w:proofErr w:type="spellStart"/>
      <w:r w:rsidRPr="00826FAC">
        <w:t>nemērķa</w:t>
      </w:r>
      <w:proofErr w:type="spellEnd"/>
      <w:r w:rsidRPr="00826FAC">
        <w:t xml:space="preserve"> organismiem;</w:t>
      </w:r>
    </w:p>
    <w:p w:rsidR="00482B10" w:rsidRPr="00826FAC" w:rsidRDefault="00482B10" w:rsidP="00482B10">
      <w:pPr>
        <w:pStyle w:val="NormalHanging12a"/>
      </w:pPr>
      <w:r w:rsidRPr="00826FAC">
        <w:t>F.</w:t>
      </w:r>
      <w:r w:rsidRPr="00826FAC">
        <w:tab/>
        <w:t xml:space="preserve">tā kā pieņēmumu, ka </w:t>
      </w:r>
      <w:proofErr w:type="spellStart"/>
      <w:r w:rsidRPr="00826FAC">
        <w:t>Bt</w:t>
      </w:r>
      <w:proofErr w:type="spellEnd"/>
      <w:r w:rsidRPr="00826FAC">
        <w:t xml:space="preserve"> toksīniem ir vienots un mērķim atbilstīgs iedarbības veids, vairs nevar uzskatīt par pareizu un nevar izslēgt ietekmi uz </w:t>
      </w:r>
      <w:proofErr w:type="spellStart"/>
      <w:r w:rsidRPr="00826FAC">
        <w:t>nemērķa</w:t>
      </w:r>
      <w:proofErr w:type="spellEnd"/>
      <w:r w:rsidRPr="00826FAC">
        <w:t xml:space="preserve"> organismiem; tā kā tiek ziņots par dažādu ietekmi uz aizvien lielāku skaitu </w:t>
      </w:r>
      <w:proofErr w:type="spellStart"/>
      <w:r w:rsidRPr="00826FAC">
        <w:t>nemērķa</w:t>
      </w:r>
      <w:proofErr w:type="spellEnd"/>
      <w:r w:rsidRPr="00826FAC">
        <w:t xml:space="preserve"> organismu; tā kā jaunākajā pārskatā</w:t>
      </w:r>
      <w:r w:rsidRPr="00826FAC">
        <w:rPr>
          <w:rStyle w:val="FootnoteReference"/>
        </w:rPr>
        <w:footnoteReference w:id="9"/>
      </w:r>
      <w:r w:rsidRPr="00826FAC">
        <w:t xml:space="preserve"> ir minētas 39 zinātniski recenzētas publikācijas, kurās ziņots par </w:t>
      </w:r>
      <w:proofErr w:type="spellStart"/>
      <w:r w:rsidRPr="00826FAC">
        <w:t>Bt</w:t>
      </w:r>
      <w:proofErr w:type="spellEnd"/>
      <w:r w:rsidRPr="00826FAC">
        <w:t xml:space="preserve"> toksīnu būtiski negatīvu ietekmi uz daudzām </w:t>
      </w:r>
      <w:proofErr w:type="spellStart"/>
      <w:r w:rsidRPr="00826FAC">
        <w:t>blakussugām</w:t>
      </w:r>
      <w:proofErr w:type="spellEnd"/>
      <w:r w:rsidRPr="00826FAC">
        <w:t>;</w:t>
      </w:r>
    </w:p>
    <w:p w:rsidR="00482B10" w:rsidRPr="00826FAC" w:rsidRDefault="00482B10" w:rsidP="00482B10">
      <w:pPr>
        <w:pStyle w:val="NormalHanging12a"/>
        <w:rPr>
          <w:b/>
          <w:i/>
        </w:rPr>
      </w:pPr>
      <w:r w:rsidRPr="00826FAC">
        <w:rPr>
          <w:b/>
          <w:i/>
        </w:rPr>
        <w:t>Dalībvalstu piezīmes</w:t>
      </w:r>
    </w:p>
    <w:p w:rsidR="00482B10" w:rsidRPr="00826FAC" w:rsidRDefault="00482B10" w:rsidP="00482B10">
      <w:pPr>
        <w:pStyle w:val="NormalHanging12a"/>
      </w:pPr>
      <w:r w:rsidRPr="00826FAC">
        <w:t>G.</w:t>
      </w:r>
      <w:r w:rsidRPr="00826FAC">
        <w:tab/>
        <w:t>tā kā dalībvalstis trīs mēnešu apspriešanās periodā</w:t>
      </w:r>
      <w:r w:rsidRPr="00826FAC">
        <w:rPr>
          <w:rStyle w:val="FootnoteReference"/>
        </w:rPr>
        <w:footnoteReference w:id="10"/>
      </w:r>
      <w:r w:rsidRPr="00826FAC">
        <w:t xml:space="preserve"> iesniedza </w:t>
      </w:r>
      <w:r w:rsidRPr="00826FAC">
        <w:rPr>
          <w:i/>
          <w:iCs/>
        </w:rPr>
        <w:t>EFSA</w:t>
      </w:r>
      <w:r w:rsidRPr="00826FAC">
        <w:t xml:space="preserve"> daudzus kritiskus komentārus, tostarp par to, ka ĢM kukurūzas sastāva dati būtu jāpārbauda un atkārtoti jāanalizē un ka analīzei būtu jāatbilst pašreizējām </w:t>
      </w:r>
      <w:r w:rsidRPr="00826FAC">
        <w:rPr>
          <w:i/>
          <w:iCs/>
        </w:rPr>
        <w:t>EFSA</w:t>
      </w:r>
      <w:r w:rsidRPr="00826FAC">
        <w:t xml:space="preserve"> prasībām, cita starpā līdzvērtības testēšanai, un ka literatūras pārskatā nebija iekļauti pētījumi par Cry1Ab apriti vidē vai par </w:t>
      </w:r>
      <w:proofErr w:type="spellStart"/>
      <w:r w:rsidRPr="00826FAC">
        <w:t>Bt</w:t>
      </w:r>
      <w:proofErr w:type="spellEnd"/>
      <w:r w:rsidRPr="00826FAC">
        <w:t xml:space="preserve"> kultūru atlieku iespējamo ietekmi uz </w:t>
      </w:r>
      <w:proofErr w:type="spellStart"/>
      <w:r w:rsidRPr="00826FAC">
        <w:t>nemērķa</w:t>
      </w:r>
      <w:proofErr w:type="spellEnd"/>
      <w:r w:rsidRPr="00826FAC">
        <w:t xml:space="preserve"> organismiem, un tas rada problēmas, jo publikācijas liecina, ka pārnešana no ĢM kukurūzas barības uz kūtsmēsliem var izraisīt augsnes organismu </w:t>
      </w:r>
      <w:proofErr w:type="spellStart"/>
      <w:r w:rsidRPr="00826FAC">
        <w:t>eksponētību</w:t>
      </w:r>
      <w:proofErr w:type="spellEnd"/>
      <w:r w:rsidRPr="00826FAC">
        <w:t xml:space="preserve"> Cry1Ab un ka tas var izraisīt negatīvu ietekmi uz augsnes organismiem, ietekmējot bioloģisko daudzveidību un ekosistēmu pakalpojumus; </w:t>
      </w:r>
    </w:p>
    <w:p w:rsidR="00482B10" w:rsidRPr="00826FAC" w:rsidRDefault="00482B10" w:rsidP="00482B10">
      <w:pPr>
        <w:pStyle w:val="NormalHanging12a"/>
      </w:pPr>
      <w:r w:rsidRPr="00826FAC">
        <w:t>H.</w:t>
      </w:r>
      <w:r w:rsidRPr="00826FAC">
        <w:tab/>
        <w:t xml:space="preserve">tā kā Regulā (EK) Nr. 1829/2003 ir noteikts, ka ĢM pārtika vai dzīvnieku barība nedrīkst nelabvēlīgi ietekmēt cilvēka veselību, dzīvnieku veselību vai vidi un ka Komisijai savu lēmumu izstrādē ir jāņem vērā visi attiecīgie Savienības tiesību aktu noteikumi un citi leģitīmie faktori, kas attiecas uz izskatāmo jautājumu; tā kā šādiem pamatotiem faktoriem būtu jāietver Savienības saistības saskaņā ar ANO ilgtspējīgas attīstības mērķiem (ANO IAM) un ANO </w:t>
      </w:r>
      <w:proofErr w:type="spellStart"/>
      <w:r w:rsidRPr="00826FAC">
        <w:t>Biodaudzveidības</w:t>
      </w:r>
      <w:proofErr w:type="spellEnd"/>
      <w:r w:rsidRPr="00826FAC">
        <w:t xml:space="preserve"> konvenciju (ANO KBD);</w:t>
      </w:r>
    </w:p>
    <w:p w:rsidR="00482B10" w:rsidRPr="00826FAC" w:rsidRDefault="00482B10" w:rsidP="00482B10">
      <w:pPr>
        <w:pStyle w:val="NormalHanging12a"/>
        <w:rPr>
          <w:b/>
          <w:i/>
        </w:rPr>
      </w:pPr>
      <w:r w:rsidRPr="00826FAC">
        <w:rPr>
          <w:b/>
          <w:i/>
        </w:rPr>
        <w:t>Atkarības no importētas barības samazināšana</w:t>
      </w:r>
    </w:p>
    <w:p w:rsidR="00482B10" w:rsidRPr="00826FAC" w:rsidRDefault="00482B10" w:rsidP="00482B10">
      <w:pPr>
        <w:pStyle w:val="NormalHanging12a"/>
      </w:pPr>
      <w:r w:rsidRPr="00826FAC">
        <w:t>I.</w:t>
      </w:r>
      <w:r w:rsidRPr="00826FAC">
        <w:tab/>
        <w:t xml:space="preserve">tā kā viena no atziņām, kas gūta no Covid-19 krīzes un joprojām notiekošā kara Ukrainā, ir tāda, ka Savienībai ir jāizbeidz atkarība no atsevišķām kritiski svarīgām izejvielām; tā kā komisāra amata kandidātam Kristofam </w:t>
      </w:r>
      <w:proofErr w:type="spellStart"/>
      <w:r w:rsidRPr="00826FAC">
        <w:t>Hansenam</w:t>
      </w:r>
      <w:proofErr w:type="spellEnd"/>
      <w:r w:rsidRPr="00826FAC">
        <w:t xml:space="preserve"> adresētajā pilnvarojuma vēstulē Komisijas priekšsēdētāja Urzula fon der </w:t>
      </w:r>
      <w:proofErr w:type="spellStart"/>
      <w:r w:rsidRPr="00826FAC">
        <w:t>Leiena</w:t>
      </w:r>
      <w:proofErr w:type="spellEnd"/>
      <w:r w:rsidRPr="00826FAC">
        <w:t xml:space="preserve"> aicina viņu meklēt veidus, kā samazināt kritiski svarīgu preču importu</w:t>
      </w:r>
      <w:r w:rsidRPr="00826FAC">
        <w:rPr>
          <w:rStyle w:val="FootnoteReference"/>
        </w:rPr>
        <w:footnoteReference w:id="11"/>
      </w:r>
      <w:r w:rsidRPr="00826FAC">
        <w:t xml:space="preserve">; </w:t>
      </w:r>
    </w:p>
    <w:p w:rsidR="00482B10" w:rsidRPr="00826FAC" w:rsidRDefault="00482B10" w:rsidP="00482B10">
      <w:pPr>
        <w:pStyle w:val="NormalHanging12a"/>
        <w:rPr>
          <w:b/>
          <w:i/>
        </w:rPr>
      </w:pPr>
      <w:r w:rsidRPr="00826FAC">
        <w:rPr>
          <w:b/>
          <w:i/>
        </w:rPr>
        <w:lastRenderedPageBreak/>
        <w:t>Nedemokrātiska lēmumu pieņemšana</w:t>
      </w:r>
    </w:p>
    <w:p w:rsidR="00482B10" w:rsidRPr="00826FAC" w:rsidRDefault="00482B10" w:rsidP="00482B10">
      <w:pPr>
        <w:pStyle w:val="NormalHanging12a"/>
        <w:rPr>
          <w:b/>
          <w:i/>
        </w:rPr>
      </w:pPr>
      <w:r w:rsidRPr="00826FAC">
        <w:t>J.</w:t>
      </w:r>
      <w:r w:rsidRPr="00826FAC">
        <w:tab/>
      </w:r>
      <w:r w:rsidRPr="00826FAC">
        <w:rPr>
          <w:shd w:val="clear" w:color="auto" w:fill="FFFFFF"/>
        </w:rPr>
        <w:t>tā kā Augu, dzīvnieku, pārtikas aprites un dzīvnieku barības pastāvīgā komiteja, kas minēta Regulas (EK) Nr. 1829/2003 35. pantā, 2024. gada 26. aprīļa balsojumā nolēma atzinumu nesniegt, kas nozīmē, ka atļaujai nav dalībvalstu kvalificēta balsu vairākuma atbalsta; tā kā arī Pārsūdzības komitejas 2024. gada 29. maija balsojumā atzinums netika sniegts;</w:t>
      </w:r>
    </w:p>
    <w:p w:rsidR="00482B10" w:rsidRPr="00826FAC" w:rsidRDefault="00482B10" w:rsidP="00482B10">
      <w:pPr>
        <w:pStyle w:val="NormalHanging12a"/>
      </w:pPr>
      <w:r w:rsidRPr="00826FAC">
        <w:t>K.</w:t>
      </w:r>
      <w:r w:rsidRPr="00826FAC">
        <w:tab/>
        <w:t xml:space="preserve">tā kā Parlaments astotajā </w:t>
      </w:r>
      <w:proofErr w:type="spellStart"/>
      <w:r w:rsidRPr="00826FAC">
        <w:t>sasaukumā</w:t>
      </w:r>
      <w:proofErr w:type="spellEnd"/>
      <w:r w:rsidRPr="00826FAC">
        <w:t xml:space="preserve"> kopumā pieņēma 36 rezolūcijas, kurās iebilda pret tādu ĢMO laišanu tirgū, kas paredzēti izmantošanai pārtikā un dzīvnieku barībā (33 rezolūcijas), un pret ĢMO audzēšanu Savienībā (trīs rezolūcijas); tā kā devītajā </w:t>
      </w:r>
      <w:proofErr w:type="spellStart"/>
      <w:r w:rsidRPr="00826FAC">
        <w:t>sasaukumā</w:t>
      </w:r>
      <w:proofErr w:type="spellEnd"/>
      <w:r w:rsidRPr="00826FAC">
        <w:t xml:space="preserve"> Parlaments pieņēma 38 iebildumus pret atļauju laist tirgū ĢMO;</w:t>
      </w:r>
    </w:p>
    <w:p w:rsidR="00482B10" w:rsidRPr="00826FAC" w:rsidRDefault="00482B10" w:rsidP="00482B10">
      <w:pPr>
        <w:pStyle w:val="NormalHanging12a"/>
      </w:pPr>
      <w:r w:rsidRPr="00826FAC">
        <w:t>L.</w:t>
      </w:r>
      <w:r w:rsidRPr="00826FAC">
        <w:tab/>
        <w:t>tā kā Komisija turpina piešķirt atļaujas ĢMO, neraugoties uz pašas atzītajām nepilnībām demokrātiskā lēmumu pieņemšanas procesā, dalībvalstu atbalsta trūkumu un Parlamenta iebildumiem;</w:t>
      </w:r>
    </w:p>
    <w:p w:rsidR="00482B10" w:rsidRPr="00826FAC" w:rsidRDefault="00482B10" w:rsidP="00482B10">
      <w:pPr>
        <w:pStyle w:val="NormalHanging12a"/>
      </w:pPr>
      <w:r w:rsidRPr="00826FAC">
        <w:t>M.</w:t>
      </w:r>
      <w:r w:rsidRPr="00826FAC">
        <w:tab/>
        <w:t>tā kā nav vajadzīgas izmaiņas tiesību aktos, lai Komisija varētu nepiešķirt atļaujas ĢMO, ja ar dalībvalstu kvalificētu balsu vairākumu nav sniegts pozitīvs atzinums Pārsūdzības komitejā</w:t>
      </w:r>
      <w:r w:rsidRPr="00826FAC">
        <w:rPr>
          <w:rStyle w:val="FootnoteReference"/>
        </w:rPr>
        <w:footnoteReference w:id="12"/>
      </w:r>
      <w:r w:rsidRPr="00826FAC">
        <w:t>;</w:t>
      </w:r>
    </w:p>
    <w:p w:rsidR="00482B10" w:rsidRPr="00826FAC" w:rsidRDefault="00482B10" w:rsidP="00482B10">
      <w:pPr>
        <w:pStyle w:val="NormalHanging12a"/>
      </w:pPr>
      <w:r w:rsidRPr="00826FAC">
        <w:t>N.</w:t>
      </w:r>
      <w:r w:rsidRPr="00826FAC">
        <w:tab/>
        <w:t>tā kā 20</w:t>
      </w:r>
      <w:bookmarkStart w:id="7" w:name="_GoBack"/>
      <w:bookmarkEnd w:id="7"/>
      <w:r w:rsidRPr="00826FAC">
        <w:t>24. gada 2. jūlijā Komisija atjaunoja atļauju laist tirgū ĢM kukurūzu,</w:t>
      </w:r>
    </w:p>
    <w:p w:rsidR="00482B10" w:rsidRPr="00826FAC" w:rsidRDefault="00482B10" w:rsidP="00482B10">
      <w:pPr>
        <w:pStyle w:val="NormalHanging12a"/>
      </w:pPr>
      <w:r w:rsidRPr="00826FAC">
        <w:t>1.</w:t>
      </w:r>
      <w:r w:rsidRPr="00826FAC">
        <w:tab/>
        <w:t>uzsk</w:t>
      </w:r>
      <w:r w:rsidR="0054497C">
        <w:t>ata, ka Īstenošanas lēmums (ES)</w:t>
      </w:r>
      <w:r w:rsidRPr="00826FAC">
        <w:t> 2024/1828 pārsniedz Regulā (EK) Nr. 1829/2003 paredzētās īstenošanas pilnvaras;</w:t>
      </w:r>
    </w:p>
    <w:p w:rsidR="00482B10" w:rsidRPr="00826FAC" w:rsidRDefault="00482B10" w:rsidP="00482B10">
      <w:pPr>
        <w:pStyle w:val="NormalHanging12a"/>
      </w:pPr>
      <w:r w:rsidRPr="00826FAC">
        <w:t>2.</w:t>
      </w:r>
      <w:r w:rsidRPr="00826FAC">
        <w:tab/>
        <w:t>uzsk</w:t>
      </w:r>
      <w:r w:rsidR="0054497C">
        <w:t>ata, ka Īstenošanas lēmums (ES)</w:t>
      </w:r>
      <w:r w:rsidRPr="00826FAC">
        <w:t> 2024/1828 neatbilst Savienības tiesību aktiem, jo nav savienojams ar Regulas (EK) Nr. 1829/2003 mērķi, kas saskaņā ar Eiropas Parlamenta un Padomes Regulā (EK) Nr. 178/2002</w:t>
      </w:r>
      <w:r w:rsidRPr="00826FAC">
        <w:rPr>
          <w:rStyle w:val="FootnoteReference"/>
        </w:rPr>
        <w:footnoteReference w:id="13"/>
      </w:r>
      <w:r w:rsidRPr="00826FAC">
        <w:t xml:space="preserve"> paredzētajiem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rsidR="00482B10" w:rsidRPr="00826FAC" w:rsidRDefault="00482B10" w:rsidP="00482B10">
      <w:pPr>
        <w:pStyle w:val="NormalHanging12a"/>
      </w:pPr>
      <w:r w:rsidRPr="00826FAC">
        <w:t>3.</w:t>
      </w:r>
      <w:r w:rsidRPr="00826FAC">
        <w:tab/>
        <w:t>aicina Komisiju atsaukt Īstenošanas lēmumu (ES) 2024/1828;</w:t>
      </w:r>
    </w:p>
    <w:p w:rsidR="00482B10" w:rsidRPr="00826FAC" w:rsidRDefault="00482B10" w:rsidP="00482B10">
      <w:pPr>
        <w:pStyle w:val="NormalHanging12a"/>
      </w:pPr>
      <w:r w:rsidRPr="00826FAC">
        <w:t>4.</w:t>
      </w:r>
      <w:r w:rsidRPr="00826FAC">
        <w:tab/>
        <w:t>atzinīgi vērtē to, ka Komisija 2020. gada 11. septembra vēstulē deputātiem beidzot atzina, ka ĢMO atļauju piešķiršanas lēmumos ir jāņem vērā ilgtspēja</w:t>
      </w:r>
      <w:r w:rsidRPr="00826FAC">
        <w:rPr>
          <w:rStyle w:val="FootnoteReference"/>
        </w:rPr>
        <w:footnoteReference w:id="14"/>
      </w:r>
      <w:r w:rsidRPr="00826FAC">
        <w:t>; tomēr pauž dziļu vilšanos, jo kopš tā laika Komisija ir turpinājusi piešķirt atļaujas ĢMO importam Savienībā, lai gan Parlaments turpina pret to iebilst un vairākums dalībvalstu balso pret šādu atļauju piešķiršanu;</w:t>
      </w:r>
    </w:p>
    <w:p w:rsidR="00482B10" w:rsidRPr="00826FAC" w:rsidRDefault="00482B10" w:rsidP="00482B10">
      <w:pPr>
        <w:pStyle w:val="NormalHanging12a"/>
      </w:pPr>
      <w:r w:rsidRPr="00826FAC">
        <w:t>5.</w:t>
      </w:r>
      <w:r w:rsidRPr="00826FAC">
        <w:tab/>
        <w:t xml:space="preserve">atkārtoti mudina Komisiju ņemt vērā Savienības saistības saskaņā ar starptautiskiem nolīgumiem, piemēram, Parīzes klimata nolīgumu, ANO Konvenciju par bioloģisko </w:t>
      </w:r>
      <w:r w:rsidRPr="00826FAC">
        <w:lastRenderedPageBreak/>
        <w:t>daudzveidību un ANO ilgtspējīgas attīstības mērķiem; atkārtoti prasa īstenošanas aktu projektiem pievienot paskaidrojuma rakstu, kurā būtu paskaidrots, kā minētie akti atbalsta principu “nekaitēt”</w:t>
      </w:r>
      <w:r w:rsidRPr="00826FAC">
        <w:rPr>
          <w:rStyle w:val="FootnoteReference"/>
        </w:rPr>
        <w:footnoteReference w:id="15"/>
      </w:r>
      <w:r w:rsidRPr="00826FAC">
        <w:t xml:space="preserve">; </w:t>
      </w:r>
    </w:p>
    <w:p w:rsidR="00E2231B" w:rsidRPr="00826FAC" w:rsidRDefault="00482B10" w:rsidP="00E2231B">
      <w:pPr>
        <w:pStyle w:val="NormalHanging12a"/>
      </w:pPr>
      <w:r w:rsidRPr="00826FAC">
        <w:t>6.</w:t>
      </w:r>
      <w:r w:rsidRPr="00826FAC">
        <w:tab/>
        <w:t>uzdod priekšsēdētājai šo rezolūciju nosūtīt Padomei un Komisijai, kā arī dalībvalstu valdībām un parlamentiem.</w:t>
      </w:r>
    </w:p>
    <w:p w:rsidR="00E365E1" w:rsidRPr="00826FAC" w:rsidRDefault="00E365E1" w:rsidP="00D3060F"/>
    <w:sectPr w:rsidR="00E365E1" w:rsidRPr="00826FAC" w:rsidSect="00E223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60F" w:rsidRPr="00E2231B" w:rsidRDefault="00D3060F">
      <w:r w:rsidRPr="00E2231B">
        <w:separator/>
      </w:r>
    </w:p>
  </w:endnote>
  <w:endnote w:type="continuationSeparator" w:id="0">
    <w:p w:rsidR="00D3060F" w:rsidRPr="00E2231B" w:rsidRDefault="00D3060F">
      <w:r w:rsidRPr="00E223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3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3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3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60F" w:rsidRPr="00E2231B" w:rsidRDefault="00D3060F">
      <w:r w:rsidRPr="00E2231B">
        <w:separator/>
      </w:r>
    </w:p>
  </w:footnote>
  <w:footnote w:type="continuationSeparator" w:id="0">
    <w:p w:rsidR="00D3060F" w:rsidRPr="00E2231B" w:rsidRDefault="00D3060F">
      <w:r w:rsidRPr="00E2231B">
        <w:continuationSeparator/>
      </w:r>
    </w:p>
  </w:footnote>
  <w:footnote w:id="1">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 xml:space="preserve">OV L, 2024/1828, 4.7.2024., ELI: </w:t>
      </w:r>
      <w:hyperlink r:id="rId1" w:tooltip="Piekļuve dokumentam ELI URI vietnē." w:history="1">
        <w:r w:rsidRPr="00E2231B">
          <w:rPr>
            <w:rStyle w:val="Hyperlink"/>
            <w:color w:val="337AB7"/>
            <w:sz w:val="24"/>
            <w:shd w:val="clear" w:color="auto" w:fill="FFFFFF"/>
            <w:lang w:val="lv-LV"/>
          </w:rPr>
          <w:t>http://data.europa.eu/eli/dec_impl/2024/1828/oj</w:t>
        </w:r>
      </w:hyperlink>
      <w:r w:rsidRPr="00E2231B">
        <w:rPr>
          <w:sz w:val="24"/>
          <w:lang w:val="lv-LV"/>
        </w:rPr>
        <w:t>.</w:t>
      </w:r>
    </w:p>
  </w:footnote>
  <w:footnote w:id="2">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 xml:space="preserve">OV L 268, 18.10.2003., 1. </w:t>
      </w:r>
      <w:r w:rsidRPr="00E2231B">
        <w:rPr>
          <w:sz w:val="24"/>
          <w:lang w:val="lv-LV"/>
        </w:rPr>
        <w:t xml:space="preserve">lpp., ELI: </w:t>
      </w:r>
      <w:hyperlink r:id="rId2" w:tooltip="Piekļuve dokumentam ELI URI vietnē." w:history="1">
        <w:r w:rsidRPr="00E2231B">
          <w:rPr>
            <w:rStyle w:val="Hyperlink"/>
            <w:color w:val="337AB7"/>
            <w:sz w:val="24"/>
            <w:shd w:val="clear" w:color="auto" w:fill="FFFFFF"/>
            <w:lang w:val="lv-LV"/>
          </w:rPr>
          <w:t>http://data.europa.eu/eli/reg/2003/1829/oj</w:t>
        </w:r>
      </w:hyperlink>
      <w:r w:rsidRPr="00E2231B">
        <w:rPr>
          <w:sz w:val="24"/>
          <w:lang w:val="lv-LV"/>
        </w:rPr>
        <w:t>.</w:t>
      </w:r>
    </w:p>
  </w:footnote>
  <w:footnote w:id="3">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 xml:space="preserve">OV L 55, 28.2.2011., 13. </w:t>
      </w:r>
      <w:r w:rsidRPr="00E2231B">
        <w:rPr>
          <w:sz w:val="24"/>
          <w:lang w:val="lv-LV"/>
        </w:rPr>
        <w:t xml:space="preserve">lpp., ELI: </w:t>
      </w:r>
      <w:hyperlink r:id="rId3" w:tooltip="Piekļuve dokumentam ELI URI vietnē." w:history="1">
        <w:r w:rsidRPr="00E2231B">
          <w:rPr>
            <w:rStyle w:val="Hyperlink"/>
            <w:color w:val="337AB7"/>
            <w:sz w:val="24"/>
            <w:shd w:val="clear" w:color="auto" w:fill="FFFFFF"/>
            <w:lang w:val="lv-LV"/>
          </w:rPr>
          <w:t>http://data.europa.eu/eli/reg/2011/182/oj</w:t>
        </w:r>
      </w:hyperlink>
      <w:r w:rsidRPr="00E2231B">
        <w:rPr>
          <w:sz w:val="24"/>
          <w:lang w:val="lv-LV"/>
        </w:rPr>
        <w:t>.</w:t>
      </w:r>
    </w:p>
  </w:footnote>
  <w:footnote w:id="4">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i/>
          <w:iCs/>
          <w:sz w:val="24"/>
          <w:lang w:val="lv-LV"/>
        </w:rPr>
        <w:t xml:space="preserve"> </w:t>
      </w:r>
      <w:r w:rsidR="00E2231B" w:rsidRPr="00E2231B">
        <w:rPr>
          <w:i/>
          <w:iCs/>
          <w:sz w:val="24"/>
          <w:lang w:val="lv-LV"/>
        </w:rPr>
        <w:tab/>
      </w:r>
      <w:r w:rsidRPr="00E2231B">
        <w:rPr>
          <w:i/>
          <w:iCs/>
          <w:sz w:val="24"/>
          <w:lang w:val="lv-LV"/>
        </w:rPr>
        <w:t>EFSA</w:t>
      </w:r>
      <w:r w:rsidRPr="00E2231B">
        <w:rPr>
          <w:sz w:val="24"/>
          <w:lang w:val="lv-LV"/>
        </w:rPr>
        <w:t xml:space="preserve"> Ekspertu grupas ģenētiski modificētu organismu jautājumos zinātniskais atzinums, kurā, ievērojot Regulu (EK) Nr. </w:t>
      </w:r>
      <w:r w:rsidRPr="00E2231B">
        <w:rPr>
          <w:sz w:val="24"/>
          <w:lang w:val="lv-LV"/>
        </w:rPr>
        <w:t xml:space="preserve">1829/2003, novērtēta iespēja atjaunot atļauju ģenētiski modificētai kukurūzai MON 810 (pieteikums GMFF-2022-9450), </w:t>
      </w:r>
      <w:r w:rsidRPr="00E2231B">
        <w:rPr>
          <w:i/>
          <w:iCs/>
          <w:sz w:val="24"/>
          <w:lang w:val="lv-LV"/>
        </w:rPr>
        <w:t xml:space="preserve">EFSA </w:t>
      </w:r>
      <w:proofErr w:type="spellStart"/>
      <w:r w:rsidRPr="00E2231B">
        <w:rPr>
          <w:i/>
          <w:iCs/>
          <w:sz w:val="24"/>
          <w:lang w:val="lv-LV"/>
        </w:rPr>
        <w:t>Journal</w:t>
      </w:r>
      <w:proofErr w:type="spellEnd"/>
      <w:r w:rsidRPr="00E2231B">
        <w:rPr>
          <w:sz w:val="24"/>
          <w:lang w:val="lv-LV"/>
        </w:rPr>
        <w:t xml:space="preserve">, 22(1):8489, 2024, </w:t>
      </w:r>
      <w:hyperlink r:id="rId4" w:history="1">
        <w:r w:rsidRPr="00E2231B">
          <w:rPr>
            <w:rStyle w:val="Hyperlink"/>
            <w:sz w:val="24"/>
            <w:lang w:val="lv-LV"/>
          </w:rPr>
          <w:t>https://doi.org/10.2903/j.efsa.2024.8490</w:t>
        </w:r>
      </w:hyperlink>
      <w:r w:rsidRPr="00E2231B">
        <w:rPr>
          <w:sz w:val="24"/>
          <w:lang w:val="lv-LV"/>
        </w:rPr>
        <w:t>.</w:t>
      </w:r>
    </w:p>
  </w:footnote>
  <w:footnote w:id="5">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color w:val="000000" w:themeColor="text1"/>
          <w:sz w:val="24"/>
          <w:lang w:val="lv-LV"/>
        </w:rPr>
        <w:t xml:space="preserve"> </w:t>
      </w:r>
      <w:r w:rsidR="00E2231B" w:rsidRPr="00E2231B">
        <w:rPr>
          <w:color w:val="000000" w:themeColor="text1"/>
          <w:sz w:val="24"/>
          <w:lang w:val="lv-LV"/>
        </w:rPr>
        <w:tab/>
      </w:r>
      <w:r w:rsidRPr="00E2231B">
        <w:rPr>
          <w:color w:val="000000" w:themeColor="text1"/>
          <w:sz w:val="24"/>
          <w:lang w:val="lv-LV"/>
        </w:rPr>
        <w:t xml:space="preserve">Parlaments astotajā </w:t>
      </w:r>
      <w:proofErr w:type="spellStart"/>
      <w:r w:rsidRPr="00E2231B">
        <w:rPr>
          <w:color w:val="000000" w:themeColor="text1"/>
          <w:sz w:val="24"/>
          <w:lang w:val="lv-LV"/>
        </w:rPr>
        <w:t>sasaukumā</w:t>
      </w:r>
      <w:proofErr w:type="spellEnd"/>
      <w:r w:rsidRPr="00E2231B">
        <w:rPr>
          <w:color w:val="000000" w:themeColor="text1"/>
          <w:sz w:val="24"/>
          <w:lang w:val="lv-LV"/>
        </w:rPr>
        <w:t xml:space="preserve"> pieņēma 36 rezolūcijas un devītajā </w:t>
      </w:r>
      <w:proofErr w:type="spellStart"/>
      <w:r w:rsidRPr="00E2231B">
        <w:rPr>
          <w:color w:val="000000" w:themeColor="text1"/>
          <w:sz w:val="24"/>
          <w:lang w:val="lv-LV"/>
        </w:rPr>
        <w:t>sasaukumā</w:t>
      </w:r>
      <w:proofErr w:type="spellEnd"/>
      <w:r w:rsidRPr="00E2231B">
        <w:rPr>
          <w:color w:val="000000" w:themeColor="text1"/>
          <w:sz w:val="24"/>
          <w:lang w:val="lv-LV"/>
        </w:rPr>
        <w:t xml:space="preserve"> — 38 rezolūcijas, ar ko iebilda pret atļauju izmantot ĢMO. </w:t>
      </w:r>
    </w:p>
  </w:footnote>
  <w:footnote w:id="6">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Komisijas Īstenošanas lēmums 2013/649/ES (2013. gada 6. novembris), ar ko atbilstīgi Eiropas Parlamenta un Padomes Regulai (EK) Nr. 1829/2003 atļauj laist tirgū ziedputekšņus, kas ražoti no kukurūzas MON 810 (MON-ØØ81Ø-6) (OV L 302, 13.11.2013., 44. </w:t>
      </w:r>
      <w:r w:rsidRPr="00E2231B">
        <w:rPr>
          <w:sz w:val="24"/>
          <w:lang w:val="lv-LV"/>
        </w:rPr>
        <w:t xml:space="preserve">lpp., ELI: </w:t>
      </w:r>
      <w:hyperlink r:id="rId5" w:tooltip="Piekļuve dokumentam ELI URI vietnē." w:history="1">
        <w:r w:rsidRPr="00E2231B">
          <w:rPr>
            <w:rStyle w:val="Hyperlink"/>
            <w:color w:val="337AB7"/>
            <w:sz w:val="24"/>
            <w:shd w:val="clear" w:color="auto" w:fill="FFFFFF"/>
            <w:lang w:val="lv-LV"/>
          </w:rPr>
          <w:t>http://data.europa.eu/eli/dec_impl/2013/649/oj</w:t>
        </w:r>
      </w:hyperlink>
      <w:r w:rsidRPr="00E2231B">
        <w:rPr>
          <w:sz w:val="24"/>
          <w:lang w:val="lv-LV"/>
        </w:rPr>
        <w:t>).</w:t>
      </w:r>
    </w:p>
  </w:footnote>
  <w:footnote w:id="7">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Komisijas Īstenošanas lēmums (ES) 2017/1207 (2017. gada 4. jūlijs), ar ko atbilstīgi Eiropas Parlamenta un Padomes Regulai (EK) Nr. 1829/2003 atjaunina atļauju laist tirgū ģenētiski modificētās kukurūzas MON 810 (MON-ØØ81Ø-6) produktus (izziņots ar dokumenta numuru C(2017) 4453) (OV L 173, 6.7.2017., 18. </w:t>
      </w:r>
      <w:r w:rsidRPr="00E2231B">
        <w:rPr>
          <w:sz w:val="24"/>
          <w:lang w:val="lv-LV"/>
        </w:rPr>
        <w:t xml:space="preserve">lpp., ELI: </w:t>
      </w:r>
      <w:hyperlink r:id="rId6" w:tooltip="Piekļuve dokumentam ELI URI vietnē." w:history="1">
        <w:r w:rsidRPr="00E2231B">
          <w:rPr>
            <w:rStyle w:val="Hyperlink"/>
            <w:color w:val="337AB7"/>
            <w:sz w:val="24"/>
            <w:shd w:val="clear" w:color="auto" w:fill="FFFFFF"/>
            <w:lang w:val="lv-LV"/>
          </w:rPr>
          <w:t>http://data.europa.eu/eli/dec_impl/2017/1207/oj</w:t>
        </w:r>
      </w:hyperlink>
      <w:r w:rsidRPr="00E2231B">
        <w:rPr>
          <w:sz w:val="24"/>
          <w:lang w:val="lv-LV"/>
        </w:rPr>
        <w:t>).</w:t>
      </w:r>
    </w:p>
  </w:footnote>
  <w:footnote w:id="8">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 xml:space="preserve">Sk. </w:t>
      </w:r>
      <w:proofErr w:type="spellStart"/>
      <w:r w:rsidRPr="00E2231B">
        <w:rPr>
          <w:i/>
          <w:iCs/>
          <w:sz w:val="24"/>
          <w:lang w:val="lv-LV"/>
        </w:rPr>
        <w:t>Rubio-Infante</w:t>
      </w:r>
      <w:proofErr w:type="spellEnd"/>
      <w:r w:rsidRPr="00E2231B">
        <w:rPr>
          <w:i/>
          <w:iCs/>
          <w:sz w:val="24"/>
          <w:lang w:val="lv-LV"/>
        </w:rPr>
        <w:t>, N., Moreno-</w:t>
      </w:r>
      <w:proofErr w:type="spellStart"/>
      <w:r w:rsidRPr="00E2231B">
        <w:rPr>
          <w:i/>
          <w:iCs/>
          <w:sz w:val="24"/>
          <w:lang w:val="lv-LV"/>
        </w:rPr>
        <w:t>Fierros</w:t>
      </w:r>
      <w:proofErr w:type="spellEnd"/>
      <w:r w:rsidRPr="00E2231B">
        <w:rPr>
          <w:i/>
          <w:iCs/>
          <w:sz w:val="24"/>
          <w:lang w:val="lv-LV"/>
        </w:rPr>
        <w:t>, L</w:t>
      </w:r>
      <w:r w:rsidRPr="00E2231B">
        <w:rPr>
          <w:sz w:val="24"/>
          <w:lang w:val="lv-LV"/>
        </w:rPr>
        <w:t xml:space="preserve">. “Pārskats par </w:t>
      </w:r>
      <w:proofErr w:type="spellStart"/>
      <w:r w:rsidRPr="00E2231B">
        <w:rPr>
          <w:i/>
          <w:iCs/>
          <w:sz w:val="24"/>
          <w:lang w:val="lv-LV"/>
        </w:rPr>
        <w:t>Bacillus</w:t>
      </w:r>
      <w:proofErr w:type="spellEnd"/>
      <w:r w:rsidRPr="00E2231B">
        <w:rPr>
          <w:i/>
          <w:iCs/>
          <w:sz w:val="24"/>
          <w:lang w:val="lv-LV"/>
        </w:rPr>
        <w:t xml:space="preserve"> </w:t>
      </w:r>
      <w:proofErr w:type="spellStart"/>
      <w:r w:rsidRPr="00E2231B">
        <w:rPr>
          <w:i/>
          <w:iCs/>
          <w:sz w:val="24"/>
          <w:lang w:val="lv-LV"/>
        </w:rPr>
        <w:t>thuringiensis</w:t>
      </w:r>
      <w:proofErr w:type="spellEnd"/>
      <w:r w:rsidRPr="00E2231B">
        <w:rPr>
          <w:i/>
          <w:iCs/>
          <w:sz w:val="24"/>
          <w:lang w:val="lv-LV"/>
        </w:rPr>
        <w:t xml:space="preserve"> </w:t>
      </w:r>
      <w:proofErr w:type="spellStart"/>
      <w:r w:rsidRPr="00E2231B">
        <w:rPr>
          <w:i/>
          <w:iCs/>
          <w:sz w:val="24"/>
          <w:lang w:val="lv-LV"/>
        </w:rPr>
        <w:t>Cry</w:t>
      </w:r>
      <w:proofErr w:type="spellEnd"/>
      <w:r w:rsidRPr="00E2231B">
        <w:rPr>
          <w:sz w:val="24"/>
          <w:lang w:val="lv-LV"/>
        </w:rPr>
        <w:t xml:space="preserve"> toksīnu drošumu un bioloģisko iedarbību uz zīdītājiem, </w:t>
      </w:r>
      <w:proofErr w:type="spellStart"/>
      <w:r w:rsidRPr="00E2231B">
        <w:rPr>
          <w:i/>
          <w:iCs/>
          <w:sz w:val="24"/>
          <w:lang w:val="lv-LV"/>
        </w:rPr>
        <w:t>Journal</w:t>
      </w:r>
      <w:proofErr w:type="spellEnd"/>
      <w:r w:rsidRPr="00E2231B">
        <w:rPr>
          <w:i/>
          <w:iCs/>
          <w:sz w:val="24"/>
          <w:lang w:val="lv-LV"/>
        </w:rPr>
        <w:t xml:space="preserve"> </w:t>
      </w:r>
      <w:proofErr w:type="spellStart"/>
      <w:r w:rsidRPr="00E2231B">
        <w:rPr>
          <w:i/>
          <w:iCs/>
          <w:sz w:val="24"/>
          <w:lang w:val="lv-LV"/>
        </w:rPr>
        <w:t>of</w:t>
      </w:r>
      <w:proofErr w:type="spellEnd"/>
      <w:r w:rsidRPr="00E2231B">
        <w:rPr>
          <w:i/>
          <w:iCs/>
          <w:sz w:val="24"/>
          <w:lang w:val="lv-LV"/>
        </w:rPr>
        <w:t xml:space="preserve"> </w:t>
      </w:r>
      <w:proofErr w:type="spellStart"/>
      <w:r w:rsidRPr="00E2231B">
        <w:rPr>
          <w:i/>
          <w:iCs/>
          <w:sz w:val="24"/>
          <w:lang w:val="lv-LV"/>
        </w:rPr>
        <w:t>Applied</w:t>
      </w:r>
      <w:proofErr w:type="spellEnd"/>
      <w:r w:rsidRPr="00E2231B">
        <w:rPr>
          <w:i/>
          <w:iCs/>
          <w:sz w:val="24"/>
          <w:lang w:val="lv-LV"/>
        </w:rPr>
        <w:t xml:space="preserve"> </w:t>
      </w:r>
      <w:proofErr w:type="spellStart"/>
      <w:r w:rsidRPr="00E2231B">
        <w:rPr>
          <w:i/>
          <w:iCs/>
          <w:sz w:val="24"/>
          <w:lang w:val="lv-LV"/>
        </w:rPr>
        <w:t>Toxicology</w:t>
      </w:r>
      <w:proofErr w:type="spellEnd"/>
      <w:r w:rsidRPr="00E2231B">
        <w:rPr>
          <w:sz w:val="24"/>
          <w:lang w:val="lv-LV"/>
        </w:rPr>
        <w:t>, 36.,5., 2016. gada maijs, 630.–648. </w:t>
      </w:r>
      <w:r w:rsidRPr="00E2231B">
        <w:rPr>
          <w:sz w:val="24"/>
          <w:lang w:val="lv-LV"/>
        </w:rPr>
        <w:t xml:space="preserve">lpp., </w:t>
      </w:r>
      <w:hyperlink r:id="rId7" w:history="1">
        <w:r w:rsidRPr="00E2231B">
          <w:rPr>
            <w:rStyle w:val="Hyperlink"/>
            <w:sz w:val="24"/>
            <w:lang w:val="lv-LV"/>
          </w:rPr>
          <w:t>https://onlinelibrary.wiley.com/doi/full/10.1002/jat.3252</w:t>
        </w:r>
      </w:hyperlink>
      <w:r w:rsidRPr="00E2231B">
        <w:rPr>
          <w:sz w:val="24"/>
          <w:lang w:val="lv-LV"/>
        </w:rPr>
        <w:t>.</w:t>
      </w:r>
    </w:p>
  </w:footnote>
  <w:footnote w:id="9">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i/>
          <w:iCs/>
          <w:sz w:val="24"/>
          <w:lang w:val="lv-LV"/>
        </w:rPr>
        <w:t xml:space="preserve"> </w:t>
      </w:r>
      <w:r w:rsidR="00E2231B" w:rsidRPr="00E2231B">
        <w:rPr>
          <w:i/>
          <w:iCs/>
          <w:sz w:val="24"/>
          <w:lang w:val="lv-LV"/>
        </w:rPr>
        <w:tab/>
      </w:r>
      <w:proofErr w:type="spellStart"/>
      <w:r w:rsidRPr="00E2231B">
        <w:rPr>
          <w:i/>
          <w:iCs/>
          <w:sz w:val="24"/>
          <w:lang w:val="lv-LV"/>
        </w:rPr>
        <w:t>Hilbeck</w:t>
      </w:r>
      <w:proofErr w:type="spellEnd"/>
      <w:r w:rsidRPr="00E2231B">
        <w:rPr>
          <w:i/>
          <w:iCs/>
          <w:sz w:val="24"/>
          <w:lang w:val="lv-LV"/>
        </w:rPr>
        <w:t xml:space="preserve">, A., </w:t>
      </w:r>
      <w:proofErr w:type="spellStart"/>
      <w:r w:rsidRPr="00E2231B">
        <w:rPr>
          <w:i/>
          <w:iCs/>
          <w:sz w:val="24"/>
          <w:lang w:val="lv-LV"/>
        </w:rPr>
        <w:t>Defarge</w:t>
      </w:r>
      <w:proofErr w:type="spellEnd"/>
      <w:r w:rsidRPr="00E2231B">
        <w:rPr>
          <w:i/>
          <w:iCs/>
          <w:sz w:val="24"/>
          <w:lang w:val="lv-LV"/>
        </w:rPr>
        <w:t xml:space="preserve">, N., </w:t>
      </w:r>
      <w:proofErr w:type="spellStart"/>
      <w:r w:rsidRPr="00E2231B">
        <w:rPr>
          <w:i/>
          <w:iCs/>
          <w:sz w:val="24"/>
          <w:lang w:val="lv-LV"/>
        </w:rPr>
        <w:t>Lebrecht</w:t>
      </w:r>
      <w:proofErr w:type="spellEnd"/>
      <w:r w:rsidRPr="00E2231B">
        <w:rPr>
          <w:i/>
          <w:iCs/>
          <w:sz w:val="24"/>
          <w:lang w:val="lv-LV"/>
        </w:rPr>
        <w:t xml:space="preserve">, T., </w:t>
      </w:r>
      <w:proofErr w:type="spellStart"/>
      <w:r w:rsidRPr="00E2231B">
        <w:rPr>
          <w:i/>
          <w:iCs/>
          <w:sz w:val="24"/>
          <w:lang w:val="lv-LV"/>
        </w:rPr>
        <w:t>Bøhn</w:t>
      </w:r>
      <w:proofErr w:type="spellEnd"/>
      <w:r w:rsidRPr="00E2231B">
        <w:rPr>
          <w:i/>
          <w:iCs/>
          <w:sz w:val="24"/>
          <w:lang w:val="lv-LV"/>
        </w:rPr>
        <w:t>, T</w:t>
      </w:r>
      <w:r w:rsidRPr="00E2231B">
        <w:rPr>
          <w:sz w:val="24"/>
          <w:lang w:val="lv-LV"/>
        </w:rPr>
        <w:t>., “</w:t>
      </w:r>
      <w:proofErr w:type="spellStart"/>
      <w:r w:rsidRPr="00E2231B">
        <w:rPr>
          <w:sz w:val="24"/>
          <w:lang w:val="lv-LV"/>
        </w:rPr>
        <w:t>Insekticīdie</w:t>
      </w:r>
      <w:proofErr w:type="spellEnd"/>
      <w:r w:rsidRPr="00E2231B">
        <w:rPr>
          <w:sz w:val="24"/>
          <w:lang w:val="lv-LV"/>
        </w:rPr>
        <w:t xml:space="preserve"> </w:t>
      </w:r>
      <w:proofErr w:type="spellStart"/>
      <w:r w:rsidRPr="00E2231B">
        <w:rPr>
          <w:sz w:val="24"/>
          <w:lang w:val="lv-LV"/>
        </w:rPr>
        <w:t>Bt</w:t>
      </w:r>
      <w:proofErr w:type="spellEnd"/>
      <w:r w:rsidRPr="00E2231B">
        <w:rPr>
          <w:sz w:val="24"/>
          <w:lang w:val="lv-LV"/>
        </w:rPr>
        <w:t xml:space="preserve"> kultūraugi. ĢM </w:t>
      </w:r>
      <w:proofErr w:type="spellStart"/>
      <w:r w:rsidRPr="00E2231B">
        <w:rPr>
          <w:sz w:val="24"/>
          <w:lang w:val="lv-LV"/>
        </w:rPr>
        <w:t>Bt</w:t>
      </w:r>
      <w:proofErr w:type="spellEnd"/>
      <w:r w:rsidRPr="00E2231B">
        <w:rPr>
          <w:sz w:val="24"/>
          <w:lang w:val="lv-LV"/>
        </w:rPr>
        <w:t xml:space="preserve"> augiem izmantotā </w:t>
      </w:r>
      <w:r w:rsidRPr="00E2231B">
        <w:rPr>
          <w:i/>
          <w:iCs/>
          <w:sz w:val="24"/>
          <w:lang w:val="lv-LV"/>
        </w:rPr>
        <w:t>EFSA</w:t>
      </w:r>
      <w:r w:rsidRPr="00E2231B">
        <w:rPr>
          <w:sz w:val="24"/>
          <w:lang w:val="lv-LV"/>
        </w:rPr>
        <w:t xml:space="preserve"> riska novērtēšanas pieeja neatbilst integrētai augu aizsardzībai” </w:t>
      </w:r>
      <w:r w:rsidRPr="00E2231B">
        <w:rPr>
          <w:i/>
          <w:iCs/>
          <w:sz w:val="24"/>
          <w:lang w:val="lv-LV"/>
        </w:rPr>
        <w:t>RAGES</w:t>
      </w:r>
      <w:r w:rsidRPr="00E2231B">
        <w:rPr>
          <w:sz w:val="24"/>
          <w:lang w:val="lv-LV"/>
        </w:rPr>
        <w:t xml:space="preserve"> 2020, 4. </w:t>
      </w:r>
      <w:r w:rsidRPr="00E2231B">
        <w:rPr>
          <w:sz w:val="24"/>
          <w:lang w:val="lv-LV"/>
        </w:rPr>
        <w:t xml:space="preserve">lpp., </w:t>
      </w:r>
      <w:hyperlink r:id="rId8" w:history="1">
        <w:r w:rsidRPr="00E2231B">
          <w:rPr>
            <w:rStyle w:val="Hyperlink"/>
            <w:sz w:val="24"/>
            <w:lang w:val="lv-LV"/>
          </w:rPr>
          <w:t>https://www.testbiotech.org/wp-content/uploads/2023/12/RAGES_report-Insecticidal-Bt-plants.pdf</w:t>
        </w:r>
      </w:hyperlink>
      <w:r w:rsidRPr="00E2231B">
        <w:rPr>
          <w:sz w:val="24"/>
          <w:lang w:val="lv-LV"/>
        </w:rPr>
        <w:t>.</w:t>
      </w:r>
      <w:r w:rsidRPr="00E2231B">
        <w:rPr>
          <w:rStyle w:val="Hyperlink"/>
          <w:sz w:val="24"/>
          <w:lang w:val="lv-LV"/>
        </w:rPr>
        <w:t xml:space="preserve"> </w:t>
      </w:r>
      <w:r w:rsidRPr="00E2231B">
        <w:rPr>
          <w:sz w:val="24"/>
          <w:lang w:val="lv-LV"/>
        </w:rPr>
        <w:t xml:space="preserve">Sk., piemēram, </w:t>
      </w:r>
      <w:proofErr w:type="spellStart"/>
      <w:r w:rsidRPr="00E2231B">
        <w:rPr>
          <w:i/>
          <w:iCs/>
          <w:sz w:val="24"/>
          <w:lang w:val="lv-LV"/>
        </w:rPr>
        <w:t>Hilbeck</w:t>
      </w:r>
      <w:proofErr w:type="spellEnd"/>
      <w:r w:rsidRPr="00E2231B">
        <w:rPr>
          <w:i/>
          <w:iCs/>
          <w:sz w:val="24"/>
          <w:lang w:val="lv-LV"/>
        </w:rPr>
        <w:t>, A., Otto, M., “</w:t>
      </w:r>
      <w:proofErr w:type="spellStart"/>
      <w:r w:rsidRPr="00E2231B">
        <w:rPr>
          <w:i/>
          <w:iCs/>
          <w:sz w:val="24"/>
          <w:lang w:val="lv-LV"/>
        </w:rPr>
        <w:t>Specificity</w:t>
      </w:r>
      <w:proofErr w:type="spellEnd"/>
      <w:r w:rsidRPr="00E2231B">
        <w:rPr>
          <w:i/>
          <w:iCs/>
          <w:sz w:val="24"/>
          <w:lang w:val="lv-LV"/>
        </w:rPr>
        <w:t xml:space="preserve"> </w:t>
      </w:r>
      <w:proofErr w:type="spellStart"/>
      <w:r w:rsidRPr="00E2231B">
        <w:rPr>
          <w:i/>
          <w:iCs/>
          <w:sz w:val="24"/>
          <w:lang w:val="lv-LV"/>
        </w:rPr>
        <w:t>and</w:t>
      </w:r>
      <w:proofErr w:type="spellEnd"/>
      <w:r w:rsidRPr="00E2231B">
        <w:rPr>
          <w:i/>
          <w:iCs/>
          <w:sz w:val="24"/>
          <w:lang w:val="lv-LV"/>
        </w:rPr>
        <w:t xml:space="preserve"> </w:t>
      </w:r>
      <w:proofErr w:type="spellStart"/>
      <w:r w:rsidRPr="00E2231B">
        <w:rPr>
          <w:i/>
          <w:iCs/>
          <w:sz w:val="24"/>
          <w:lang w:val="lv-LV"/>
        </w:rPr>
        <w:t>combinatorial</w:t>
      </w:r>
      <w:proofErr w:type="spellEnd"/>
      <w:r w:rsidRPr="00E2231B">
        <w:rPr>
          <w:i/>
          <w:iCs/>
          <w:sz w:val="24"/>
          <w:lang w:val="lv-LV"/>
        </w:rPr>
        <w:t xml:space="preserve"> </w:t>
      </w:r>
      <w:proofErr w:type="spellStart"/>
      <w:r w:rsidRPr="00E2231B">
        <w:rPr>
          <w:i/>
          <w:iCs/>
          <w:sz w:val="24"/>
          <w:lang w:val="lv-LV"/>
        </w:rPr>
        <w:t>effects</w:t>
      </w:r>
      <w:proofErr w:type="spellEnd"/>
      <w:r w:rsidRPr="00E2231B">
        <w:rPr>
          <w:i/>
          <w:iCs/>
          <w:sz w:val="24"/>
          <w:lang w:val="lv-LV"/>
        </w:rPr>
        <w:t xml:space="preserve"> </w:t>
      </w:r>
      <w:proofErr w:type="spellStart"/>
      <w:r w:rsidRPr="00E2231B">
        <w:rPr>
          <w:i/>
          <w:iCs/>
          <w:sz w:val="24"/>
          <w:lang w:val="lv-LV"/>
        </w:rPr>
        <w:t>of</w:t>
      </w:r>
      <w:proofErr w:type="spellEnd"/>
      <w:r w:rsidRPr="00E2231B">
        <w:rPr>
          <w:i/>
          <w:iCs/>
          <w:sz w:val="24"/>
          <w:lang w:val="lv-LV"/>
        </w:rPr>
        <w:t> </w:t>
      </w:r>
      <w:proofErr w:type="spellStart"/>
      <w:r w:rsidRPr="00E2231B">
        <w:rPr>
          <w:i/>
          <w:iCs/>
          <w:sz w:val="24"/>
          <w:lang w:val="lv-LV"/>
        </w:rPr>
        <w:t>Bacillus</w:t>
      </w:r>
      <w:proofErr w:type="spellEnd"/>
      <w:r w:rsidRPr="00E2231B">
        <w:rPr>
          <w:i/>
          <w:iCs/>
          <w:sz w:val="24"/>
          <w:lang w:val="lv-LV"/>
        </w:rPr>
        <w:t xml:space="preserve"> </w:t>
      </w:r>
      <w:proofErr w:type="spellStart"/>
      <w:r w:rsidRPr="00E2231B">
        <w:rPr>
          <w:i/>
          <w:iCs/>
          <w:sz w:val="24"/>
          <w:lang w:val="lv-LV"/>
        </w:rPr>
        <w:t>thuringiensis</w:t>
      </w:r>
      <w:proofErr w:type="spellEnd"/>
      <w:r w:rsidRPr="00E2231B">
        <w:rPr>
          <w:i/>
          <w:iCs/>
          <w:sz w:val="24"/>
          <w:lang w:val="lv-LV"/>
        </w:rPr>
        <w:t> </w:t>
      </w:r>
      <w:proofErr w:type="spellStart"/>
      <w:r w:rsidRPr="00E2231B">
        <w:rPr>
          <w:i/>
          <w:iCs/>
          <w:sz w:val="24"/>
          <w:lang w:val="lv-LV"/>
        </w:rPr>
        <w:t>Cry</w:t>
      </w:r>
      <w:proofErr w:type="spellEnd"/>
      <w:r w:rsidRPr="00E2231B">
        <w:rPr>
          <w:i/>
          <w:iCs/>
          <w:sz w:val="24"/>
          <w:lang w:val="lv-LV"/>
        </w:rPr>
        <w:t xml:space="preserve"> </w:t>
      </w:r>
      <w:proofErr w:type="spellStart"/>
      <w:r w:rsidRPr="00E2231B">
        <w:rPr>
          <w:i/>
          <w:iCs/>
          <w:sz w:val="24"/>
          <w:lang w:val="lv-LV"/>
        </w:rPr>
        <w:t>toxins</w:t>
      </w:r>
      <w:proofErr w:type="spellEnd"/>
      <w:r w:rsidRPr="00E2231B">
        <w:rPr>
          <w:i/>
          <w:iCs/>
          <w:sz w:val="24"/>
          <w:lang w:val="lv-LV"/>
        </w:rPr>
        <w:t xml:space="preserve"> </w:t>
      </w:r>
      <w:proofErr w:type="spellStart"/>
      <w:r w:rsidRPr="00E2231B">
        <w:rPr>
          <w:i/>
          <w:iCs/>
          <w:sz w:val="24"/>
          <w:lang w:val="lv-LV"/>
        </w:rPr>
        <w:t>in</w:t>
      </w:r>
      <w:proofErr w:type="spellEnd"/>
      <w:r w:rsidRPr="00E2231B">
        <w:rPr>
          <w:i/>
          <w:iCs/>
          <w:sz w:val="24"/>
          <w:lang w:val="lv-LV"/>
        </w:rPr>
        <w:t xml:space="preserve"> </w:t>
      </w:r>
      <w:proofErr w:type="spellStart"/>
      <w:r w:rsidRPr="00E2231B">
        <w:rPr>
          <w:i/>
          <w:iCs/>
          <w:sz w:val="24"/>
          <w:lang w:val="lv-LV"/>
        </w:rPr>
        <w:t>the</w:t>
      </w:r>
      <w:proofErr w:type="spellEnd"/>
      <w:r w:rsidRPr="00E2231B">
        <w:rPr>
          <w:i/>
          <w:iCs/>
          <w:sz w:val="24"/>
          <w:lang w:val="lv-LV"/>
        </w:rPr>
        <w:t xml:space="preserve"> </w:t>
      </w:r>
      <w:proofErr w:type="spellStart"/>
      <w:r w:rsidRPr="00E2231B">
        <w:rPr>
          <w:i/>
          <w:iCs/>
          <w:sz w:val="24"/>
          <w:lang w:val="lv-LV"/>
        </w:rPr>
        <w:t>context</w:t>
      </w:r>
      <w:proofErr w:type="spellEnd"/>
      <w:r w:rsidRPr="00E2231B">
        <w:rPr>
          <w:i/>
          <w:iCs/>
          <w:sz w:val="24"/>
          <w:lang w:val="lv-LV"/>
        </w:rPr>
        <w:t xml:space="preserve"> </w:t>
      </w:r>
      <w:proofErr w:type="spellStart"/>
      <w:r w:rsidRPr="00E2231B">
        <w:rPr>
          <w:i/>
          <w:iCs/>
          <w:sz w:val="24"/>
          <w:lang w:val="lv-LV"/>
        </w:rPr>
        <w:t>of</w:t>
      </w:r>
      <w:proofErr w:type="spellEnd"/>
      <w:r w:rsidRPr="00E2231B">
        <w:rPr>
          <w:i/>
          <w:iCs/>
          <w:sz w:val="24"/>
          <w:lang w:val="lv-LV"/>
        </w:rPr>
        <w:t xml:space="preserve"> GMO </w:t>
      </w:r>
      <w:proofErr w:type="spellStart"/>
      <w:r w:rsidRPr="00E2231B">
        <w:rPr>
          <w:i/>
          <w:iCs/>
          <w:sz w:val="24"/>
          <w:lang w:val="lv-LV"/>
        </w:rPr>
        <w:t>environmental</w:t>
      </w:r>
      <w:proofErr w:type="spellEnd"/>
      <w:r w:rsidRPr="00E2231B">
        <w:rPr>
          <w:i/>
          <w:iCs/>
          <w:sz w:val="24"/>
          <w:lang w:val="lv-LV"/>
        </w:rPr>
        <w:t xml:space="preserve"> risk </w:t>
      </w:r>
      <w:proofErr w:type="spellStart"/>
      <w:r w:rsidRPr="00E2231B">
        <w:rPr>
          <w:i/>
          <w:iCs/>
          <w:sz w:val="24"/>
          <w:lang w:val="lv-LV"/>
        </w:rPr>
        <w:t>assessment</w:t>
      </w:r>
      <w:proofErr w:type="spellEnd"/>
      <w:r w:rsidRPr="00E2231B">
        <w:rPr>
          <w:sz w:val="24"/>
          <w:lang w:val="lv-LV"/>
        </w:rPr>
        <w:t xml:space="preserve">”, </w:t>
      </w:r>
      <w:proofErr w:type="spellStart"/>
      <w:r w:rsidRPr="00E2231B">
        <w:rPr>
          <w:i/>
          <w:iCs/>
          <w:sz w:val="24"/>
          <w:lang w:val="lv-LV"/>
        </w:rPr>
        <w:t>Frontiers</w:t>
      </w:r>
      <w:proofErr w:type="spellEnd"/>
      <w:r w:rsidRPr="00E2231B">
        <w:rPr>
          <w:i/>
          <w:iCs/>
          <w:sz w:val="24"/>
          <w:lang w:val="lv-LV"/>
        </w:rPr>
        <w:t xml:space="preserve"> </w:t>
      </w:r>
      <w:proofErr w:type="spellStart"/>
      <w:r w:rsidRPr="00E2231B">
        <w:rPr>
          <w:i/>
          <w:iCs/>
          <w:sz w:val="24"/>
          <w:lang w:val="lv-LV"/>
        </w:rPr>
        <w:t>in</w:t>
      </w:r>
      <w:proofErr w:type="spellEnd"/>
      <w:r w:rsidRPr="00E2231B">
        <w:rPr>
          <w:i/>
          <w:iCs/>
          <w:sz w:val="24"/>
          <w:lang w:val="lv-LV"/>
        </w:rPr>
        <w:t xml:space="preserve"> </w:t>
      </w:r>
      <w:proofErr w:type="spellStart"/>
      <w:r w:rsidRPr="00E2231B">
        <w:rPr>
          <w:i/>
          <w:iCs/>
          <w:sz w:val="24"/>
          <w:lang w:val="lv-LV"/>
        </w:rPr>
        <w:t>Environmental</w:t>
      </w:r>
      <w:proofErr w:type="spellEnd"/>
      <w:r w:rsidRPr="00E2231B">
        <w:rPr>
          <w:i/>
          <w:iCs/>
          <w:sz w:val="24"/>
          <w:lang w:val="lv-LV"/>
        </w:rPr>
        <w:t xml:space="preserve"> </w:t>
      </w:r>
      <w:proofErr w:type="spellStart"/>
      <w:r w:rsidRPr="00E2231B">
        <w:rPr>
          <w:i/>
          <w:iCs/>
          <w:sz w:val="24"/>
          <w:lang w:val="lv-LV"/>
        </w:rPr>
        <w:t>Science</w:t>
      </w:r>
      <w:proofErr w:type="spellEnd"/>
      <w:r w:rsidRPr="00E2231B">
        <w:rPr>
          <w:sz w:val="24"/>
          <w:lang w:val="lv-LV"/>
        </w:rPr>
        <w:t xml:space="preserve">, 2015., 3:71, </w:t>
      </w:r>
      <w:hyperlink r:id="rId9" w:history="1">
        <w:r w:rsidRPr="00E2231B">
          <w:rPr>
            <w:rStyle w:val="Hyperlink"/>
            <w:sz w:val="24"/>
            <w:lang w:val="lv-LV"/>
          </w:rPr>
          <w:t>https://doi.org/10.3389/fenvs.2015.00071</w:t>
        </w:r>
      </w:hyperlink>
      <w:r w:rsidRPr="00E2231B">
        <w:rPr>
          <w:sz w:val="24"/>
          <w:lang w:val="lv-LV"/>
        </w:rPr>
        <w:t>.</w:t>
      </w:r>
    </w:p>
  </w:footnote>
  <w:footnote w:id="10">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hyperlink r:id="rId10" w:history="1">
        <w:r w:rsidRPr="00E2231B">
          <w:rPr>
            <w:rStyle w:val="Hyperlink"/>
            <w:sz w:val="24"/>
            <w:lang w:val="lv-LV"/>
          </w:rPr>
          <w:t>https://efsa.onlinelibrary.wiley.com/action/downloadSupplement?doi=10.2903%‌2Fj.efsa.2024.8489&amp;file=efs28489-sup-0008-Annex_8.pdf</w:t>
        </w:r>
      </w:hyperlink>
      <w:r w:rsidRPr="00E2231B">
        <w:rPr>
          <w:rStyle w:val="Hyperlink"/>
          <w:sz w:val="24"/>
          <w:lang w:val="lv-LV"/>
        </w:rPr>
        <w:t>.</w:t>
      </w:r>
    </w:p>
  </w:footnote>
  <w:footnote w:id="11">
    <w:p w:rsidR="00482B10" w:rsidRPr="00E2231B" w:rsidRDefault="00482B10" w:rsidP="00E2231B">
      <w:pPr>
        <w:pStyle w:val="FootnoteText"/>
        <w:ind w:left="567" w:hanging="567"/>
        <w:rPr>
          <w:sz w:val="24"/>
          <w:vertAlign w:val="superscript"/>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hyperlink r:id="rId11" w:history="1">
        <w:r w:rsidRPr="00E2231B">
          <w:rPr>
            <w:rStyle w:val="Hyperlink"/>
            <w:sz w:val="24"/>
            <w:lang w:val="lv-LV"/>
          </w:rPr>
          <w:t>https://commission.europa.eu/document/2c64e540-c07a-4376-a1da-368d289f4afe_en</w:t>
        </w:r>
      </w:hyperlink>
    </w:p>
    <w:p w:rsidR="00482B10" w:rsidRPr="00E2231B" w:rsidRDefault="00E2231B" w:rsidP="00E2231B">
      <w:pPr>
        <w:pStyle w:val="FootnoteText"/>
        <w:ind w:left="567" w:hanging="567"/>
        <w:rPr>
          <w:sz w:val="24"/>
          <w:lang w:val="lv-LV"/>
        </w:rPr>
      </w:pPr>
      <w:r w:rsidRPr="00E2231B">
        <w:rPr>
          <w:sz w:val="24"/>
          <w:lang w:val="lv-LV"/>
        </w:rPr>
        <w:t xml:space="preserve"> </w:t>
      </w:r>
      <w:r w:rsidRPr="00E2231B">
        <w:rPr>
          <w:sz w:val="24"/>
          <w:lang w:val="lv-LV"/>
        </w:rPr>
        <w:tab/>
      </w:r>
    </w:p>
  </w:footnote>
  <w:footnote w:id="12">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Saskaņā ar Regulas (ES) Nr. 182/2011 6. panta 3. punktu Komisija “var pieņemt”, nevis “pieņem” īstenošanas akta projektu, ja Pārsūdzības komitejā ar dalībvalstu kvalificētu balsu vairākumu nav sniegts pozitīvs atzinums.</w:t>
      </w:r>
    </w:p>
  </w:footnote>
  <w:footnote w:id="13">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E2231B">
        <w:rPr>
          <w:sz w:val="24"/>
          <w:lang w:val="lv-LV"/>
        </w:rPr>
        <w:t xml:space="preserve">lpp., ELI: </w:t>
      </w:r>
      <w:hyperlink r:id="rId12" w:tooltip="Piekļuve dokumentam ELI URI vietnē." w:history="1">
        <w:r w:rsidRPr="00E2231B">
          <w:rPr>
            <w:rStyle w:val="Hyperlink"/>
            <w:color w:val="337AB7"/>
            <w:sz w:val="24"/>
            <w:shd w:val="clear" w:color="auto" w:fill="FFFFFF"/>
            <w:lang w:val="lv-LV"/>
          </w:rPr>
          <w:t>http://data.europa.eu/eli/reg/2002/178/oj</w:t>
        </w:r>
      </w:hyperlink>
      <w:r w:rsidRPr="00E2231B">
        <w:rPr>
          <w:sz w:val="24"/>
          <w:lang w:val="lv-LV"/>
        </w:rPr>
        <w:t>).</w:t>
      </w:r>
    </w:p>
  </w:footnote>
  <w:footnote w:id="14">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hyperlink r:id="rId13" w:history="1">
        <w:r w:rsidRPr="00E2231B">
          <w:rPr>
            <w:rStyle w:val="Hyperlink"/>
            <w:sz w:val="24"/>
            <w:lang w:val="lv-LV"/>
          </w:rPr>
          <w:t>https://tillymetz.lu/wp-content/uploads/2020/09/Co-signed-letter-MEP-Metz.pdf</w:t>
        </w:r>
      </w:hyperlink>
      <w:r w:rsidRPr="00E2231B">
        <w:rPr>
          <w:rStyle w:val="Hyperlink"/>
          <w:sz w:val="24"/>
          <w:lang w:val="lv-LV"/>
        </w:rPr>
        <w:t>.</w:t>
      </w:r>
    </w:p>
  </w:footnote>
  <w:footnote w:id="15">
    <w:p w:rsidR="00482B10" w:rsidRPr="00E2231B" w:rsidRDefault="00482B10" w:rsidP="00E2231B">
      <w:pPr>
        <w:pStyle w:val="FootnoteText"/>
        <w:ind w:left="567" w:hanging="567"/>
        <w:rPr>
          <w:sz w:val="24"/>
          <w:lang w:val="lv-LV"/>
        </w:rPr>
      </w:pPr>
      <w:r w:rsidRPr="00E2231B">
        <w:rPr>
          <w:rStyle w:val="FootnoteReference"/>
          <w:sz w:val="24"/>
          <w:lang w:val="lv-LV"/>
        </w:rPr>
        <w:footnoteRef/>
      </w:r>
      <w:r w:rsidR="00E2231B" w:rsidRPr="00E2231B">
        <w:rPr>
          <w:sz w:val="24"/>
          <w:lang w:val="lv-LV"/>
        </w:rPr>
        <w:t xml:space="preserve"> </w:t>
      </w:r>
      <w:r w:rsidR="00E2231B" w:rsidRPr="00E2231B">
        <w:rPr>
          <w:sz w:val="24"/>
          <w:lang w:val="lv-LV"/>
        </w:rPr>
        <w:tab/>
      </w:r>
      <w:r w:rsidRPr="00E2231B">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3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3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3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LV"/>
    <w:docVar w:name="dvnumam" w:val="0"/>
    <w:docVar w:name="dvpe" w:val="763.280"/>
    <w:docVar w:name="dvtitre" w:val="Eiropas Parlamenta 2024. gada XX. XXX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2024/2840(RSP))"/>
  </w:docVars>
  <w:rsids>
    <w:rsidRoot w:val="00D3060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2B10"/>
    <w:rsid w:val="004867E3"/>
    <w:rsid w:val="00494A28"/>
    <w:rsid w:val="004C0004"/>
    <w:rsid w:val="004C5D52"/>
    <w:rsid w:val="0050519A"/>
    <w:rsid w:val="005072A1"/>
    <w:rsid w:val="00514517"/>
    <w:rsid w:val="0054497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FA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6A0E"/>
    <w:rsid w:val="00C941CB"/>
    <w:rsid w:val="00CC2357"/>
    <w:rsid w:val="00CF071A"/>
    <w:rsid w:val="00D058B8"/>
    <w:rsid w:val="00D3060F"/>
    <w:rsid w:val="00D56C11"/>
    <w:rsid w:val="00D834A0"/>
    <w:rsid w:val="00D872DF"/>
    <w:rsid w:val="00D91E21"/>
    <w:rsid w:val="00DA7FCD"/>
    <w:rsid w:val="00E223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9B83B"/>
  <w15:chartTrackingRefBased/>
  <w15:docId w15:val="{EACE261C-D0E4-4C3C-8A2E-6748BC70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2B10"/>
    <w:pPr>
      <w:spacing w:before="480" w:after="240"/>
    </w:pPr>
  </w:style>
  <w:style w:type="paragraph" w:customStyle="1" w:styleId="NormalBold12a">
    <w:name w:val="NormalBold12a"/>
    <w:basedOn w:val="Normal"/>
    <w:rsid w:val="00482B10"/>
    <w:pPr>
      <w:spacing w:after="240"/>
    </w:pPr>
    <w:rPr>
      <w:b/>
    </w:rPr>
  </w:style>
  <w:style w:type="paragraph" w:customStyle="1" w:styleId="NormalHanging12a">
    <w:name w:val="NormalHanging12a"/>
    <w:basedOn w:val="Normal"/>
    <w:rsid w:val="00482B10"/>
    <w:pPr>
      <w:spacing w:after="240"/>
      <w:ind w:left="567" w:hanging="567"/>
    </w:pPr>
  </w:style>
  <w:style w:type="paragraph" w:customStyle="1" w:styleId="NormalBold">
    <w:name w:val="NormalBold"/>
    <w:basedOn w:val="Normal"/>
    <w:rsid w:val="00482B10"/>
    <w:rPr>
      <w:b/>
    </w:rPr>
  </w:style>
  <w:style w:type="character" w:styleId="Hyperlink">
    <w:name w:val="Hyperlink"/>
    <w:basedOn w:val="DefaultParagraphFont"/>
    <w:uiPriority w:val="99"/>
    <w:rsid w:val="00482B10"/>
    <w:rPr>
      <w:color w:val="0563C1" w:themeColor="hyperlink"/>
      <w:u w:val="single"/>
    </w:rPr>
  </w:style>
  <w:style w:type="paragraph" w:styleId="BalloonText">
    <w:name w:val="Balloon Text"/>
    <w:basedOn w:val="Normal"/>
    <w:link w:val="BalloonTextChar"/>
    <w:rsid w:val="00C86A0E"/>
    <w:rPr>
      <w:rFonts w:ascii="Segoe UI" w:hAnsi="Segoe UI" w:cs="Segoe UI"/>
      <w:sz w:val="18"/>
      <w:szCs w:val="18"/>
    </w:rPr>
  </w:style>
  <w:style w:type="character" w:customStyle="1" w:styleId="BalloonTextChar">
    <w:name w:val="Balloon Text Char"/>
    <w:basedOn w:val="DefaultParagraphFont"/>
    <w:link w:val="BalloonText"/>
    <w:rsid w:val="00C86A0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s://eur-lex.europa.eu/eli/reg/2011/182/oj?lokale=lv"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s://eur-lex.europa.eu/eli/reg/2002/178/oj?lokale=lv" TargetMode="External"/><Relationship Id="rId2" Type="http://schemas.openxmlformats.org/officeDocument/2006/relationships/hyperlink" Target="https://eur-lex.europa.eu/eli/reg/2003/1829/oj?lokale=lv" TargetMode="External"/><Relationship Id="rId1" Type="http://schemas.openxmlformats.org/officeDocument/2006/relationships/hyperlink" Target="https://eur-lex.europa.eu/eli/dec_impl/2024/1828/oj?lokale=lv" TargetMode="External"/><Relationship Id="rId6" Type="http://schemas.openxmlformats.org/officeDocument/2006/relationships/hyperlink" Target="https://eur-lex.europa.eu/eli/dec_impl/2017/1207/oj?locale=lv"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s://eur-lex.europa.eu/eli/dec_impl/2013/649/oj?locale=LV"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5C152-BC46-49E5-84CF-D143B989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1135</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2024-12-19T17:32:00Z</dcterms:created>
  <dcterms:modified xsi:type="dcterms:W3CDTF">2024-12-19T17:32:00Z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B10-0146/2024</vt:lpwstr>
  </property>
  <property fmtid="{D5CDD505-2E9C-101B-9397-08002B2CF9AE}" pid="4" name="&lt;Type&gt;">
    <vt:lpwstr>RR</vt:lpwstr>
  </property>
</Properties>
</file>