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122F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122FE" w:rsidRDefault="00E01A19" w:rsidP="0010095E">
            <w:pPr>
              <w:pStyle w:val="EPName"/>
            </w:pPr>
            <w:r w:rsidRPr="008122FE">
              <w:t>Parlament Ewropew</w:t>
            </w:r>
          </w:p>
          <w:p w:rsidR="00751A4A" w:rsidRPr="008122F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122FE">
              <w:t>2024</w:t>
            </w:r>
            <w:r w:rsidR="00817416" w:rsidRPr="008122FE">
              <w:t>-202</w:t>
            </w:r>
            <w:r w:rsidRPr="008122F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122FE" w:rsidRDefault="00187494" w:rsidP="0010095E">
            <w:pPr>
              <w:pStyle w:val="EPLogo"/>
            </w:pPr>
            <w:r w:rsidRPr="008122F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122FE" w:rsidRDefault="00D058B8" w:rsidP="004C5D52">
      <w:pPr>
        <w:pStyle w:val="LineTop"/>
      </w:pPr>
    </w:p>
    <w:p w:rsidR="00680577" w:rsidRPr="008122FE" w:rsidRDefault="00E01A19" w:rsidP="00680577">
      <w:pPr>
        <w:pStyle w:val="EPBodyTA1"/>
      </w:pPr>
      <w:r w:rsidRPr="008122FE">
        <w:t>TESTI ADOTTATI</w:t>
      </w:r>
    </w:p>
    <w:p w:rsidR="00D058B8" w:rsidRPr="008122FE" w:rsidRDefault="00D058B8" w:rsidP="00D058B8">
      <w:pPr>
        <w:pStyle w:val="LineBottom"/>
      </w:pPr>
    </w:p>
    <w:p w:rsidR="00E01A19" w:rsidRPr="008122FE" w:rsidRDefault="00E01A19" w:rsidP="00E01A19">
      <w:pPr>
        <w:pStyle w:val="ATHeading1"/>
      </w:pPr>
      <w:bookmarkStart w:id="0" w:name="TANumber"/>
      <w:r w:rsidRPr="008122FE">
        <w:t>P10_TA(2024)00</w:t>
      </w:r>
      <w:bookmarkEnd w:id="0"/>
      <w:r w:rsidR="002D01EA">
        <w:t>41</w:t>
      </w:r>
    </w:p>
    <w:p w:rsidR="00E01A19" w:rsidRPr="008122FE" w:rsidRDefault="001A3F55" w:rsidP="00E01A19">
      <w:pPr>
        <w:pStyle w:val="ATHeading2"/>
      </w:pPr>
      <w:bookmarkStart w:id="1" w:name="title"/>
      <w:r>
        <w:t>Q</w:t>
      </w:r>
      <w:r w:rsidR="00E01A19" w:rsidRPr="008122FE">
        <w:t>amħirrum ġenetikament modifikat MON 810</w:t>
      </w:r>
      <w:bookmarkEnd w:id="1"/>
    </w:p>
    <w:p w:rsidR="00E01A19" w:rsidRPr="008122FE" w:rsidRDefault="00E01A19" w:rsidP="00E01A19">
      <w:pPr>
        <w:rPr>
          <w:i/>
          <w:vanish/>
        </w:rPr>
      </w:pPr>
      <w:r w:rsidRPr="008122FE">
        <w:rPr>
          <w:i/>
        </w:rPr>
        <w:fldChar w:fldCharType="begin"/>
      </w:r>
      <w:r w:rsidRPr="008122FE">
        <w:rPr>
          <w:i/>
        </w:rPr>
        <w:instrText xml:space="preserve"> TC"(</w:instrText>
      </w:r>
      <w:bookmarkStart w:id="2" w:name="DocNumber"/>
      <w:r w:rsidRPr="008122FE">
        <w:rPr>
          <w:i/>
        </w:rPr>
        <w:instrText>B10-0146/2024</w:instrText>
      </w:r>
      <w:bookmarkEnd w:id="2"/>
      <w:r w:rsidRPr="008122FE">
        <w:rPr>
          <w:i/>
        </w:rPr>
        <w:instrText xml:space="preserve">)"\l3 \n&gt; \* MERGEFORMAT </w:instrText>
      </w:r>
      <w:r w:rsidRPr="008122FE">
        <w:rPr>
          <w:i/>
        </w:rPr>
        <w:fldChar w:fldCharType="end"/>
      </w:r>
    </w:p>
    <w:p w:rsidR="00E01A19" w:rsidRPr="008122FE" w:rsidRDefault="00E01A19" w:rsidP="00E01A19">
      <w:pPr>
        <w:rPr>
          <w:vanish/>
        </w:rPr>
      </w:pPr>
      <w:bookmarkStart w:id="3" w:name="PE"/>
      <w:r w:rsidRPr="008122FE">
        <w:rPr>
          <w:vanish/>
        </w:rPr>
        <w:t>PE763.280</w:t>
      </w:r>
      <w:bookmarkEnd w:id="3"/>
    </w:p>
    <w:p w:rsidR="00E01A19" w:rsidRPr="008122FE" w:rsidRDefault="00E01A19" w:rsidP="009D62DF">
      <w:pPr>
        <w:pStyle w:val="ATHeading3"/>
      </w:pPr>
      <w:bookmarkStart w:id="4" w:name="Sujet"/>
      <w:r w:rsidRPr="008122FE">
        <w:t>Riżoluzzjoni tal-Parlament Ewropew tas-26 ta' Novembru 2024 dwar id-Deċiżjoni ta’ Implimentazzjoni tal-Kummissjoni (UE) 2024/1828 dwar it-tiġdid tal-awtorizzazzjoni għall-introduzzjoni fis-suq ta’ għalf li fih il-qamħirrum ġenetikament modifikat MON 810 u li jikkonsisti minnu, u ta’ prodotti tal-ikel u tal-għalf prodotti minn dak il-qamħirrum ġenetikament modifikat skont ir-Regolament (KE) Nru 1829/2003 tal-Parlament Ewropew u tal-Kunsill u li tħassar id-Deċiżjoni ta’ Implimentazzjoni tal-Kummissjoni (UE) 2017/1207</w:t>
      </w:r>
      <w:bookmarkEnd w:id="4"/>
      <w:r w:rsidRPr="008122FE">
        <w:t xml:space="preserve"> </w:t>
      </w:r>
      <w:bookmarkStart w:id="5" w:name="References"/>
      <w:r w:rsidRPr="008122FE">
        <w:t>(2024/2840(RSP))</w:t>
      </w:r>
      <w:bookmarkEnd w:id="5"/>
    </w:p>
    <w:p w:rsidR="00790E9C" w:rsidRPr="008122FE" w:rsidRDefault="00790E9C" w:rsidP="00790E9C">
      <w:pPr>
        <w:pStyle w:val="EPComma"/>
      </w:pPr>
      <w:bookmarkStart w:id="6" w:name="TextBodyBegin"/>
      <w:bookmarkEnd w:id="6"/>
      <w:r w:rsidRPr="008122FE">
        <w:rPr>
          <w:i/>
        </w:rPr>
        <w:t>Il-Parlament Ewropew</w:t>
      </w:r>
      <w:r w:rsidRPr="008122FE">
        <w:t>,</w:t>
      </w:r>
    </w:p>
    <w:p w:rsidR="00790E9C" w:rsidRPr="008122FE" w:rsidRDefault="00790E9C" w:rsidP="00790E9C">
      <w:pPr>
        <w:pStyle w:val="NormalHanging12a"/>
      </w:pPr>
      <w:r w:rsidRPr="008122FE">
        <w:t>–</w:t>
      </w:r>
      <w:r w:rsidRPr="008122FE">
        <w:tab/>
        <w:t>wara li kkunsidra d-Deċiżjoni ta’ Implimentazzjoni tal-Kummissjoni (UE) 2024/1828 dwar it-tiġdid tal-awtorizzazzjoni għall-introduzzjoni fis-suq ta’ għalf li fih il-qamħirrum ġenetikament modifikat MON 810 u li jikkonsisti minnu, u ta’ prodotti tal-ikel u tal-għalf prodotti minn dak il-qamħirrum ġenetikament modifikat skont ir-Regolament (KE) Nru 1829/2003 tal-Parlament Ewropew u tal-Kunsill u li tħassar id-Deċiżjoni ta’ Implimentazzjoni tal-Kummissjoni (UE) 2017/1207</w:t>
      </w:r>
      <w:r w:rsidRPr="008122FE">
        <w:rPr>
          <w:rStyle w:val="FootnoteReference"/>
        </w:rPr>
        <w:footnoteReference w:id="1"/>
      </w:r>
      <w:r w:rsidRPr="008122FE">
        <w:t>,</w:t>
      </w:r>
    </w:p>
    <w:p w:rsidR="00790E9C" w:rsidRPr="008122FE" w:rsidRDefault="00790E9C" w:rsidP="00790E9C">
      <w:pPr>
        <w:pStyle w:val="NormalHanging12a"/>
      </w:pPr>
      <w:r w:rsidRPr="008122FE">
        <w:t>–</w:t>
      </w:r>
      <w:r w:rsidRPr="008122FE">
        <w:tab/>
        <w:t>wara li kkunsidra r-Regolament (KE) Nru 1829/2003 tal-Parlament Ewropew u tal-Kunsill tat-22 ta’ Settembru 2003 dwar ikel u għalf modifikat ġenetikament</w:t>
      </w:r>
      <w:r w:rsidRPr="008122FE">
        <w:rPr>
          <w:rStyle w:val="FootnoteReference"/>
        </w:rPr>
        <w:footnoteReference w:id="2"/>
      </w:r>
      <w:r w:rsidRPr="008122FE">
        <w:t>, u b’mod partikolari l-Artikolu 11(3) u l-Artikolu 23(3) tiegħu,</w:t>
      </w:r>
    </w:p>
    <w:p w:rsidR="00790E9C" w:rsidRPr="008122FE" w:rsidRDefault="00790E9C" w:rsidP="00790E9C">
      <w:pPr>
        <w:pStyle w:val="NormalHanging12a"/>
      </w:pPr>
      <w:r w:rsidRPr="008122FE">
        <w:t>–</w:t>
      </w:r>
      <w:r w:rsidRPr="008122FE">
        <w:tab/>
        <w:t>wara li kkunsidra l-votazzjoni</w:t>
      </w:r>
      <w:r w:rsidRPr="008122FE">
        <w:rPr>
          <w:shd w:val="clear" w:color="auto" w:fill="FFFFFF"/>
        </w:rPr>
        <w:t xml:space="preserve"> tal-Kumitat Permanenti dwar il-Pjanti, l-Annimali, l-Ikel u l-Għalf imsemmi fl-Artikolu 35 tar-Regolament (KE) Nru 1829/2003, tas-26 ta’ April 2024, fejn ma ngħatat ebda opinjoni, u l-votazzjoni tal-Kumitat ta’ Appell tad-29 ta’ Mejju 2024, fejn ukoll ma </w:t>
      </w:r>
      <w:r w:rsidRPr="008122FE">
        <w:t>ngħatat ebda opinjoni,</w:t>
      </w:r>
    </w:p>
    <w:p w:rsidR="00790E9C" w:rsidRPr="008122FE" w:rsidRDefault="00790E9C" w:rsidP="00790E9C">
      <w:pPr>
        <w:pStyle w:val="NormalHanging12a"/>
      </w:pPr>
      <w:r w:rsidRPr="008122FE">
        <w:t>–</w:t>
      </w:r>
      <w:r w:rsidRPr="008122FE">
        <w:tab/>
        <w:t>wara li kkunsidra l-Artikolu 11 tar-Regolament (UE) Nru 182/2011 tal-Parlament Ewropew u tal-Kunsill tas-16 ta’ Frar 2011 li jistabbilixxi r-regoli u l-prinċipji ġenerali dwar il-modalitajiet ta’ kontroll mill-Istati Membri tal-eżerċizzju mill-Kummissjoni tas-</w:t>
      </w:r>
      <w:r w:rsidRPr="008122FE">
        <w:lastRenderedPageBreak/>
        <w:t>setgħat ta’ implimentazzjoni</w:t>
      </w:r>
      <w:r w:rsidRPr="008122FE">
        <w:rPr>
          <w:rStyle w:val="FootnoteReference"/>
        </w:rPr>
        <w:footnoteReference w:id="3"/>
      </w:r>
      <w:r w:rsidRPr="008122FE">
        <w:t>,</w:t>
      </w:r>
    </w:p>
    <w:p w:rsidR="00790E9C" w:rsidRPr="008122FE" w:rsidRDefault="00790E9C" w:rsidP="00790E9C">
      <w:pPr>
        <w:pStyle w:val="NormalHanging12a"/>
      </w:pPr>
      <w:r w:rsidRPr="008122FE">
        <w:t>–</w:t>
      </w:r>
      <w:r w:rsidRPr="008122FE">
        <w:tab/>
        <w:t>wara li kkunsidra l-opinjoni adottata mill-Awtorità Ewropea dwar is-Sigurtà fl-Ikel (EFSA) fit-30 ta’ Novembru 2023, u ppubblikata fid-19 ta’ Jannar 2024</w:t>
      </w:r>
      <w:r w:rsidRPr="008122FE">
        <w:rPr>
          <w:rStyle w:val="FootnoteReference"/>
        </w:rPr>
        <w:footnoteReference w:id="4"/>
      </w:r>
      <w:r w:rsidRPr="008122FE">
        <w:t>,</w:t>
      </w:r>
    </w:p>
    <w:p w:rsidR="00790E9C" w:rsidRPr="008122FE" w:rsidRDefault="00790E9C" w:rsidP="00790E9C">
      <w:pPr>
        <w:pStyle w:val="NormalHanging12a"/>
        <w:rPr>
          <w:szCs w:val="24"/>
          <w:shd w:val="clear" w:color="auto" w:fill="FFFFFF"/>
        </w:rPr>
      </w:pPr>
      <w:r w:rsidRPr="008122FE">
        <w:t>–</w:t>
      </w:r>
      <w:r w:rsidRPr="008122FE">
        <w:tab/>
      </w:r>
      <w:r w:rsidRPr="008122FE">
        <w:rPr>
          <w:shd w:val="clear" w:color="auto" w:fill="FFFFFF"/>
        </w:rPr>
        <w:t>wara li kkunsidra r-riżoluzzjonijiet preċedenti tiegħu li joġġezzjonaw għall-awtorizzazzjoni ta’ organiżmi ġenetikament modifikati (“OĠM”)</w:t>
      </w:r>
      <w:r w:rsidRPr="008122FE">
        <w:rPr>
          <w:szCs w:val="24"/>
          <w:shd w:val="clear" w:color="auto" w:fill="FFFFFF"/>
          <w:vertAlign w:val="superscript"/>
        </w:rPr>
        <w:footnoteReference w:id="5"/>
      </w:r>
      <w:r w:rsidRPr="008122FE">
        <w:rPr>
          <w:shd w:val="clear" w:color="auto" w:fill="FFFFFF"/>
        </w:rPr>
        <w:t>,</w:t>
      </w:r>
    </w:p>
    <w:p w:rsidR="00790E9C" w:rsidRPr="008122FE" w:rsidRDefault="00790E9C" w:rsidP="00790E9C">
      <w:pPr>
        <w:pStyle w:val="NormalHanging12a"/>
      </w:pPr>
      <w:r w:rsidRPr="008122FE">
        <w:t>–</w:t>
      </w:r>
      <w:r w:rsidRPr="008122FE">
        <w:tab/>
        <w:t>wara li kkunsidra l-Artikolu 115(2) u (3) tar-Regoli ta’ Proċedura tiegħu,</w:t>
      </w:r>
    </w:p>
    <w:p w:rsidR="00790E9C" w:rsidRPr="008122FE" w:rsidRDefault="00790E9C" w:rsidP="00790E9C">
      <w:pPr>
        <w:pStyle w:val="NormalHanging12a"/>
      </w:pPr>
      <w:r w:rsidRPr="008122FE">
        <w:t>–</w:t>
      </w:r>
      <w:r w:rsidRPr="008122FE">
        <w:tab/>
        <w:t>wara li kkunsidra l-mozzjoni għal riżoluzzjoni tal-Kumitat għall-Ambjent, is-Saħħa Pubblika u s-Sikurezza tal-Ikel,</w:t>
      </w:r>
    </w:p>
    <w:p w:rsidR="00790E9C" w:rsidRPr="008122FE" w:rsidRDefault="00790E9C" w:rsidP="00790E9C">
      <w:pPr>
        <w:pStyle w:val="NormalHanging12a"/>
      </w:pPr>
      <w:r w:rsidRPr="008122FE">
        <w:t>A.</w:t>
      </w:r>
      <w:r w:rsidRPr="008122FE">
        <w:tab/>
        <w:t>billi, fis-6 ta’ Ottubru 2022, Bayer Agriculture BV, ibbażata fil-Belġju, ressqet applikazzjoni quddiem il-Kummissjoni f’isem Bayer CropScience LP, ibbażata fl-Istati Uniti, għat-tiġdid tad-Deċiżjonijiet ta’ Implimentazzjoni tal-Kummissjoni 2013/649/UE</w:t>
      </w:r>
      <w:r w:rsidRPr="008122FE">
        <w:rPr>
          <w:rStyle w:val="FootnoteReference"/>
        </w:rPr>
        <w:footnoteReference w:id="6"/>
      </w:r>
      <w:r w:rsidRPr="008122FE">
        <w:t xml:space="preserve"> u (UE) 2017/1207</w:t>
      </w:r>
      <w:r w:rsidRPr="008122FE">
        <w:rPr>
          <w:rStyle w:val="FootnoteReference"/>
        </w:rPr>
        <w:footnoteReference w:id="7"/>
      </w:r>
      <w:r w:rsidRPr="008122FE">
        <w:t>; billi, f’konformità mal-Artikolu 11(4) tar-Regolament (KE) Nru 1829/2003, il-perjodu ta’ awtorizzazzjoni tal-polline ġenetikament modifikat prodott mill-qamħirrum ġenetikament modifikat MON 810 (il-“qamħirrum ĠM”) għall-użi fl-ikel koperti mid-Deċiżjoni ta’ Implimentazzjoni 2013/649/UE ġie estiż awtomatikament sakemm tittieħed deċiżjoni dwar l-applikazzjoni għat-tiġdid;</w:t>
      </w:r>
    </w:p>
    <w:p w:rsidR="00790E9C" w:rsidRPr="008122FE" w:rsidRDefault="00790E9C" w:rsidP="00790E9C">
      <w:pPr>
        <w:pStyle w:val="NormalHanging12a"/>
      </w:pPr>
      <w:r w:rsidRPr="008122FE">
        <w:t>B.</w:t>
      </w:r>
      <w:r w:rsidRPr="008122FE">
        <w:tab/>
        <w:t xml:space="preserve">billi, fit-30 ta’ Novembru 2023, l-EFSA adottat opinjoni favorevoli, li ġiet ippubblikata fid-19 ta’ Jannar 2024; </w:t>
      </w:r>
    </w:p>
    <w:p w:rsidR="00790E9C" w:rsidRPr="008122FE" w:rsidRDefault="00790E9C" w:rsidP="00790E9C">
      <w:pPr>
        <w:pStyle w:val="NormalHanging12a"/>
      </w:pPr>
      <w:r w:rsidRPr="008122FE">
        <w:t>C.</w:t>
      </w:r>
      <w:r w:rsidRPr="008122FE">
        <w:tab/>
        <w:t>billi l-qamħirrum ĠM ġie mmodifikat biex jipproduċi insettiċidi (“tossini Bt”);</w:t>
      </w:r>
    </w:p>
    <w:p w:rsidR="00790E9C" w:rsidRPr="008122FE" w:rsidRDefault="00790E9C" w:rsidP="00790E9C">
      <w:pPr>
        <w:pStyle w:val="NormalHanging12a"/>
        <w:rPr>
          <w:b/>
          <w:i/>
        </w:rPr>
      </w:pPr>
      <w:r w:rsidRPr="008122FE">
        <w:rPr>
          <w:b/>
          <w:i/>
        </w:rPr>
        <w:t>Mistoqsijiet pendenti dwar it-tossini Bt</w:t>
      </w:r>
    </w:p>
    <w:p w:rsidR="00790E9C" w:rsidRPr="008122FE" w:rsidRDefault="00790E9C" w:rsidP="00790E9C">
      <w:pPr>
        <w:pStyle w:val="NormalHanging12a"/>
      </w:pPr>
      <w:r w:rsidRPr="008122FE">
        <w:t>D.</w:t>
      </w:r>
      <w:r w:rsidRPr="008122FE">
        <w:tab/>
        <w:t xml:space="preserve">billi għadd ta’ studji juru li ġew osservati effetti sekondarji li jistgħu jaffettwaw is-sistema immunitarja tal-bniedem wara esponiment għal tossini Bt u li xi tossini Bt jista’ </w:t>
      </w:r>
      <w:r w:rsidRPr="008122FE">
        <w:lastRenderedPageBreak/>
        <w:t>jkollhom proprjetajiet aġġuvanti</w:t>
      </w:r>
      <w:r w:rsidRPr="008122FE">
        <w:rPr>
          <w:rStyle w:val="FootnoteReference"/>
        </w:rPr>
        <w:footnoteReference w:id="8"/>
      </w:r>
      <w:r w:rsidRPr="008122FE">
        <w:t>, li jfisser li jistgħu jżidu l-allerġeniċità ta’ proteini oħra li jiġu f’kuntatt magħhom;</w:t>
      </w:r>
    </w:p>
    <w:p w:rsidR="00790E9C" w:rsidRPr="008122FE" w:rsidRDefault="00790E9C" w:rsidP="00790E9C">
      <w:pPr>
        <w:pStyle w:val="NormalHanging12a"/>
        <w:rPr>
          <w:b/>
          <w:i/>
        </w:rPr>
      </w:pPr>
      <w:r w:rsidRPr="008122FE">
        <w:rPr>
          <w:b/>
          <w:i/>
        </w:rPr>
        <w:t>Għelejjel Bt: effetti fuq organiżmi li mhumiex fil-mira</w:t>
      </w:r>
    </w:p>
    <w:p w:rsidR="00790E9C" w:rsidRPr="008122FE" w:rsidRDefault="00790E9C" w:rsidP="00790E9C">
      <w:pPr>
        <w:pStyle w:val="NormalHanging12a"/>
        <w:rPr>
          <w:b/>
          <w:i/>
        </w:rPr>
      </w:pPr>
      <w:r w:rsidRPr="008122FE">
        <w:t>E.</w:t>
      </w:r>
      <w:r w:rsidRPr="008122FE">
        <w:tab/>
        <w:t>billi, għall-kuntrarju tal-użu ta’ insettiċidi, meta l-esponiment ikun fiż-żmien tal-bexx u għal żmien limitat wara, l-użu ta’ għelejjel Bt ĠM iwassal għal esponiment kontinwu tal-organiżmi fil-mira u ta’ dawk li mhumiex fil-mira għat-tossini Bt;</w:t>
      </w:r>
    </w:p>
    <w:p w:rsidR="00790E9C" w:rsidRPr="008122FE" w:rsidRDefault="00790E9C" w:rsidP="00790E9C">
      <w:pPr>
        <w:pStyle w:val="NormalHanging12a"/>
      </w:pPr>
      <w:r w:rsidRPr="008122FE">
        <w:t>F.</w:t>
      </w:r>
      <w:r w:rsidRPr="008122FE">
        <w:tab/>
        <w:t>billi s-suppożizzjoni li t-tossini Bt juru modalità ta’ azzjoni waħda speċifika għall-mira ma tistax tibqa’ titqies bħala korretta u l-effetti fuq l-organiżmi li mhumiex fil-mira ma jistgħux jiġu esklużi; billi ġie rrappurtat li għadd dejjem akbar tal-organiżmi li mhumiex fil-mira qed jiġu affettwati b’ħafna modi; billi 39 pubblikazzjoni rieżaminata bejn il-pari li jirrappurtaw effetti negattivi sinifikanti tat-tossini Bt fuq ħafna speċijiet “barra mill-firxa” jissemmew f’ħarsa ġenerali reċenti</w:t>
      </w:r>
      <w:r w:rsidRPr="008122FE">
        <w:rPr>
          <w:rStyle w:val="FootnoteReference"/>
        </w:rPr>
        <w:footnoteReference w:id="9"/>
      </w:r>
      <w:r w:rsidRPr="008122FE">
        <w:t>;</w:t>
      </w:r>
    </w:p>
    <w:p w:rsidR="00790E9C" w:rsidRPr="008122FE" w:rsidRDefault="00790E9C" w:rsidP="00790E9C">
      <w:pPr>
        <w:pStyle w:val="NormalHanging12a"/>
        <w:rPr>
          <w:b/>
          <w:i/>
        </w:rPr>
      </w:pPr>
      <w:r w:rsidRPr="008122FE">
        <w:rPr>
          <w:b/>
          <w:i/>
        </w:rPr>
        <w:t>Kummenti tal-Istati Membri</w:t>
      </w:r>
    </w:p>
    <w:p w:rsidR="00790E9C" w:rsidRPr="008122FE" w:rsidRDefault="00790E9C" w:rsidP="00790E9C">
      <w:pPr>
        <w:pStyle w:val="NormalHanging12a"/>
      </w:pPr>
      <w:r w:rsidRPr="008122FE">
        <w:t>G.</w:t>
      </w:r>
      <w:r w:rsidRPr="008122FE">
        <w:tab/>
        <w:t>billi l-Istati Membri ppreżentaw ħafna kummenti kritiċi quddiem l-EFSA matul il-perjodu ta’ konsultazzjoni ta’ tliet xhur</w:t>
      </w:r>
      <w:r w:rsidRPr="008122FE">
        <w:rPr>
          <w:rStyle w:val="FootnoteReference"/>
        </w:rPr>
        <w:footnoteReference w:id="10"/>
      </w:r>
      <w:r w:rsidRPr="008122FE">
        <w:t xml:space="preserve">, inkluż li d-data dwar il-kompożizzjoni għall-qamħirrum ĠM għandha tiġi vverifikata u analizzata mill-ġdid u li l-analiżi għandha tissodisfa r-rekwiżiti attwali tal-EFSA, fost l-oħrajn l-ittestjar tal-ekwivalenza, u li r-rieżami tal-letteratura ma inkludiex studji dwar id-destin ta’ Cry1Ab fl-ambjent jew dwar l-effetti potenzjali tar-residwi tal-għelejjel Bt fuq l-organiżmi li mhumiex fil-mira, li huwa problematiku minħabba li l-pubblikazzjonijiet jindikaw li trasferiment mill-għalf tal-qamħirrum ĠM għad-demel jista’ jwassal għall-esponiment ta’ organiżmi tal-ħamrija għal Cry1Ab u li dan jista’ jikkawża effetti negattivi fuq l-organiżmi tal-ħamrija b’konsegwenzi għall-bijodiversità u għas-servizzi tal-ekosistemi; </w:t>
      </w:r>
    </w:p>
    <w:p w:rsidR="00790E9C" w:rsidRPr="008122FE" w:rsidRDefault="00790E9C" w:rsidP="00790E9C">
      <w:pPr>
        <w:pStyle w:val="NormalHanging12a"/>
      </w:pPr>
      <w:r w:rsidRPr="008122FE">
        <w:t>H.</w:t>
      </w:r>
      <w:r w:rsidRPr="008122FE">
        <w:tab/>
        <w:t>billi r-Regolament (KE) Nru 1829/2003 jiddikjara li l-ikel jew l-għalf ĠM ma jridx ikollu effetti negattivi fuq is-saħħa tal-bniedem, is-saħħa tal-annimali jew l-ambjent, u jirrikjedi li l-Kummissjoni tqis kwalunkwe dispożizzjoni rilevanti fid-dritt tal-Unjoni u fatturi leġittimi oħra rilevanti għall-kwistjoni taħt kunsiderazzjoni meta tkun qed tabbozza d-deċiżjoni tagħha; billi dawn il-fatturi leġittimi għandhom jinkludu l-obbligi tal-Unjoni skont l-Għanijiet ta’ Żvilupp Sostenibbli (“l-SDGs tan-NU”) u l-Konvenzjoni tan-NU dwar id-Diversità Bijoloġika (“il-KDB tan-NU”);</w:t>
      </w:r>
    </w:p>
    <w:p w:rsidR="00790E9C" w:rsidRPr="008122FE" w:rsidRDefault="00790E9C" w:rsidP="00790E9C">
      <w:pPr>
        <w:pStyle w:val="NormalHanging12a"/>
        <w:rPr>
          <w:b/>
          <w:i/>
        </w:rPr>
      </w:pPr>
      <w:r w:rsidRPr="008122FE">
        <w:rPr>
          <w:b/>
          <w:i/>
        </w:rPr>
        <w:lastRenderedPageBreak/>
        <w:t>It-tnaqqis tad-dipendenza fuq l-għalf importat</w:t>
      </w:r>
    </w:p>
    <w:p w:rsidR="00790E9C" w:rsidRPr="008122FE" w:rsidRDefault="00790E9C" w:rsidP="00790E9C">
      <w:pPr>
        <w:pStyle w:val="NormalHanging12a"/>
      </w:pPr>
      <w:r w:rsidRPr="008122FE">
        <w:t>I.</w:t>
      </w:r>
      <w:r w:rsidRPr="008122FE">
        <w:tab/>
        <w:t>billi waħda mit-tagħlimiet mill-kriżi tal-COVID-19 u l-gwerra li tinsab għaddejja fl-Ukrajna hija l-ħtieġa li l-Unjoni ttemm id-dipendenzi fuq xi materjali kritiċi; billi fl-ittra ta’ missjoni lill-Kummissarju nnominat Christophe Hansen, il-President tal-Kummissjoni Ursula von der Leyen titolbu jħares lejn modi kif jitnaqqsu l-importazzjonijiet ta’ komoditajiet kritiċi</w:t>
      </w:r>
      <w:r w:rsidRPr="008122FE">
        <w:rPr>
          <w:rStyle w:val="FootnoteReference"/>
        </w:rPr>
        <w:footnoteReference w:id="11"/>
      </w:r>
      <w:r w:rsidRPr="008122FE">
        <w:t xml:space="preserve">; </w:t>
      </w:r>
    </w:p>
    <w:p w:rsidR="00790E9C" w:rsidRPr="008122FE" w:rsidRDefault="00790E9C" w:rsidP="00790E9C">
      <w:pPr>
        <w:pStyle w:val="NormalHanging12a"/>
        <w:rPr>
          <w:b/>
          <w:i/>
        </w:rPr>
      </w:pPr>
      <w:r w:rsidRPr="008122FE">
        <w:rPr>
          <w:b/>
          <w:i/>
        </w:rPr>
        <w:t>Proċess deċiżjonali mhux demokratiku</w:t>
      </w:r>
    </w:p>
    <w:p w:rsidR="00790E9C" w:rsidRPr="008122FE" w:rsidRDefault="00790E9C" w:rsidP="00790E9C">
      <w:pPr>
        <w:pStyle w:val="NormalHanging12a"/>
        <w:rPr>
          <w:b/>
          <w:i/>
        </w:rPr>
      </w:pPr>
      <w:r w:rsidRPr="008122FE">
        <w:t>J.</w:t>
      </w:r>
      <w:r w:rsidRPr="008122FE">
        <w:tab/>
      </w:r>
      <w:r w:rsidRPr="008122FE">
        <w:rPr>
          <w:shd w:val="clear" w:color="auto" w:fill="FFFFFF"/>
        </w:rPr>
        <w:t>billi l-votazzjoni fis-26 ta’ April 2024 tal-Kumitat Permanenti dwar il-Pjanti, l-Annimali, l-Ikel u l-Għalf imsemmi fl-Artikolu 35 tar-Regolament (KE) Nru 1829/2003 ma tat ebda opinjoni, li jfisser li l-awtorizzazzjoni ma kinitx appoġġjata minn maġġoranza kwalifikata tal-Istati Membri; billi anki l-votazzjoni tad-29 ta’ Mejju 2024 tal-Kumitat ta’ Appell ma tat ebda opinjoni;</w:t>
      </w:r>
    </w:p>
    <w:p w:rsidR="00790E9C" w:rsidRPr="008122FE" w:rsidRDefault="00790E9C" w:rsidP="00790E9C">
      <w:pPr>
        <w:pStyle w:val="NormalHanging12a"/>
      </w:pPr>
      <w:r w:rsidRPr="008122FE">
        <w:t>K.</w:t>
      </w:r>
      <w:r w:rsidRPr="008122FE">
        <w:tab/>
        <w:t>billi, fit-tmien leġiżlatura tiegħu, il-Parlament adotta total ta’ 36 riżoluzzjoni li joġġezzjonaw għall-introduzzjoni fis-suq ta’ OĠM għall-ikel u l-għalf (33 riżoluzzjoni) u għall-kultivazzjoni ta’ OĠM fl-Unjoni (tliet riżoluzzjonijiet); billi, fid-disa’ leġiżlatura tiegħu, il-Parlament adotta 38 oġġezzjoni għall-introduzzjoni fis-suq ta’ OĠM;</w:t>
      </w:r>
    </w:p>
    <w:p w:rsidR="00790E9C" w:rsidRPr="008122FE" w:rsidRDefault="00790E9C" w:rsidP="00790E9C">
      <w:pPr>
        <w:pStyle w:val="NormalHanging12a"/>
      </w:pPr>
      <w:r w:rsidRPr="008122FE">
        <w:t>L.</w:t>
      </w:r>
      <w:r w:rsidRPr="008122FE">
        <w:tab/>
        <w:t>billi minkejja r-rikonoxximent tagħha stess tan-nuqqasijiet demokratiċi, in-nuqqas ta’ appoġġ mill-Istati Membri u l-oġġezzjonijiet tal-Parlament, il-Kummissjoni qiegħda tkompli tawtorizza l-OĠM;</w:t>
      </w:r>
    </w:p>
    <w:p w:rsidR="00790E9C" w:rsidRPr="008122FE" w:rsidRDefault="00790E9C" w:rsidP="00790E9C">
      <w:pPr>
        <w:pStyle w:val="NormalHanging12a"/>
      </w:pPr>
      <w:r w:rsidRPr="008122FE">
        <w:t>M.</w:t>
      </w:r>
      <w:r w:rsidRPr="008122FE">
        <w:tab/>
        <w:t>billi mhija meħtieġa ebda bidla fil-liġi biex il-Kummissjoni tkun tista’ ma tawtorizzax l-OĠM meta ma jkunx hemm maġġoranza kwalifikata ta’ Stati Membri favur fil-Kumitat ta’ Appell</w:t>
      </w:r>
      <w:r w:rsidRPr="008122FE">
        <w:rPr>
          <w:rStyle w:val="FootnoteReference"/>
        </w:rPr>
        <w:footnoteReference w:id="12"/>
      </w:r>
      <w:r w:rsidRPr="008122FE">
        <w:t>;</w:t>
      </w:r>
    </w:p>
    <w:p w:rsidR="00790E9C" w:rsidRPr="008122FE" w:rsidRDefault="00790E9C" w:rsidP="00790E9C">
      <w:pPr>
        <w:pStyle w:val="NormalHanging12a"/>
      </w:pPr>
      <w:r w:rsidRPr="008122FE">
        <w:t>N.</w:t>
      </w:r>
      <w:r w:rsidRPr="008122FE">
        <w:tab/>
        <w:t>billi, fit-2 ta’ Lulju 2024, il-Kummissjoni ġeddet l-awtorizzazzjoni għall-introduzzjoni fis-suq tal-qamħirrum ĠM;</w:t>
      </w:r>
    </w:p>
    <w:p w:rsidR="00790E9C" w:rsidRPr="008122FE" w:rsidRDefault="00790E9C" w:rsidP="00790E9C">
      <w:pPr>
        <w:pStyle w:val="NormalHanging12a"/>
      </w:pPr>
      <w:r w:rsidRPr="008122FE">
        <w:t>1.</w:t>
      </w:r>
      <w:r w:rsidRPr="008122FE">
        <w:tab/>
        <w:t>Iqis li d-Deċiżjoni ta’ Implimentazzjoni (UE) 2024/1828 teċċedi s-setgħat ta’ implimentazzjoni previsti fir-Regolament (KE) Nru 1829/2003;</w:t>
      </w:r>
    </w:p>
    <w:p w:rsidR="00790E9C" w:rsidRPr="008122FE" w:rsidRDefault="00790E9C" w:rsidP="00790E9C">
      <w:pPr>
        <w:pStyle w:val="NormalHanging12a"/>
      </w:pPr>
      <w:r w:rsidRPr="008122FE">
        <w:t>2.</w:t>
      </w:r>
      <w:r w:rsidRPr="008122FE">
        <w:tab/>
        <w:t>Iqis li d-Deċiżjoni ta’ Implimentazzjoni (UE) 2024/1828 mhijiex konsistenti mad-dritt tal-Unjoni, billi mhijiex kompatibbli mal-għan tar-Regolament (KE) Nru 1829/2003 li, f’konformità mal-prinċipji ġenerali stabbiliti fir-Regolament (KE) Nru 178/2002 tal-Parlament Ewropew u tal-Kunsill</w:t>
      </w:r>
      <w:r w:rsidRPr="008122FE">
        <w:rPr>
          <w:rStyle w:val="FootnoteReference"/>
        </w:rPr>
        <w:footnoteReference w:id="13"/>
      </w:r>
      <w:r w:rsidRPr="008122FE">
        <w:t xml:space="preserve">, huwa li jipprovdi l-bażi biex, fir-rigward tal-ikel u l-għalf ĠM, jiżgura livell għoli ta’ protezzjoni għall-ħajja u s-saħħa tal-bniedem, is-saħħa </w:t>
      </w:r>
      <w:r w:rsidRPr="008122FE">
        <w:lastRenderedPageBreak/>
        <w:t>u l-benesseri tal-annimali, u l-interessi tal-ambjent u tal-konsumaturi, filwaqt li jiżgura l-funzjonament effettiv tas-suq intern;</w:t>
      </w:r>
    </w:p>
    <w:p w:rsidR="00790E9C" w:rsidRPr="008122FE" w:rsidRDefault="00790E9C" w:rsidP="00790E9C">
      <w:pPr>
        <w:pStyle w:val="NormalHanging12a"/>
      </w:pPr>
      <w:r w:rsidRPr="008122FE">
        <w:t>3.</w:t>
      </w:r>
      <w:r w:rsidRPr="008122FE">
        <w:tab/>
        <w:t xml:space="preserve">Jistieden lill-Kummissjoni tħassar id-Deċiżjoni ta’ Implimentazzjoni (UE) </w:t>
      </w:r>
      <w:bookmarkStart w:id="7" w:name="_GoBack"/>
      <w:bookmarkEnd w:id="7"/>
      <w:r w:rsidRPr="008122FE">
        <w:t>2024/1828;</w:t>
      </w:r>
    </w:p>
    <w:p w:rsidR="00790E9C" w:rsidRPr="008122FE" w:rsidRDefault="00790E9C" w:rsidP="00790E9C">
      <w:pPr>
        <w:pStyle w:val="NormalHanging12a"/>
      </w:pPr>
      <w:r w:rsidRPr="008122FE">
        <w:t>4.</w:t>
      </w:r>
      <w:r w:rsidRPr="008122FE">
        <w:tab/>
        <w:t>Jilqa’ l-fatt li l-Kummissjoni fl-aħħar irrikonoxxiet, f’ittra tal-11 ta’ Settembru 2020 lill-Membri, il-ħtieġa li tqis is-sostenibbiltà fir-rigward ta’ deċiżjonijiet ta’ awtorizzazzjoni dwar OĠM</w:t>
      </w:r>
      <w:r w:rsidRPr="008122FE">
        <w:rPr>
          <w:rStyle w:val="FootnoteReference"/>
        </w:rPr>
        <w:footnoteReference w:id="14"/>
      </w:r>
      <w:r w:rsidRPr="008122FE">
        <w:t>; jesprimi d-diżappunt kbir tiegħu, madankollu, li, minn dak iż-żmien ’l hawn il-Kummissjoni kompliet tawtorizza OĠM għall-importazzjoni fl-Unjoni, minkejja l-oġġezzjonijiet kontinwi mill-Parlament u mill-maġġoranza tal-Istati Membri li jivvutaw kontra dan;</w:t>
      </w:r>
    </w:p>
    <w:p w:rsidR="00790E9C" w:rsidRPr="008122FE" w:rsidRDefault="00790E9C" w:rsidP="00790E9C">
      <w:pPr>
        <w:pStyle w:val="NormalHanging12a"/>
      </w:pPr>
      <w:r w:rsidRPr="008122FE">
        <w:t>5.</w:t>
      </w:r>
      <w:r w:rsidRPr="008122FE">
        <w:tab/>
        <w:t>Iħeġġeġ lill-Kummissjoni, għal darb’oħra, tqis l-obbligi tal-Unjoni fl-ambitu tal-ftehimiet internazzjonali, bħall-Ftehim ta’ Pariġi dwar il-Klima, il-KDB tan-NU u l-SDGs tan-NU; itenni l-appell tiegħu li l-abbozzi ta’ atti ta’ implimentazzjoni jkunu akkumpanjati minn memorandum ta’ spjegazzjoni li jispjega kif dawn jirrispettaw il-prinċipju ta’ “la tagħmilx ħsara”</w:t>
      </w:r>
      <w:r w:rsidRPr="008122FE">
        <w:rPr>
          <w:rStyle w:val="FootnoteReference"/>
        </w:rPr>
        <w:footnoteReference w:id="15"/>
      </w:r>
      <w:r w:rsidRPr="008122FE">
        <w:t xml:space="preserve">; </w:t>
      </w:r>
    </w:p>
    <w:p w:rsidR="00E365E1" w:rsidRPr="008122FE" w:rsidRDefault="00790E9C" w:rsidP="009D62DF">
      <w:pPr>
        <w:ind w:left="567" w:hanging="567"/>
      </w:pPr>
      <w:r w:rsidRPr="008122FE">
        <w:t>6.</w:t>
      </w:r>
      <w:r w:rsidRPr="008122FE">
        <w:tab/>
        <w:t>Jagħti istruzzjonijiet lill-President tiegħu biex tgħaddi din ir-riżoluzzjoni lill-Kunsill u lill-Kummissjoni, kif ukoll lill-gvernijiet u lill-parlamenti tal-Istati Membri.</w:t>
      </w:r>
    </w:p>
    <w:sectPr w:rsidR="00E365E1" w:rsidRPr="008122FE" w:rsidSect="008122F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A19" w:rsidRPr="008122FE" w:rsidRDefault="00E01A19">
      <w:r w:rsidRPr="008122FE">
        <w:separator/>
      </w:r>
    </w:p>
  </w:endnote>
  <w:endnote w:type="continuationSeparator" w:id="0">
    <w:p w:rsidR="00E01A19" w:rsidRPr="008122FE" w:rsidRDefault="00E01A19">
      <w:r w:rsidRPr="008122F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22F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22F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22F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A19" w:rsidRPr="008122FE" w:rsidRDefault="00E01A19">
      <w:r w:rsidRPr="008122FE">
        <w:separator/>
      </w:r>
    </w:p>
  </w:footnote>
  <w:footnote w:type="continuationSeparator" w:id="0">
    <w:p w:rsidR="00E01A19" w:rsidRPr="008122FE" w:rsidRDefault="00E01A19">
      <w:r w:rsidRPr="008122FE">
        <w:continuationSeparator/>
      </w:r>
    </w:p>
  </w:footnote>
  <w:footnote w:id="1">
    <w:p w:rsidR="00790E9C" w:rsidRPr="008122FE" w:rsidRDefault="00790E9C" w:rsidP="008122FE">
      <w:pPr>
        <w:pStyle w:val="FootnoteText"/>
        <w:ind w:left="567" w:hanging="567"/>
        <w:rPr>
          <w:sz w:val="24"/>
          <w:lang w:val="mt-MT"/>
        </w:rPr>
      </w:pPr>
      <w:r w:rsidRPr="008122FE">
        <w:rPr>
          <w:rStyle w:val="FootnoteReference"/>
          <w:sz w:val="24"/>
          <w:lang w:val="mt-MT"/>
        </w:rPr>
        <w:footnoteRef/>
      </w:r>
      <w:r w:rsidR="008122FE" w:rsidRPr="008122FE">
        <w:rPr>
          <w:sz w:val="24"/>
          <w:lang w:val="mt-MT"/>
        </w:rPr>
        <w:t xml:space="preserve"> </w:t>
      </w:r>
      <w:r w:rsidR="008122FE" w:rsidRPr="008122FE">
        <w:rPr>
          <w:sz w:val="24"/>
          <w:lang w:val="mt-MT"/>
        </w:rPr>
        <w:tab/>
      </w:r>
      <w:r w:rsidRPr="008122FE">
        <w:rPr>
          <w:sz w:val="24"/>
          <w:lang w:val="mt-MT"/>
        </w:rPr>
        <w:t xml:space="preserve">ĠU L, 2024/1828, 4.7.2024, ELI: </w:t>
      </w:r>
      <w:hyperlink r:id="rId1" w:tooltip="Aċċess għad-dokument permezz tal-URI tal-ELI." w:history="1">
        <w:r w:rsidRPr="008122FE">
          <w:rPr>
            <w:rStyle w:val="Hyperlink"/>
            <w:color w:val="337AB7"/>
            <w:sz w:val="24"/>
            <w:shd w:val="clear" w:color="auto" w:fill="FFFFFF"/>
            <w:lang w:val="mt-MT"/>
          </w:rPr>
          <w:t>http://data.europa.eu/eli/dec_impl/2024/1828/oj?locale=mt</w:t>
        </w:r>
      </w:hyperlink>
      <w:r w:rsidRPr="008122FE">
        <w:rPr>
          <w:sz w:val="24"/>
          <w:lang w:val="mt-MT"/>
        </w:rPr>
        <w:t>.</w:t>
      </w:r>
    </w:p>
  </w:footnote>
  <w:footnote w:id="2">
    <w:p w:rsidR="00790E9C" w:rsidRPr="008122FE" w:rsidRDefault="00790E9C" w:rsidP="008122FE">
      <w:pPr>
        <w:pStyle w:val="FootnoteText"/>
        <w:ind w:left="567" w:hanging="567"/>
        <w:rPr>
          <w:sz w:val="24"/>
          <w:lang w:val="mt-MT"/>
        </w:rPr>
      </w:pPr>
      <w:r w:rsidRPr="008122FE">
        <w:rPr>
          <w:rStyle w:val="FootnoteReference"/>
          <w:sz w:val="24"/>
          <w:lang w:val="mt-MT"/>
        </w:rPr>
        <w:footnoteRef/>
      </w:r>
      <w:r w:rsidR="008122FE" w:rsidRPr="008122FE">
        <w:rPr>
          <w:sz w:val="24"/>
          <w:lang w:val="mt-MT"/>
        </w:rPr>
        <w:t xml:space="preserve"> </w:t>
      </w:r>
      <w:r w:rsidR="008122FE" w:rsidRPr="008122FE">
        <w:rPr>
          <w:sz w:val="24"/>
          <w:lang w:val="mt-MT"/>
        </w:rPr>
        <w:tab/>
      </w:r>
      <w:r w:rsidRPr="008122FE">
        <w:rPr>
          <w:sz w:val="24"/>
          <w:lang w:val="mt-MT"/>
        </w:rPr>
        <w:t xml:space="preserve">ĠU L 268, 18.10.2003, p. 1, ELI: </w:t>
      </w:r>
      <w:hyperlink r:id="rId2" w:tooltip="Aċċess għad-dokument permezz tal-URI tal-ELI." w:history="1">
        <w:r w:rsidRPr="008122FE">
          <w:rPr>
            <w:rStyle w:val="Hyperlink"/>
            <w:color w:val="337AB7"/>
            <w:sz w:val="24"/>
            <w:shd w:val="clear" w:color="auto" w:fill="FFFFFF"/>
            <w:lang w:val="mt-MT"/>
          </w:rPr>
          <w:t>http://data.europa.eu/eli/reg/2003/1829/oj?locale=mt</w:t>
        </w:r>
      </w:hyperlink>
      <w:r w:rsidRPr="008122FE">
        <w:rPr>
          <w:sz w:val="24"/>
          <w:lang w:val="mt-MT"/>
        </w:rPr>
        <w:t>.</w:t>
      </w:r>
    </w:p>
  </w:footnote>
  <w:footnote w:id="3">
    <w:p w:rsidR="00790E9C" w:rsidRPr="008122FE" w:rsidRDefault="00790E9C" w:rsidP="008122FE">
      <w:pPr>
        <w:pStyle w:val="FootnoteText"/>
        <w:ind w:left="567" w:hanging="567"/>
        <w:rPr>
          <w:sz w:val="24"/>
          <w:lang w:val="mt-MT"/>
        </w:rPr>
      </w:pPr>
      <w:r w:rsidRPr="008122FE">
        <w:rPr>
          <w:rStyle w:val="FootnoteReference"/>
          <w:sz w:val="24"/>
          <w:lang w:val="mt-MT"/>
        </w:rPr>
        <w:footnoteRef/>
      </w:r>
      <w:r w:rsidR="008122FE" w:rsidRPr="008122FE">
        <w:rPr>
          <w:sz w:val="24"/>
          <w:lang w:val="mt-MT"/>
        </w:rPr>
        <w:t xml:space="preserve"> </w:t>
      </w:r>
      <w:r w:rsidR="008122FE" w:rsidRPr="008122FE">
        <w:rPr>
          <w:sz w:val="24"/>
          <w:lang w:val="mt-MT"/>
        </w:rPr>
        <w:tab/>
      </w:r>
      <w:r w:rsidRPr="008122FE">
        <w:rPr>
          <w:sz w:val="24"/>
          <w:lang w:val="mt-MT"/>
        </w:rPr>
        <w:t xml:space="preserve">ĠU L 55, 28.2.2011, p. 13, ELI: </w:t>
      </w:r>
      <w:hyperlink r:id="rId3" w:tooltip="Aċċess għad-dokument permezz tal-URI tal-ELI." w:history="1">
        <w:r w:rsidRPr="008122FE">
          <w:rPr>
            <w:rStyle w:val="Hyperlink"/>
            <w:color w:val="337AB7"/>
            <w:sz w:val="24"/>
            <w:shd w:val="clear" w:color="auto" w:fill="FFFFFF"/>
            <w:lang w:val="mt-MT"/>
          </w:rPr>
          <w:t>http://data.europa.eu/eli/reg/2011/182/oj?locale=mt</w:t>
        </w:r>
      </w:hyperlink>
      <w:r w:rsidRPr="008122FE">
        <w:rPr>
          <w:sz w:val="24"/>
          <w:lang w:val="mt-MT"/>
        </w:rPr>
        <w:t>.</w:t>
      </w:r>
    </w:p>
  </w:footnote>
  <w:footnote w:id="4">
    <w:p w:rsidR="00790E9C" w:rsidRPr="008122FE" w:rsidRDefault="00790E9C" w:rsidP="008122FE">
      <w:pPr>
        <w:pStyle w:val="FootnoteText"/>
        <w:ind w:left="567" w:hanging="567"/>
        <w:rPr>
          <w:sz w:val="24"/>
          <w:lang w:val="mt-MT"/>
        </w:rPr>
      </w:pPr>
      <w:r w:rsidRPr="008122FE">
        <w:rPr>
          <w:rStyle w:val="FootnoteReference"/>
          <w:sz w:val="24"/>
          <w:lang w:val="mt-MT"/>
        </w:rPr>
        <w:footnoteRef/>
      </w:r>
      <w:r w:rsidR="008122FE" w:rsidRPr="008122FE">
        <w:rPr>
          <w:sz w:val="24"/>
          <w:lang w:val="mt-MT"/>
        </w:rPr>
        <w:t xml:space="preserve"> </w:t>
      </w:r>
      <w:r w:rsidR="008122FE" w:rsidRPr="008122FE">
        <w:rPr>
          <w:sz w:val="24"/>
          <w:lang w:val="mt-MT"/>
        </w:rPr>
        <w:tab/>
      </w:r>
      <w:r w:rsidRPr="008122FE">
        <w:rPr>
          <w:sz w:val="24"/>
          <w:lang w:val="mt-MT"/>
        </w:rPr>
        <w:t xml:space="preserve">Bord tal-EFSA dwar Organiżmi Ġenetikament Modifikati – Opinjoni xjentifika dwar il-valutazzjoni tal-qamħirrum ġenetikament modifikat MON 810 għat-tiġdid tal-awtorizzazzjoni fl-ambitu tar-Regolament (KE) Nru 1829/2003 (id-dossier GMFF-2022-9450), EFSA Journal, 2024;22(1):8489, </w:t>
      </w:r>
      <w:hyperlink r:id="rId4" w:history="1">
        <w:r w:rsidRPr="008122FE">
          <w:rPr>
            <w:rStyle w:val="Hyperlink"/>
            <w:sz w:val="24"/>
            <w:lang w:val="mt-MT"/>
          </w:rPr>
          <w:t>https://doi.org/10.2903/j.efsa.2024.8489</w:t>
        </w:r>
      </w:hyperlink>
      <w:r w:rsidRPr="008122FE">
        <w:rPr>
          <w:sz w:val="24"/>
          <w:lang w:val="mt-MT"/>
        </w:rPr>
        <w:t>.</w:t>
      </w:r>
    </w:p>
  </w:footnote>
  <w:footnote w:id="5">
    <w:p w:rsidR="00790E9C" w:rsidRPr="008122FE" w:rsidRDefault="00790E9C" w:rsidP="008122FE">
      <w:pPr>
        <w:pStyle w:val="FootnoteText"/>
        <w:ind w:left="567" w:hanging="567"/>
        <w:rPr>
          <w:sz w:val="24"/>
          <w:lang w:val="mt-MT"/>
        </w:rPr>
      </w:pPr>
      <w:r w:rsidRPr="008122FE">
        <w:rPr>
          <w:rStyle w:val="FootnoteReference"/>
          <w:sz w:val="24"/>
          <w:lang w:val="mt-MT"/>
        </w:rPr>
        <w:footnoteRef/>
      </w:r>
      <w:r w:rsidR="008122FE" w:rsidRPr="008122FE">
        <w:rPr>
          <w:color w:val="000000" w:themeColor="text1"/>
          <w:sz w:val="24"/>
          <w:lang w:val="mt-MT"/>
        </w:rPr>
        <w:t xml:space="preserve"> </w:t>
      </w:r>
      <w:r w:rsidR="008122FE" w:rsidRPr="008122FE">
        <w:rPr>
          <w:color w:val="000000" w:themeColor="text1"/>
          <w:sz w:val="24"/>
          <w:lang w:val="mt-MT"/>
        </w:rPr>
        <w:tab/>
      </w:r>
      <w:r w:rsidRPr="008122FE">
        <w:rPr>
          <w:color w:val="000000" w:themeColor="text1"/>
          <w:sz w:val="24"/>
          <w:lang w:val="mt-MT"/>
        </w:rPr>
        <w:t xml:space="preserve">Fit-tmien leġiżlatura tiegħu, il-Parlament adotta 36 riżoluzzjoni u, fid-disa’ leġiżlatura tiegħu, il-Parlament adotta 38 riżoluzzjoni li joġġezzjonaw għall-awtorizzazzjoni tal-OĠM. </w:t>
      </w:r>
    </w:p>
  </w:footnote>
  <w:footnote w:id="6">
    <w:p w:rsidR="00790E9C" w:rsidRPr="008122FE" w:rsidRDefault="00790E9C" w:rsidP="008122FE">
      <w:pPr>
        <w:pStyle w:val="FootnoteText"/>
        <w:ind w:left="567" w:hanging="567"/>
        <w:rPr>
          <w:sz w:val="24"/>
          <w:lang w:val="mt-MT"/>
        </w:rPr>
      </w:pPr>
      <w:r w:rsidRPr="008122FE">
        <w:rPr>
          <w:rStyle w:val="FootnoteReference"/>
          <w:sz w:val="24"/>
          <w:lang w:val="mt-MT"/>
        </w:rPr>
        <w:footnoteRef/>
      </w:r>
      <w:r w:rsidR="008122FE" w:rsidRPr="008122FE">
        <w:rPr>
          <w:sz w:val="24"/>
          <w:lang w:val="mt-MT"/>
        </w:rPr>
        <w:t xml:space="preserve"> </w:t>
      </w:r>
      <w:r w:rsidR="008122FE" w:rsidRPr="008122FE">
        <w:rPr>
          <w:sz w:val="24"/>
          <w:lang w:val="mt-MT"/>
        </w:rPr>
        <w:tab/>
      </w:r>
      <w:r w:rsidRPr="008122FE">
        <w:rPr>
          <w:sz w:val="24"/>
          <w:lang w:val="mt-MT"/>
        </w:rPr>
        <w:t xml:space="preserve">Id-Deċiżjoni ta’ Implimentazzjoni tal-Kummissjoni 2013/649/UE tas-6 ta’ Novembru 2013 li tawtorizza t-tqegħid fis-suq ta’ polline prodott mill-qamħirrum MON 810 (MON-ØØ81Ø-6) skont ir-Regolament (KE) Nru 1829/2003 tal-Parlament Ewropew u tal-Kunsill (ĠU L 302, 13.11.2013, p. 44, ELI: </w:t>
      </w:r>
      <w:hyperlink r:id="rId5" w:tooltip="Aċċess għad-dokument permezz tal-URI tal-ELI." w:history="1">
        <w:r w:rsidRPr="008122FE">
          <w:rPr>
            <w:rStyle w:val="Hyperlink"/>
            <w:color w:val="337AB7"/>
            <w:sz w:val="24"/>
            <w:shd w:val="clear" w:color="auto" w:fill="FFFFFF"/>
            <w:lang w:val="mt-MT"/>
          </w:rPr>
          <w:t>http://data.europa.eu/eli/dec_impl/2013/649/oj?locale=mt</w:t>
        </w:r>
      </w:hyperlink>
      <w:r w:rsidRPr="008122FE">
        <w:rPr>
          <w:sz w:val="24"/>
          <w:lang w:val="mt-MT"/>
        </w:rPr>
        <w:t>).</w:t>
      </w:r>
    </w:p>
  </w:footnote>
  <w:footnote w:id="7">
    <w:p w:rsidR="00790E9C" w:rsidRPr="008122FE" w:rsidRDefault="00790E9C" w:rsidP="008122FE">
      <w:pPr>
        <w:pStyle w:val="FootnoteText"/>
        <w:ind w:left="567" w:hanging="567"/>
        <w:rPr>
          <w:sz w:val="24"/>
          <w:lang w:val="mt-MT"/>
        </w:rPr>
      </w:pPr>
      <w:r w:rsidRPr="008122FE">
        <w:rPr>
          <w:rStyle w:val="FootnoteReference"/>
          <w:sz w:val="24"/>
          <w:lang w:val="mt-MT"/>
        </w:rPr>
        <w:footnoteRef/>
      </w:r>
      <w:r w:rsidR="008122FE" w:rsidRPr="008122FE">
        <w:rPr>
          <w:sz w:val="24"/>
          <w:lang w:val="mt-MT"/>
        </w:rPr>
        <w:t xml:space="preserve"> </w:t>
      </w:r>
      <w:r w:rsidR="008122FE" w:rsidRPr="008122FE">
        <w:rPr>
          <w:sz w:val="24"/>
          <w:lang w:val="mt-MT"/>
        </w:rPr>
        <w:tab/>
      </w:r>
      <w:r w:rsidRPr="008122FE">
        <w:rPr>
          <w:sz w:val="24"/>
          <w:lang w:val="mt-MT"/>
        </w:rPr>
        <w:t xml:space="preserve">Id-Deċiżjoni ta’ Implimentazzjoni tal-Kummissjoni (UE) 2017/1207 tal-4 ta’ Lulju 2017 li ġġedded l-awtorizzazzjoni għat-tqegħid fis-suq ta’ prodotti tal-qamħirrum ġenetikament modifikat MON 810 (MON-ØØ81Ø-6) skont ir-Regolament (KE) Nru 1829/2003 tal-Parlament Ewropew u tal-Kunsill (ĠU L 173, 6.7.2017, p. 18, ELI: </w:t>
      </w:r>
      <w:hyperlink r:id="rId6" w:tooltip="Aċċess għad-dokument permezz tal-URI tal-ELI." w:history="1">
        <w:r w:rsidRPr="008122FE">
          <w:rPr>
            <w:rStyle w:val="Hyperlink"/>
            <w:color w:val="337AB7"/>
            <w:sz w:val="24"/>
            <w:shd w:val="clear" w:color="auto" w:fill="FFFFFF"/>
            <w:lang w:val="mt-MT"/>
          </w:rPr>
          <w:t>http://data.europa.eu/eli/dec_impl/2017/1207/oj?locale=mt</w:t>
        </w:r>
      </w:hyperlink>
      <w:r w:rsidRPr="008122FE">
        <w:rPr>
          <w:sz w:val="24"/>
          <w:lang w:val="mt-MT"/>
        </w:rPr>
        <w:t>).</w:t>
      </w:r>
    </w:p>
  </w:footnote>
  <w:footnote w:id="8">
    <w:p w:rsidR="00790E9C" w:rsidRPr="008122FE" w:rsidRDefault="00790E9C" w:rsidP="008122FE">
      <w:pPr>
        <w:pStyle w:val="FootnoteText"/>
        <w:ind w:left="567" w:hanging="567"/>
        <w:rPr>
          <w:sz w:val="24"/>
          <w:lang w:val="mt-MT"/>
        </w:rPr>
      </w:pPr>
      <w:r w:rsidRPr="008122FE">
        <w:rPr>
          <w:rStyle w:val="FootnoteReference"/>
          <w:sz w:val="24"/>
          <w:lang w:val="mt-MT"/>
        </w:rPr>
        <w:footnoteRef/>
      </w:r>
      <w:r w:rsidR="008122FE" w:rsidRPr="008122FE">
        <w:rPr>
          <w:sz w:val="24"/>
          <w:lang w:val="mt-MT"/>
        </w:rPr>
        <w:t xml:space="preserve"> </w:t>
      </w:r>
      <w:r w:rsidR="008122FE" w:rsidRPr="008122FE">
        <w:rPr>
          <w:sz w:val="24"/>
          <w:lang w:val="mt-MT"/>
        </w:rPr>
        <w:tab/>
      </w:r>
      <w:r w:rsidRPr="008122FE">
        <w:rPr>
          <w:sz w:val="24"/>
          <w:lang w:val="mt-MT"/>
        </w:rPr>
        <w:t xml:space="preserve">Għal rieżami, ara Rubio-Infante, N., Moreno-Fierros, L., “An overview of the safety and biological effects of </w:t>
      </w:r>
      <w:r w:rsidRPr="008122FE">
        <w:rPr>
          <w:i/>
          <w:sz w:val="24"/>
          <w:lang w:val="mt-MT"/>
        </w:rPr>
        <w:t>Bacillus thuringiensis</w:t>
      </w:r>
      <w:r w:rsidRPr="008122FE">
        <w:rPr>
          <w:sz w:val="24"/>
          <w:lang w:val="mt-MT"/>
        </w:rPr>
        <w:t xml:space="preserve"> Cry toxins in mammals”, Journal of Applied Toxicology, Mejju 2016, 36,5, pp. 630-648, </w:t>
      </w:r>
      <w:hyperlink r:id="rId7" w:history="1">
        <w:r w:rsidRPr="008122FE">
          <w:rPr>
            <w:rStyle w:val="Hyperlink"/>
            <w:sz w:val="24"/>
            <w:lang w:val="mt-MT"/>
          </w:rPr>
          <w:t>https://onlinelibrary.wiley.com/doi/full/10.1002/jat.3252</w:t>
        </w:r>
      </w:hyperlink>
      <w:r w:rsidRPr="008122FE">
        <w:rPr>
          <w:rStyle w:val="Hyperlink"/>
          <w:sz w:val="24"/>
          <w:lang w:val="mt-MT"/>
        </w:rPr>
        <w:t>.</w:t>
      </w:r>
    </w:p>
  </w:footnote>
  <w:footnote w:id="9">
    <w:p w:rsidR="00790E9C" w:rsidRPr="008122FE" w:rsidRDefault="00790E9C" w:rsidP="008122FE">
      <w:pPr>
        <w:pStyle w:val="FootnoteText"/>
        <w:ind w:left="567" w:hanging="567"/>
        <w:rPr>
          <w:sz w:val="24"/>
          <w:lang w:val="mt-MT"/>
        </w:rPr>
      </w:pPr>
      <w:r w:rsidRPr="008122FE">
        <w:rPr>
          <w:rStyle w:val="FootnoteReference"/>
          <w:sz w:val="24"/>
          <w:lang w:val="mt-MT"/>
        </w:rPr>
        <w:footnoteRef/>
      </w:r>
      <w:r w:rsidR="008122FE" w:rsidRPr="008122FE">
        <w:rPr>
          <w:sz w:val="24"/>
          <w:lang w:val="mt-MT"/>
        </w:rPr>
        <w:t xml:space="preserve"> </w:t>
      </w:r>
      <w:r w:rsidR="008122FE" w:rsidRPr="008122FE">
        <w:rPr>
          <w:sz w:val="24"/>
          <w:lang w:val="mt-MT"/>
        </w:rPr>
        <w:tab/>
      </w:r>
      <w:r w:rsidRPr="008122FE">
        <w:rPr>
          <w:sz w:val="24"/>
          <w:lang w:val="mt-MT"/>
        </w:rPr>
        <w:t xml:space="preserve">Hilbeck, A., Defarge, N., Lebrecht, T., Bøhn, T., “Insecticidal Bt crops. EFSA’s risk assessment approach for GM Bt plants fails by design”, RAGES 2020, p. 4, </w:t>
      </w:r>
      <w:hyperlink r:id="rId8" w:history="1">
        <w:r w:rsidRPr="008122FE">
          <w:rPr>
            <w:rStyle w:val="Hyperlink"/>
            <w:sz w:val="24"/>
            <w:lang w:val="mt-MT"/>
          </w:rPr>
          <w:t>https://www.testbiotech.org/wp-content/uploads/2023/12/RAGES_report-Insecticidal-Bt-plants.pdf</w:t>
        </w:r>
      </w:hyperlink>
      <w:r w:rsidRPr="008122FE">
        <w:rPr>
          <w:rStyle w:val="Hyperlink"/>
          <w:sz w:val="24"/>
          <w:lang w:val="mt-MT"/>
        </w:rPr>
        <w:t xml:space="preserve">; </w:t>
      </w:r>
      <w:r w:rsidRPr="008122FE">
        <w:rPr>
          <w:sz w:val="24"/>
          <w:lang w:val="mt-MT"/>
        </w:rPr>
        <w:t xml:space="preserve">Ara, pereżempju, Hilbeck, A., Otto, M., “Specificity and Combinatorial Effects of </w:t>
      </w:r>
      <w:r w:rsidRPr="008122FE">
        <w:rPr>
          <w:i/>
          <w:sz w:val="24"/>
          <w:lang w:val="mt-MT"/>
        </w:rPr>
        <w:t>Bacillus thuringiensis</w:t>
      </w:r>
      <w:r w:rsidRPr="008122FE">
        <w:rPr>
          <w:sz w:val="24"/>
          <w:lang w:val="mt-MT"/>
        </w:rPr>
        <w:t xml:space="preserve"> Cry Toxins in the Context of GMO Environmental Risk Assessment”, Frontiers in Environmental Science 2015, 3:71, </w:t>
      </w:r>
      <w:hyperlink r:id="rId9" w:history="1">
        <w:r w:rsidRPr="008122FE">
          <w:rPr>
            <w:rStyle w:val="Hyperlink"/>
            <w:sz w:val="24"/>
            <w:lang w:val="mt-MT"/>
          </w:rPr>
          <w:t>https://doi.org/10.3389/fenvs.2015.00071</w:t>
        </w:r>
      </w:hyperlink>
      <w:r w:rsidRPr="008122FE">
        <w:rPr>
          <w:sz w:val="24"/>
          <w:lang w:val="mt-MT"/>
        </w:rPr>
        <w:t>.</w:t>
      </w:r>
    </w:p>
  </w:footnote>
  <w:footnote w:id="10">
    <w:p w:rsidR="00790E9C" w:rsidRPr="008122FE" w:rsidRDefault="00790E9C" w:rsidP="008122FE">
      <w:pPr>
        <w:pStyle w:val="FootnoteText"/>
        <w:ind w:left="567" w:hanging="567"/>
        <w:rPr>
          <w:sz w:val="24"/>
          <w:lang w:val="mt-MT"/>
        </w:rPr>
      </w:pPr>
      <w:r w:rsidRPr="008122FE">
        <w:rPr>
          <w:rStyle w:val="FootnoteReference"/>
          <w:sz w:val="24"/>
          <w:lang w:val="mt-MT"/>
        </w:rPr>
        <w:footnoteRef/>
      </w:r>
      <w:r w:rsidR="008122FE" w:rsidRPr="008122FE">
        <w:rPr>
          <w:sz w:val="24"/>
          <w:lang w:val="mt-MT"/>
        </w:rPr>
        <w:t xml:space="preserve"> </w:t>
      </w:r>
      <w:r w:rsidR="008122FE" w:rsidRPr="008122FE">
        <w:rPr>
          <w:sz w:val="24"/>
          <w:lang w:val="mt-MT"/>
        </w:rPr>
        <w:tab/>
      </w:r>
      <w:hyperlink r:id="rId10" w:history="1">
        <w:r w:rsidRPr="008122FE">
          <w:rPr>
            <w:rStyle w:val="Hyperlink"/>
            <w:sz w:val="24"/>
            <w:lang w:val="mt-MT"/>
          </w:rPr>
          <w:t>https://efsa.onlinelibrary.wiley.com/action/downloadSupplement?doi=10.2903%‌2Fj.efsa.2024.8489&amp;file=efs28489-sup-0008-Annex_8.pdf</w:t>
        </w:r>
      </w:hyperlink>
      <w:r w:rsidRPr="008122FE">
        <w:rPr>
          <w:rStyle w:val="Hyperlink"/>
          <w:sz w:val="24"/>
          <w:lang w:val="mt-MT"/>
        </w:rPr>
        <w:t>.</w:t>
      </w:r>
    </w:p>
  </w:footnote>
  <w:footnote w:id="11">
    <w:p w:rsidR="00790E9C" w:rsidRPr="008122FE" w:rsidRDefault="00790E9C" w:rsidP="008122FE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8122FE">
        <w:rPr>
          <w:rStyle w:val="FootnoteReference"/>
          <w:sz w:val="24"/>
          <w:lang w:val="mt-MT"/>
        </w:rPr>
        <w:footnoteRef/>
      </w:r>
      <w:r w:rsidR="008122FE" w:rsidRPr="008122FE">
        <w:rPr>
          <w:sz w:val="24"/>
          <w:lang w:val="mt-MT"/>
        </w:rPr>
        <w:t xml:space="preserve"> </w:t>
      </w:r>
      <w:r w:rsidR="008122FE" w:rsidRPr="008122FE">
        <w:rPr>
          <w:sz w:val="24"/>
          <w:lang w:val="mt-MT"/>
        </w:rPr>
        <w:tab/>
      </w:r>
      <w:hyperlink r:id="rId11" w:history="1">
        <w:r w:rsidRPr="008122FE">
          <w:rPr>
            <w:rStyle w:val="Hyperlink"/>
            <w:sz w:val="24"/>
            <w:lang w:val="mt-MT"/>
          </w:rPr>
          <w:t>https://commission.europa.eu/document/2c64e540-c07a-4376-a1da-368d289f4afe_en</w:t>
        </w:r>
      </w:hyperlink>
    </w:p>
    <w:p w:rsidR="00790E9C" w:rsidRPr="008122FE" w:rsidRDefault="008122FE" w:rsidP="008122FE">
      <w:pPr>
        <w:pStyle w:val="FootnoteText"/>
        <w:ind w:left="567" w:hanging="567"/>
        <w:rPr>
          <w:sz w:val="24"/>
          <w:lang w:val="mt-MT"/>
        </w:rPr>
      </w:pPr>
      <w:r w:rsidRPr="008122FE">
        <w:rPr>
          <w:sz w:val="24"/>
          <w:lang w:val="mt-MT"/>
        </w:rPr>
        <w:t xml:space="preserve"> </w:t>
      </w:r>
      <w:r w:rsidRPr="008122FE">
        <w:rPr>
          <w:sz w:val="24"/>
          <w:lang w:val="mt-MT"/>
        </w:rPr>
        <w:tab/>
      </w:r>
    </w:p>
  </w:footnote>
  <w:footnote w:id="12">
    <w:p w:rsidR="00790E9C" w:rsidRPr="008122FE" w:rsidRDefault="00790E9C" w:rsidP="008122FE">
      <w:pPr>
        <w:pStyle w:val="FootnoteText"/>
        <w:ind w:left="567" w:hanging="567"/>
        <w:rPr>
          <w:sz w:val="24"/>
          <w:lang w:val="mt-MT"/>
        </w:rPr>
      </w:pPr>
      <w:r w:rsidRPr="008122FE">
        <w:rPr>
          <w:rStyle w:val="FootnoteReference"/>
          <w:sz w:val="24"/>
          <w:lang w:val="mt-MT"/>
        </w:rPr>
        <w:footnoteRef/>
      </w:r>
      <w:r w:rsidR="008122FE" w:rsidRPr="008122FE">
        <w:rPr>
          <w:sz w:val="24"/>
          <w:lang w:val="mt-MT"/>
        </w:rPr>
        <w:t xml:space="preserve"> </w:t>
      </w:r>
      <w:r w:rsidR="008122FE" w:rsidRPr="008122FE">
        <w:rPr>
          <w:sz w:val="24"/>
          <w:lang w:val="mt-MT"/>
        </w:rPr>
        <w:tab/>
      </w:r>
      <w:r w:rsidRPr="008122FE">
        <w:rPr>
          <w:sz w:val="24"/>
          <w:lang w:val="mt-MT"/>
        </w:rPr>
        <w:t>Il-Kummissjoni “tista’”, u mhux “għandha”, tmexxi bl-awtorizzazzjoni jekk ma jkun hemm l-ebda maġġoranza kwalifikata ta’ Stati Membri favur fil-Kumitat ta’ Appell, skont l-Artikolu 6(3) tar-Regolament (UE) Nru 182/2011.</w:t>
      </w:r>
    </w:p>
  </w:footnote>
  <w:footnote w:id="13">
    <w:p w:rsidR="00790E9C" w:rsidRPr="008122FE" w:rsidRDefault="00790E9C" w:rsidP="008122FE">
      <w:pPr>
        <w:pStyle w:val="FootnoteText"/>
        <w:ind w:left="567" w:hanging="567"/>
        <w:rPr>
          <w:sz w:val="24"/>
          <w:lang w:val="mt-MT"/>
        </w:rPr>
      </w:pPr>
      <w:r w:rsidRPr="008122FE">
        <w:rPr>
          <w:rStyle w:val="FootnoteReference"/>
          <w:sz w:val="24"/>
          <w:lang w:val="mt-MT"/>
        </w:rPr>
        <w:footnoteRef/>
      </w:r>
      <w:r w:rsidR="008122FE" w:rsidRPr="008122FE">
        <w:rPr>
          <w:sz w:val="24"/>
          <w:lang w:val="mt-MT"/>
        </w:rPr>
        <w:t xml:space="preserve"> </w:t>
      </w:r>
      <w:r w:rsidR="008122FE" w:rsidRPr="008122FE">
        <w:rPr>
          <w:sz w:val="24"/>
          <w:lang w:val="mt-MT"/>
        </w:rPr>
        <w:tab/>
      </w:r>
      <w:r w:rsidRPr="008122FE">
        <w:rPr>
          <w:sz w:val="24"/>
          <w:lang w:val="mt-MT"/>
        </w:rPr>
        <w:t xml:space="preserve">Ir-Regolament tal-Parlament Ewropew u tal-Kunsill (KE) Nru 178/2002 tat-28 ta’ Jannar 2002 li jistabbilixxi l-prinċipji ġenerali u l-ħtiġijiet tal-liġi dwar l-ikel, li jistabbilixxi l-Awtorità Ewropea dwar is-Sigurtà fl-Ikel u jistabbilixxi l-proċeduri fi kwistjonijiet ta’ sigurtà tal-ikel (ĠU L 31, 1.2.2002, p. 1, ELI: </w:t>
      </w:r>
      <w:hyperlink r:id="rId12" w:tooltip="Aċċess għad-dokument permezz tal-URI tal-ELI." w:history="1">
        <w:r w:rsidRPr="008122FE">
          <w:rPr>
            <w:rStyle w:val="Hyperlink"/>
            <w:color w:val="337AB7"/>
            <w:sz w:val="24"/>
            <w:shd w:val="clear" w:color="auto" w:fill="FFFFFF"/>
            <w:lang w:val="mt-MT"/>
          </w:rPr>
          <w:t>http://data.europa.eu/eli/reg/2002/178/oj?locale=mt</w:t>
        </w:r>
      </w:hyperlink>
      <w:r w:rsidRPr="008122FE">
        <w:rPr>
          <w:sz w:val="24"/>
          <w:lang w:val="mt-MT"/>
        </w:rPr>
        <w:t>).</w:t>
      </w:r>
    </w:p>
  </w:footnote>
  <w:footnote w:id="14">
    <w:p w:rsidR="00790E9C" w:rsidRPr="008122FE" w:rsidRDefault="00790E9C" w:rsidP="008122FE">
      <w:pPr>
        <w:pStyle w:val="FootnoteText"/>
        <w:ind w:left="567" w:hanging="567"/>
        <w:rPr>
          <w:sz w:val="24"/>
          <w:lang w:val="mt-MT"/>
        </w:rPr>
      </w:pPr>
      <w:r w:rsidRPr="008122FE">
        <w:rPr>
          <w:rStyle w:val="FootnoteReference"/>
          <w:sz w:val="24"/>
          <w:lang w:val="mt-MT"/>
        </w:rPr>
        <w:footnoteRef/>
      </w:r>
      <w:r w:rsidR="008122FE" w:rsidRPr="008122FE">
        <w:rPr>
          <w:sz w:val="24"/>
          <w:lang w:val="mt-MT"/>
        </w:rPr>
        <w:t xml:space="preserve"> </w:t>
      </w:r>
      <w:r w:rsidR="008122FE" w:rsidRPr="008122FE">
        <w:rPr>
          <w:sz w:val="24"/>
          <w:lang w:val="mt-MT"/>
        </w:rPr>
        <w:tab/>
      </w:r>
      <w:hyperlink r:id="rId13" w:history="1">
        <w:r w:rsidRPr="008122FE">
          <w:rPr>
            <w:rStyle w:val="Hyperlink"/>
            <w:sz w:val="24"/>
            <w:lang w:val="mt-MT"/>
          </w:rPr>
          <w:t>https://tillymetz.lu/wp-content/uploads/2020/09/Co-signed-letter-MEP-Metz.pdf</w:t>
        </w:r>
      </w:hyperlink>
      <w:r w:rsidRPr="008122FE">
        <w:rPr>
          <w:rStyle w:val="Hyperlink"/>
          <w:sz w:val="24"/>
          <w:lang w:val="mt-MT"/>
        </w:rPr>
        <w:t>.</w:t>
      </w:r>
    </w:p>
  </w:footnote>
  <w:footnote w:id="15">
    <w:p w:rsidR="00790E9C" w:rsidRPr="008122FE" w:rsidRDefault="00790E9C" w:rsidP="008122FE">
      <w:pPr>
        <w:pStyle w:val="FootnoteText"/>
        <w:ind w:left="567" w:hanging="567"/>
        <w:rPr>
          <w:sz w:val="24"/>
          <w:lang w:val="mt-MT"/>
        </w:rPr>
      </w:pPr>
      <w:r w:rsidRPr="008122FE">
        <w:rPr>
          <w:rStyle w:val="FootnoteReference"/>
          <w:sz w:val="24"/>
          <w:lang w:val="mt-MT"/>
        </w:rPr>
        <w:footnoteRef/>
      </w:r>
      <w:r w:rsidR="008122FE" w:rsidRPr="008122FE">
        <w:rPr>
          <w:sz w:val="24"/>
          <w:lang w:val="mt-MT"/>
        </w:rPr>
        <w:t xml:space="preserve"> </w:t>
      </w:r>
      <w:r w:rsidR="008122FE" w:rsidRPr="008122FE">
        <w:rPr>
          <w:sz w:val="24"/>
          <w:lang w:val="mt-MT"/>
        </w:rPr>
        <w:tab/>
      </w:r>
      <w:r w:rsidRPr="008122FE">
        <w:rPr>
          <w:sz w:val="24"/>
          <w:lang w:val="mt-MT"/>
        </w:rPr>
        <w:t>Ir-riżoluzzjoni tal-Parlament Ewropew tal-15 ta’ Jannar 2020 dwar il-Patt Ekoloġiku Ewropew (ĠU C 270, 7.7.2021, p. 2), il-paragrafu 102.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22F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22F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22F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46/2024"/>
    <w:docVar w:name="dvlangue" w:val="MT"/>
    <w:docVar w:name="dvnumam" w:val="0"/>
    <w:docVar w:name="dvpe" w:val="763.280"/>
    <w:docVar w:name="dvtitre" w:val="Riżoluzzjoni tal-Parlament Ewropew tas-26 ta' Novembru 2024 dwar id-Deċiżjoni ta’ Implimentazzjoni tal-Kummissjoni (UE) 2024/1828 dwar it-tiġdid tal-awtorizzazzjoni għall-introduzzjoni fis-suq ta’ għalf li fih il-qamħirrum ġenetikament modifikat MON 810 u li jikkonsisti minnu, u ta’ prodotti tal-ikel u tal-għalf prodotti minn dak il-qamħirrum ġenetikament modifikat skont ir-Regolament (KE) Nru 1829/2003 tal-Parlament Ewropew u tal-Kunsill u li tħassar id-Deċiżjoni ta’ Implimentazzjoni tal-Kummissjoni (UE) 2017/1207(2024/2840(RSP))"/>
  </w:docVars>
  <w:rsids>
    <w:rsidRoot w:val="00E01A1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3F55"/>
    <w:rsid w:val="001F32AE"/>
    <w:rsid w:val="002767FF"/>
    <w:rsid w:val="002B18FE"/>
    <w:rsid w:val="002B5493"/>
    <w:rsid w:val="002D01E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662E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0E9C"/>
    <w:rsid w:val="007D1690"/>
    <w:rsid w:val="007E22AD"/>
    <w:rsid w:val="008122FE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62D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1A1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98842B"/>
  <w15:chartTrackingRefBased/>
  <w15:docId w15:val="{9839A8D3-E79F-410E-BB90-95C4E5761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90E9C"/>
    <w:pPr>
      <w:spacing w:before="480" w:after="240"/>
    </w:pPr>
  </w:style>
  <w:style w:type="paragraph" w:customStyle="1" w:styleId="NormalHanging12a">
    <w:name w:val="NormalHanging12a"/>
    <w:basedOn w:val="Normal"/>
    <w:rsid w:val="00790E9C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790E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stbiotech.org/wp-content/uploads/2023/12/RAGES_report-Insecticidal-Bt-plants.pdf" TargetMode="External"/><Relationship Id="rId13" Type="http://schemas.openxmlformats.org/officeDocument/2006/relationships/hyperlink" Target="https://tillymetz.lu/wp-content/uploads/2020/09/Co-signed-letter-MEP-Metz.pdf" TargetMode="External"/><Relationship Id="rId3" Type="http://schemas.openxmlformats.org/officeDocument/2006/relationships/hyperlink" Target="http://data.europa.eu/eli/reg/2011/182/oj?locale=mt" TargetMode="External"/><Relationship Id="rId7" Type="http://schemas.openxmlformats.org/officeDocument/2006/relationships/hyperlink" Target="https://onlinelibrary.wiley.com/doi/full/10.1002/jat.3252" TargetMode="External"/><Relationship Id="rId12" Type="http://schemas.openxmlformats.org/officeDocument/2006/relationships/hyperlink" Target="http://data.europa.eu/eli/reg/2002/178/oj?locale=mt" TargetMode="External"/><Relationship Id="rId2" Type="http://schemas.openxmlformats.org/officeDocument/2006/relationships/hyperlink" Target="http://data.europa.eu/eli/reg/2003/1829/oj?locale=mt" TargetMode="External"/><Relationship Id="rId1" Type="http://schemas.openxmlformats.org/officeDocument/2006/relationships/hyperlink" Target="http://data.europa.eu/eli/dec_impl/2024/1828/oj?locale=mt" TargetMode="External"/><Relationship Id="rId6" Type="http://schemas.openxmlformats.org/officeDocument/2006/relationships/hyperlink" Target="http://data.europa.eu/eli/dec_impl/2017/1207/oj?locale=mt" TargetMode="External"/><Relationship Id="rId11" Type="http://schemas.openxmlformats.org/officeDocument/2006/relationships/hyperlink" Target="https://commission.europa.eu/document/2c64e540-c07a-4376-a1da-368d289f4afe_en" TargetMode="External"/><Relationship Id="rId5" Type="http://schemas.openxmlformats.org/officeDocument/2006/relationships/hyperlink" Target="http://data.europa.eu/eli/dec_impl/2013/649/oj?locale=mt" TargetMode="External"/><Relationship Id="rId10" Type="http://schemas.openxmlformats.org/officeDocument/2006/relationships/hyperlink" Target="https://efsa.onlinelibrary.wiley.com/action/downloadSupplement?doi=10.2903/j.efsa.2024.8489&amp;file=efs28489-sup-0008-Annex_8.pdf" TargetMode="External"/><Relationship Id="rId4" Type="http://schemas.openxmlformats.org/officeDocument/2006/relationships/hyperlink" Target="https://doi.org/10.2903/j.efsa.2024.8489" TargetMode="External"/><Relationship Id="rId9" Type="http://schemas.openxmlformats.org/officeDocument/2006/relationships/hyperlink" Target="https://doi.org/10.3389/fenvs.2015.000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25F752-CCF6-4B88-9815-058F7F536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1167</Words>
  <Characters>8327</Characters>
  <Application>Microsoft Office Word</Application>
  <DocSecurity>0</DocSecurity>
  <Lines>69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2</cp:revision>
  <cp:lastPrinted>2004-11-19T15:42:00Z</cp:lastPrinted>
  <dcterms:created xsi:type="dcterms:W3CDTF">2024-12-17T09:52:00Z</dcterms:created>
  <dcterms:modified xsi:type="dcterms:W3CDTF">2024-12-17T09:52:00Z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P10_TA(2024)0041_</vt:lpwstr>
  </property>
  <property fmtid="{D5CDD505-2E9C-101B-9397-08002B2CF9AE}" pid="4" name="&lt;Type&gt;">
    <vt:lpwstr>RR</vt:lpwstr>
  </property>
</Properties>
</file>