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72B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72B4" w:rsidRDefault="00886C7B" w:rsidP="0010095E">
            <w:pPr>
              <w:pStyle w:val="EPName"/>
            </w:pPr>
            <w:r w:rsidRPr="00CB72B4">
              <w:t>Parlament Europejski</w:t>
            </w:r>
          </w:p>
          <w:p w:rsidR="00751A4A" w:rsidRPr="00CB72B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72B4">
              <w:t>2024</w:t>
            </w:r>
            <w:r w:rsidR="00817416" w:rsidRPr="00CB72B4">
              <w:t>-202</w:t>
            </w:r>
            <w:r w:rsidRPr="00CB72B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B72B4" w:rsidRDefault="00187494" w:rsidP="0010095E">
            <w:pPr>
              <w:pStyle w:val="EPLogo"/>
            </w:pPr>
            <w:r w:rsidRPr="00CB72B4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72B4" w:rsidRDefault="00D058B8" w:rsidP="004C5D52">
      <w:pPr>
        <w:pStyle w:val="LineTop"/>
      </w:pPr>
    </w:p>
    <w:p w:rsidR="00680577" w:rsidRPr="00CB72B4" w:rsidRDefault="00886C7B" w:rsidP="00680577">
      <w:pPr>
        <w:pStyle w:val="EPBodyTA1"/>
      </w:pPr>
      <w:r w:rsidRPr="00CB72B4">
        <w:t>TEKSTY PRZYJĘTE</w:t>
      </w:r>
    </w:p>
    <w:p w:rsidR="00D058B8" w:rsidRPr="00CB72B4" w:rsidRDefault="00D058B8" w:rsidP="00D058B8">
      <w:pPr>
        <w:pStyle w:val="LineBottom"/>
      </w:pPr>
    </w:p>
    <w:p w:rsidR="00886C7B" w:rsidRPr="00CB72B4" w:rsidRDefault="00886C7B" w:rsidP="00886C7B">
      <w:pPr>
        <w:pStyle w:val="ATHeading1"/>
      </w:pPr>
      <w:bookmarkStart w:id="0" w:name="TANumber"/>
      <w:r w:rsidRPr="00CB72B4">
        <w:t>P10_TA(2024)00</w:t>
      </w:r>
      <w:bookmarkEnd w:id="0"/>
      <w:r w:rsidR="0088204D">
        <w:t>41</w:t>
      </w:r>
    </w:p>
    <w:p w:rsidR="00886C7B" w:rsidRPr="00CB72B4" w:rsidRDefault="0088204D" w:rsidP="00886C7B">
      <w:pPr>
        <w:pStyle w:val="ATHeading2"/>
      </w:pPr>
      <w:bookmarkStart w:id="1" w:name="title"/>
      <w:r>
        <w:t>G</w:t>
      </w:r>
      <w:r w:rsidR="00886C7B" w:rsidRPr="00CB72B4">
        <w:t>enetycznie zmodyfikowana kukurydza MON</w:t>
      </w:r>
      <w:r>
        <w:t xml:space="preserve"> </w:t>
      </w:r>
      <w:r w:rsidR="00886C7B" w:rsidRPr="00CB72B4">
        <w:t>810</w:t>
      </w:r>
      <w:bookmarkEnd w:id="1"/>
    </w:p>
    <w:p w:rsidR="00886C7B" w:rsidRPr="00CB72B4" w:rsidRDefault="00886C7B" w:rsidP="00886C7B">
      <w:pPr>
        <w:rPr>
          <w:i/>
          <w:vanish/>
        </w:rPr>
      </w:pPr>
      <w:r w:rsidRPr="00CB72B4">
        <w:rPr>
          <w:i/>
        </w:rPr>
        <w:fldChar w:fldCharType="begin"/>
      </w:r>
      <w:r w:rsidRPr="00CB72B4">
        <w:rPr>
          <w:i/>
        </w:rPr>
        <w:instrText xml:space="preserve"> TC"(</w:instrText>
      </w:r>
      <w:bookmarkStart w:id="2" w:name="DocNumber"/>
      <w:r w:rsidRPr="00CB72B4">
        <w:rPr>
          <w:i/>
        </w:rPr>
        <w:instrText>B10-0146/2024</w:instrText>
      </w:r>
      <w:bookmarkEnd w:id="2"/>
      <w:r w:rsidRPr="00CB72B4">
        <w:rPr>
          <w:i/>
        </w:rPr>
        <w:instrText xml:space="preserve">)"\l3 \n&gt; \* MERGEFORMAT </w:instrText>
      </w:r>
      <w:r w:rsidRPr="00CB72B4">
        <w:rPr>
          <w:i/>
        </w:rPr>
        <w:fldChar w:fldCharType="end"/>
      </w:r>
    </w:p>
    <w:p w:rsidR="00886C7B" w:rsidRPr="00CB72B4" w:rsidRDefault="00886C7B" w:rsidP="00886C7B">
      <w:pPr>
        <w:rPr>
          <w:vanish/>
        </w:rPr>
      </w:pPr>
      <w:bookmarkStart w:id="3" w:name="PE"/>
      <w:r w:rsidRPr="00CB72B4">
        <w:rPr>
          <w:vanish/>
        </w:rPr>
        <w:t>PE763.280</w:t>
      </w:r>
      <w:bookmarkEnd w:id="3"/>
    </w:p>
    <w:p w:rsidR="00886C7B" w:rsidRPr="00CB72B4" w:rsidRDefault="00886C7B" w:rsidP="00886C7B">
      <w:pPr>
        <w:pStyle w:val="ATHeading3"/>
      </w:pPr>
      <w:bookmarkStart w:id="4" w:name="Sujet"/>
      <w:r w:rsidRPr="00CB72B4">
        <w:t xml:space="preserve">Rezolucja Parlamentu Europejskiego z dnia </w:t>
      </w:r>
      <w:r w:rsidR="0088204D">
        <w:t>26 listopada</w:t>
      </w:r>
      <w:r w:rsidRPr="00CB72B4">
        <w:t xml:space="preserve">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</w:t>
      </w:r>
      <w:bookmarkStart w:id="5" w:name="_GoBack"/>
      <w:bookmarkEnd w:id="5"/>
      <w:r w:rsidRPr="00CB72B4">
        <w:t xml:space="preserve">anych z tej kukurydzy, a także uchylającej decyzję wykonawczą Komisji (UE) 2017/1207 </w:t>
      </w:r>
      <w:bookmarkStart w:id="6" w:name="References"/>
      <w:bookmarkEnd w:id="4"/>
      <w:r w:rsidRPr="00CB72B4">
        <w:t>(2024/2840(RSP))</w:t>
      </w:r>
      <w:bookmarkEnd w:id="6"/>
    </w:p>
    <w:p w:rsidR="001C7518" w:rsidRPr="00CB72B4" w:rsidRDefault="001C7518" w:rsidP="001C7518">
      <w:pPr>
        <w:pStyle w:val="EPComma"/>
      </w:pPr>
      <w:bookmarkStart w:id="7" w:name="TextBodyBegin"/>
      <w:bookmarkEnd w:id="7"/>
      <w:r w:rsidRPr="00CB72B4">
        <w:rPr>
          <w:i/>
        </w:rPr>
        <w:t>Parlament Europejski</w:t>
      </w:r>
      <w:r w:rsidRPr="00CB72B4">
        <w:t>,</w:t>
      </w:r>
    </w:p>
    <w:p w:rsidR="001C7518" w:rsidRPr="00CB72B4" w:rsidRDefault="001C7518" w:rsidP="001C7518">
      <w:pPr>
        <w:pStyle w:val="NormalHanging12a"/>
      </w:pPr>
      <w:r w:rsidRPr="00CB72B4">
        <w:t>–</w:t>
      </w:r>
      <w:r w:rsidRPr="00CB72B4">
        <w:tab/>
        <w:t>uwzględniając decyzję wykonawczą Komisji (UE) 2024/1828 odnawiającą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uchylającą decyzję wykonawczą Komisji (UE) 2017/1207</w:t>
      </w:r>
      <w:r w:rsidRPr="00CB72B4">
        <w:rPr>
          <w:rStyle w:val="FootnoteReference"/>
        </w:rPr>
        <w:footnoteReference w:id="1"/>
      </w:r>
      <w:r w:rsidRPr="00CB72B4">
        <w:t>,</w:t>
      </w:r>
    </w:p>
    <w:p w:rsidR="001C7518" w:rsidRPr="00CB72B4" w:rsidRDefault="001C7518" w:rsidP="001C7518">
      <w:pPr>
        <w:pStyle w:val="NormalHanging12a"/>
      </w:pPr>
      <w:r w:rsidRPr="00CB72B4">
        <w:t>–</w:t>
      </w:r>
      <w:r w:rsidRPr="00CB72B4">
        <w:tab/>
        <w:t>uwzględniając rozporządzenie Parlamentu Europejskiego i Rady (WE) nr 1829/2003 z dnia 22 września 2003 r. w sprawie genetycznie zmodyfikowanej żywności i paszy</w:t>
      </w:r>
      <w:r w:rsidRPr="00CB72B4">
        <w:rPr>
          <w:rStyle w:val="FootnoteReference"/>
        </w:rPr>
        <w:footnoteReference w:id="2"/>
      </w:r>
      <w:r w:rsidRPr="00CB72B4">
        <w:t>, a w szczególności jego art. 11 ust. 3 i art. 23 ust. 3,</w:t>
      </w:r>
    </w:p>
    <w:p w:rsidR="001C7518" w:rsidRPr="00CB72B4" w:rsidRDefault="001C7518" w:rsidP="001C7518">
      <w:pPr>
        <w:pStyle w:val="NormalHanging12a"/>
      </w:pPr>
      <w:r w:rsidRPr="00CB72B4">
        <w:t>–</w:t>
      </w:r>
      <w:r w:rsidRPr="00CB72B4">
        <w:tab/>
        <w:t>uwzględniając głosowanie – bez wydania opinii – przeprowadzone 26 kwietnia 2024 r. przez Stały Komitet ds. Roślin, Zwierząt, Żywności i Pasz, o którym mowa w art. 35 rozporządzenia (WE) nr 1829/2003, oraz głosowanie komitetu odwoławczego 29 maja 2024 r., w wyniku którego również nie wydano opinii,</w:t>
      </w:r>
    </w:p>
    <w:p w:rsidR="001C7518" w:rsidRPr="00CB72B4" w:rsidRDefault="001C7518" w:rsidP="001C7518">
      <w:pPr>
        <w:pStyle w:val="NormalHanging12a"/>
      </w:pPr>
      <w:r w:rsidRPr="00CB72B4">
        <w:t>–</w:t>
      </w:r>
      <w:r w:rsidRPr="00CB72B4">
        <w:tab/>
        <w:t xml:space="preserve">uwzględniając art. 11 rozporządzenia Parlamentu Europejskiego i Rady (UE) nr 182/2011 z dnia 16 lutego 2011 r. ustanawiającego przepisy i zasady ogólne dotyczące trybu kontroli przez państwa członkowskie wykonywania uprawnień wykonawczych </w:t>
      </w:r>
      <w:proofErr w:type="gramStart"/>
      <w:r w:rsidRPr="00CB72B4">
        <w:t>przez</w:t>
      </w:r>
      <w:proofErr w:type="gramEnd"/>
      <w:r w:rsidRPr="00CB72B4">
        <w:t xml:space="preserve"> Komisję</w:t>
      </w:r>
      <w:r w:rsidRPr="00CB72B4">
        <w:rPr>
          <w:rStyle w:val="FootnoteReference"/>
        </w:rPr>
        <w:footnoteReference w:id="3"/>
      </w:r>
      <w:r w:rsidRPr="00CB72B4">
        <w:t>,</w:t>
      </w:r>
    </w:p>
    <w:p w:rsidR="001C7518" w:rsidRPr="00CB72B4" w:rsidRDefault="001C7518" w:rsidP="001C7518">
      <w:pPr>
        <w:pStyle w:val="NormalHanging12a"/>
      </w:pPr>
      <w:r w:rsidRPr="00CB72B4">
        <w:t>–</w:t>
      </w:r>
      <w:r w:rsidRPr="00CB72B4">
        <w:tab/>
        <w:t xml:space="preserve">uwzględniając opinię Europejskiego Urzędu ds. Bezpieczeństwa Żywności (EFSA) </w:t>
      </w:r>
      <w:r w:rsidRPr="00CB72B4">
        <w:lastRenderedPageBreak/>
        <w:t>z dnia 30 listopada 2023 r., opublikowaną 19 stycznia 2024 r.</w:t>
      </w:r>
      <w:r w:rsidRPr="00CB72B4">
        <w:rPr>
          <w:rStyle w:val="FootnoteReference"/>
        </w:rPr>
        <w:footnoteReference w:id="4"/>
      </w:r>
      <w:r w:rsidRPr="00CB72B4">
        <w:t>,</w:t>
      </w:r>
    </w:p>
    <w:p w:rsidR="001C7518" w:rsidRPr="00CB72B4" w:rsidRDefault="001C7518" w:rsidP="001C7518">
      <w:pPr>
        <w:pStyle w:val="NormalHanging12a"/>
        <w:rPr>
          <w:szCs w:val="24"/>
          <w:shd w:val="clear" w:color="auto" w:fill="FFFFFF"/>
        </w:rPr>
      </w:pPr>
      <w:r w:rsidRPr="00CB72B4">
        <w:t>–</w:t>
      </w:r>
      <w:r w:rsidRPr="00CB72B4">
        <w:tab/>
      </w:r>
      <w:r w:rsidRPr="00CB72B4">
        <w:rPr>
          <w:shd w:val="clear" w:color="auto" w:fill="FFFFFF"/>
        </w:rPr>
        <w:t>uwzględniając swoje wcześniejsze rezolucje zawierające sprzeciw wobec zatwierdzania organizmów zmodyfikowanych genetycznie (GMO)</w:t>
      </w:r>
      <w:r w:rsidRPr="00CB72B4">
        <w:rPr>
          <w:szCs w:val="24"/>
          <w:shd w:val="clear" w:color="auto" w:fill="FFFFFF"/>
          <w:vertAlign w:val="superscript"/>
        </w:rPr>
        <w:footnoteReference w:id="5"/>
      </w:r>
      <w:r w:rsidRPr="00CB72B4">
        <w:rPr>
          <w:shd w:val="clear" w:color="auto" w:fill="FFFFFF"/>
        </w:rPr>
        <w:t>,</w:t>
      </w:r>
    </w:p>
    <w:p w:rsidR="001C7518" w:rsidRPr="00CB72B4" w:rsidRDefault="001C7518" w:rsidP="001C7518">
      <w:pPr>
        <w:pStyle w:val="NormalHanging12a"/>
      </w:pPr>
      <w:r w:rsidRPr="00CB72B4">
        <w:t>–</w:t>
      </w:r>
      <w:r w:rsidRPr="00CB72B4">
        <w:tab/>
        <w:t>uwzględniając art. 115 ust. 2 i 3 Regulaminu,</w:t>
      </w:r>
    </w:p>
    <w:p w:rsidR="001C7518" w:rsidRPr="00CB72B4" w:rsidRDefault="001C7518" w:rsidP="001C7518">
      <w:pPr>
        <w:pStyle w:val="NormalHanging12a"/>
      </w:pPr>
      <w:r w:rsidRPr="00CB72B4">
        <w:t>–</w:t>
      </w:r>
      <w:r w:rsidRPr="00CB72B4">
        <w:tab/>
        <w:t>uwzględniając projekt rezolucji Komisji Ochrony Środowiska Naturalnego, Zdrowia Publicznego i Bezpieczeństwa Żywności,</w:t>
      </w:r>
    </w:p>
    <w:p w:rsidR="001C7518" w:rsidRPr="00CB72B4" w:rsidRDefault="001C7518" w:rsidP="001C7518">
      <w:pPr>
        <w:pStyle w:val="NormalHanging12a"/>
      </w:pPr>
      <w:r w:rsidRPr="00CB72B4">
        <w:t>A.</w:t>
      </w:r>
      <w:r w:rsidRPr="00CB72B4">
        <w:tab/>
        <w:t xml:space="preserve">mając na uwadze, że 6 października 2022 r. przedsiębiorstwo Bayer </w:t>
      </w:r>
      <w:proofErr w:type="spellStart"/>
      <w:r w:rsidRPr="00CB72B4">
        <w:t>Agriculture</w:t>
      </w:r>
      <w:proofErr w:type="spellEnd"/>
      <w:r w:rsidRPr="00CB72B4">
        <w:t xml:space="preserve"> BV z siedzibą w Belgii, zwróciło się do Komisji, w imieniu Bayer </w:t>
      </w:r>
      <w:proofErr w:type="spellStart"/>
      <w:r w:rsidRPr="00CB72B4">
        <w:t>CropScience</w:t>
      </w:r>
      <w:proofErr w:type="spellEnd"/>
      <w:r w:rsidRPr="00CB72B4">
        <w:t xml:space="preserve"> LP z siedzibą w Stanach Zjednoczonych, z wnioskiem o odnowienie decyzji wykonawczych Komisji 2013/649/UE</w:t>
      </w:r>
      <w:r w:rsidRPr="00CB72B4">
        <w:rPr>
          <w:rStyle w:val="FootnoteReference"/>
        </w:rPr>
        <w:footnoteReference w:id="6"/>
      </w:r>
      <w:r w:rsidRPr="00CB72B4">
        <w:t xml:space="preserve"> i (UE</w:t>
      </w:r>
      <w:proofErr w:type="gramStart"/>
      <w:r w:rsidRPr="00CB72B4">
        <w:t>) 2017/1207</w:t>
      </w:r>
      <w:r w:rsidRPr="00CB72B4">
        <w:rPr>
          <w:rStyle w:val="FootnoteReference"/>
        </w:rPr>
        <w:footnoteReference w:id="7"/>
      </w:r>
      <w:r w:rsidRPr="00CB72B4">
        <w:t>; mając</w:t>
      </w:r>
      <w:proofErr w:type="gramEnd"/>
      <w:r w:rsidRPr="00CB72B4">
        <w:t xml:space="preserve"> na uwadze, że zgodnie z art. 11 ust. 4 rozporządzenia (WE) nr 1829/2003 okres zatwierdzenia genetycznie zmodyfikowanego pyłku wyprodukowanego z genetycznie zmodyfikowanej kukurydzy MON 810 do zastosowań w żywności objętych decyzją wykonawczą 2013/649/UE został automatycznie przedłużony do czasu podjęcia decyzji w sprawie wniosku o odnowienie;</w:t>
      </w:r>
    </w:p>
    <w:p w:rsidR="001C7518" w:rsidRPr="00CB72B4" w:rsidRDefault="001C7518" w:rsidP="001C7518">
      <w:pPr>
        <w:pStyle w:val="NormalHanging12a"/>
      </w:pPr>
      <w:r w:rsidRPr="00CB72B4">
        <w:t>B.</w:t>
      </w:r>
      <w:r w:rsidRPr="00CB72B4">
        <w:tab/>
        <w:t xml:space="preserve">mając na uwadze, że 30 listopada 2023 r. EFSA wydał pozytywną opinię, którą opublikowano 19 stycznia 2024 r.; </w:t>
      </w:r>
    </w:p>
    <w:p w:rsidR="001C7518" w:rsidRPr="00CB72B4" w:rsidRDefault="001C7518" w:rsidP="001C7518">
      <w:pPr>
        <w:pStyle w:val="NormalHanging12a"/>
      </w:pPr>
      <w:r w:rsidRPr="00CB72B4">
        <w:t>C.</w:t>
      </w:r>
      <w:r w:rsidRPr="00CB72B4">
        <w:tab/>
      </w:r>
      <w:proofErr w:type="gramStart"/>
      <w:r w:rsidRPr="00CB72B4">
        <w:t>mając</w:t>
      </w:r>
      <w:proofErr w:type="gramEnd"/>
      <w:r w:rsidRPr="00CB72B4">
        <w:t xml:space="preserve"> na uwadze, że kukurydza zmodyfikowana genetycznie została zmodyfikowana tak, aby wytwarzała środki owadobójcze („toksyny </w:t>
      </w:r>
      <w:proofErr w:type="spellStart"/>
      <w:r w:rsidRPr="00CB72B4">
        <w:t>Bt</w:t>
      </w:r>
      <w:proofErr w:type="spellEnd"/>
      <w:r w:rsidRPr="00CB72B4">
        <w:t>”);</w:t>
      </w:r>
    </w:p>
    <w:p w:rsidR="001C7518" w:rsidRPr="00CB72B4" w:rsidRDefault="001C7518" w:rsidP="001C7518">
      <w:pPr>
        <w:pStyle w:val="NormalHanging12a"/>
        <w:rPr>
          <w:b/>
          <w:i/>
        </w:rPr>
      </w:pPr>
      <w:r w:rsidRPr="00CB72B4">
        <w:rPr>
          <w:b/>
          <w:i/>
        </w:rPr>
        <w:t xml:space="preserve">Nierozstrzygnięte kwestie dotyczące toksyn </w:t>
      </w:r>
      <w:proofErr w:type="spellStart"/>
      <w:r w:rsidRPr="00CB72B4">
        <w:rPr>
          <w:b/>
          <w:i/>
        </w:rPr>
        <w:t>Bt</w:t>
      </w:r>
      <w:proofErr w:type="spellEnd"/>
    </w:p>
    <w:p w:rsidR="001C7518" w:rsidRPr="00CB72B4" w:rsidRDefault="001C7518" w:rsidP="001C7518">
      <w:pPr>
        <w:pStyle w:val="NormalHanging12a"/>
      </w:pPr>
      <w:r w:rsidRPr="00CB72B4">
        <w:t>D.</w:t>
      </w:r>
      <w:r w:rsidRPr="00CB72B4">
        <w:tab/>
      </w:r>
      <w:proofErr w:type="gramStart"/>
      <w:r w:rsidRPr="00CB72B4">
        <w:t>mając</w:t>
      </w:r>
      <w:proofErr w:type="gramEnd"/>
      <w:r w:rsidRPr="00CB72B4">
        <w:t xml:space="preserve"> na uwadze, że w szeregu badań zaobserwowano, iż skutki uboczne powstałe w wyniku narażenia na toksyny </w:t>
      </w:r>
      <w:proofErr w:type="spellStart"/>
      <w:r w:rsidRPr="00CB72B4">
        <w:t>Bt</w:t>
      </w:r>
      <w:proofErr w:type="spellEnd"/>
      <w:r w:rsidRPr="00CB72B4">
        <w:t xml:space="preserve"> mogą wpływać na układ odpornościowy człowieka, </w:t>
      </w:r>
      <w:r w:rsidRPr="00CB72B4">
        <w:lastRenderedPageBreak/>
        <w:t xml:space="preserve">oraz zauważono, że niektóre toksyny </w:t>
      </w:r>
      <w:proofErr w:type="spellStart"/>
      <w:r w:rsidRPr="00CB72B4">
        <w:t>Bt</w:t>
      </w:r>
      <w:proofErr w:type="spellEnd"/>
      <w:r w:rsidRPr="00CB72B4">
        <w:t xml:space="preserve"> mogą wykazywać właściwości adiuwantów</w:t>
      </w:r>
      <w:r w:rsidRPr="00CB72B4">
        <w:rPr>
          <w:rStyle w:val="FootnoteReference"/>
        </w:rPr>
        <w:footnoteReference w:id="8"/>
      </w:r>
      <w:r w:rsidRPr="00CB72B4">
        <w:t>, co oznacza, że mogą nasilać alergenność innych białek, z którymi wchodzą w styczność;</w:t>
      </w:r>
    </w:p>
    <w:p w:rsidR="001C7518" w:rsidRPr="00CB72B4" w:rsidRDefault="001C7518" w:rsidP="001C7518">
      <w:pPr>
        <w:pStyle w:val="NormalHanging12a"/>
        <w:rPr>
          <w:b/>
          <w:i/>
        </w:rPr>
      </w:pPr>
      <w:r w:rsidRPr="00CB72B4">
        <w:rPr>
          <w:b/>
          <w:i/>
        </w:rPr>
        <w:t xml:space="preserve">Uprawy </w:t>
      </w:r>
      <w:proofErr w:type="spellStart"/>
      <w:r w:rsidRPr="00CB72B4">
        <w:rPr>
          <w:b/>
          <w:i/>
        </w:rPr>
        <w:t>Bt</w:t>
      </w:r>
      <w:proofErr w:type="spellEnd"/>
      <w:r w:rsidRPr="00CB72B4">
        <w:rPr>
          <w:b/>
          <w:i/>
        </w:rPr>
        <w:t>: wpływ na organizmy niebędące przedmiotem zwalczania</w:t>
      </w:r>
    </w:p>
    <w:p w:rsidR="001C7518" w:rsidRPr="00CB72B4" w:rsidRDefault="001C7518" w:rsidP="001C7518">
      <w:pPr>
        <w:pStyle w:val="NormalHanging12a"/>
        <w:rPr>
          <w:b/>
          <w:i/>
        </w:rPr>
      </w:pPr>
      <w:r w:rsidRPr="00CB72B4">
        <w:t>E.</w:t>
      </w:r>
      <w:r w:rsidRPr="00CB72B4">
        <w:tab/>
      </w:r>
      <w:proofErr w:type="gramStart"/>
      <w:r w:rsidRPr="00CB72B4">
        <w:t>mając</w:t>
      </w:r>
      <w:proofErr w:type="gramEnd"/>
      <w:r w:rsidRPr="00CB72B4">
        <w:t xml:space="preserve"> na uwadze, że w przeciwieństwie do środków owadobójczych, których stosowanie powoduje narażenie w czasie oprysku i przez ograniczony czas po oprysku, uprawa zmodyfikowanych genetycznie roślin </w:t>
      </w:r>
      <w:proofErr w:type="spellStart"/>
      <w:r w:rsidRPr="00CB72B4">
        <w:t>Bt</w:t>
      </w:r>
      <w:proofErr w:type="spellEnd"/>
      <w:r w:rsidRPr="00CB72B4">
        <w:t xml:space="preserve"> oznacza ciągłe narażenie organizmów zwalczanych i innych niż zwalczane na toksyny </w:t>
      </w:r>
      <w:proofErr w:type="spellStart"/>
      <w:r w:rsidRPr="00CB72B4">
        <w:t>Bt</w:t>
      </w:r>
      <w:proofErr w:type="spellEnd"/>
      <w:r w:rsidRPr="00CB72B4">
        <w:t>;</w:t>
      </w:r>
    </w:p>
    <w:p w:rsidR="001C7518" w:rsidRPr="00CB72B4" w:rsidRDefault="001C7518" w:rsidP="001C7518">
      <w:pPr>
        <w:pStyle w:val="NormalHanging12a"/>
      </w:pPr>
      <w:r w:rsidRPr="00CB72B4">
        <w:t>F.</w:t>
      </w:r>
      <w:r w:rsidRPr="00CB72B4">
        <w:tab/>
      </w:r>
      <w:proofErr w:type="gramStart"/>
      <w:r w:rsidRPr="00CB72B4">
        <w:t>mając</w:t>
      </w:r>
      <w:proofErr w:type="gramEnd"/>
      <w:r w:rsidRPr="00CB72B4">
        <w:t xml:space="preserve"> na uwadze, że nie można już uznawać za prawidłowe założenia, iż toksyny </w:t>
      </w:r>
      <w:proofErr w:type="spellStart"/>
      <w:r w:rsidRPr="00CB72B4">
        <w:t>Bt</w:t>
      </w:r>
      <w:proofErr w:type="spellEnd"/>
      <w:r w:rsidRPr="00CB72B4">
        <w:t xml:space="preserve"> wykazują jeden specyficzny dla danego celu zwalczania sposób działania, i nie można wykluczyć wpływu na organizmy inne niż zwalczane; mając na uwadze doniesienia o różnorodnych skutkach dotykających coraz większą liczbę organizmów innych niż zwalczane; mając na uwadze, że w niedawnym przeglądzie</w:t>
      </w:r>
      <w:r w:rsidRPr="00CB72B4">
        <w:rPr>
          <w:rStyle w:val="FootnoteReference"/>
        </w:rPr>
        <w:footnoteReference w:id="9"/>
      </w:r>
      <w:r w:rsidRPr="00CB72B4">
        <w:t xml:space="preserve"> wymieniono 39 recenzowanych publikacji, w których odnotowano istotny niekorzystny wpływ toksyn </w:t>
      </w:r>
      <w:proofErr w:type="spellStart"/>
      <w:r w:rsidRPr="00CB72B4">
        <w:t>Bt</w:t>
      </w:r>
      <w:proofErr w:type="spellEnd"/>
      <w:r w:rsidRPr="00CB72B4">
        <w:t xml:space="preserve"> na wiele gatunków „spoza obszaru działania”;</w:t>
      </w:r>
    </w:p>
    <w:p w:rsidR="001C7518" w:rsidRPr="00CB72B4" w:rsidRDefault="001C7518" w:rsidP="001C7518">
      <w:pPr>
        <w:pStyle w:val="NormalHanging12a"/>
        <w:rPr>
          <w:b/>
          <w:i/>
        </w:rPr>
      </w:pPr>
      <w:r w:rsidRPr="00CB72B4">
        <w:rPr>
          <w:b/>
          <w:i/>
        </w:rPr>
        <w:t>Uwagi państw członkowskich</w:t>
      </w:r>
    </w:p>
    <w:p w:rsidR="001C7518" w:rsidRPr="00CB72B4" w:rsidRDefault="001C7518" w:rsidP="001C7518">
      <w:pPr>
        <w:pStyle w:val="NormalHanging12a"/>
      </w:pPr>
      <w:r w:rsidRPr="00CB72B4">
        <w:t>G.</w:t>
      </w:r>
      <w:r w:rsidRPr="00CB72B4">
        <w:tab/>
        <w:t>mając na uwadze, że podczas trzymiesięcznego okresu konsultacji państwa członkowskie zgłosiły EFSA wiele krytycznych uwag</w:t>
      </w:r>
      <w:r w:rsidRPr="00CB72B4">
        <w:rPr>
          <w:rStyle w:val="FootnoteReference"/>
        </w:rPr>
        <w:footnoteReference w:id="10"/>
      </w:r>
      <w:r w:rsidRPr="00CB72B4">
        <w:t xml:space="preserve">, w tym fakt, że dane dotyczące składu zmodyfikowanej genetycznie kukurydzy powinny zostać sprawdzone i ponownie przeanalizowane oraz że analiza powinna spełniać obecne wymogi EFSA, m.in. badania równoważności, oraz że przegląd literatury nie obejmował badań dotyczących losu Cry1Ab w środowisku ani potencjalnego wpływu pozostałości upraw </w:t>
      </w:r>
      <w:proofErr w:type="spellStart"/>
      <w:r w:rsidRPr="00CB72B4">
        <w:t>Bt</w:t>
      </w:r>
      <w:proofErr w:type="spellEnd"/>
      <w:r w:rsidRPr="00CB72B4">
        <w:t xml:space="preserve"> na organizmy niebędące przedmiotem zwalczania, co jest problematyczne, ponieważ publikacje wskazują, że przeniesienie genetycznie zmodyfikowanej kukurydzy z paszy na obornik może prowadzić do narażenia organizmów glebowych na Cry1Ab, a to może wywołać negatywne skutki dla organizmów </w:t>
      </w:r>
      <w:proofErr w:type="gramStart"/>
      <w:r w:rsidRPr="00CB72B4">
        <w:t>glebowych</w:t>
      </w:r>
      <w:proofErr w:type="gramEnd"/>
      <w:r w:rsidRPr="00CB72B4">
        <w:t xml:space="preserve"> z konsekwencjami dla różnorodności biologicznej i usług ekosystemowych; </w:t>
      </w:r>
    </w:p>
    <w:p w:rsidR="001C7518" w:rsidRPr="00CB72B4" w:rsidRDefault="001C7518" w:rsidP="001C7518">
      <w:pPr>
        <w:pStyle w:val="NormalHanging12a"/>
      </w:pPr>
      <w:r w:rsidRPr="00CB72B4">
        <w:t>H.</w:t>
      </w:r>
      <w:r w:rsidRPr="00CB72B4">
        <w:tab/>
      </w:r>
      <w:proofErr w:type="gramStart"/>
      <w:r w:rsidRPr="00CB72B4">
        <w:t>mając</w:t>
      </w:r>
      <w:proofErr w:type="gramEnd"/>
      <w:r w:rsidRPr="00CB72B4">
        <w:t xml:space="preserve"> na uwadze, że zgodnie z rozporządzeniem (WE) nr 1829/2003 genetycznie </w:t>
      </w:r>
      <w:r w:rsidRPr="00CB72B4">
        <w:lastRenderedPageBreak/>
        <w:t>zmodyfikowana żywność lub pasza nie może wywierać szkodliwego wpływu na zdrowie ludzi i zwierząt ani na środowisko naturalne, a przy sporządzaniu decyzji Komisja musi brać pod uwagę wszelkie istotne przepisy prawa Unii oraz inne uzasadnione czynniki istotne dla sprawy; mając na uwadze, że te uzasadnione czynniki powinny obejmować zobowiązania Unii wynikające z celów zrównoważonego rozwoju ONZ oraz Konwencji ONZ o różnorodności biologicznej;</w:t>
      </w:r>
    </w:p>
    <w:p w:rsidR="001C7518" w:rsidRPr="00CB72B4" w:rsidRDefault="001C7518" w:rsidP="001C7518">
      <w:pPr>
        <w:pStyle w:val="NormalHanging12a"/>
        <w:rPr>
          <w:b/>
          <w:i/>
        </w:rPr>
      </w:pPr>
      <w:r w:rsidRPr="00CB72B4">
        <w:rPr>
          <w:b/>
          <w:i/>
        </w:rPr>
        <w:t>Zmniejszenie zależności od paszy z przywozu</w:t>
      </w:r>
    </w:p>
    <w:p w:rsidR="001C7518" w:rsidRPr="00CB72B4" w:rsidRDefault="001C7518" w:rsidP="001C7518">
      <w:pPr>
        <w:pStyle w:val="NormalHanging12a"/>
      </w:pPr>
      <w:r w:rsidRPr="00CB72B4">
        <w:t>I.</w:t>
      </w:r>
      <w:r w:rsidRPr="00CB72B4">
        <w:tab/>
      </w:r>
      <w:proofErr w:type="gramStart"/>
      <w:r w:rsidRPr="00CB72B4">
        <w:t>mając</w:t>
      </w:r>
      <w:proofErr w:type="gramEnd"/>
      <w:r w:rsidRPr="00CB72B4">
        <w:t xml:space="preserve"> na uwadze, że jednym z wniosków wyciągniętych z kryzysu związanego z COVID-19 i trwającej wojny w Ukrainie jest potrzeba uniezależnienia się Unii od niektórych materiałów krytycznych; mając na uwadze, że w piśmie określającym zadania kandydata na komisarza Christophe’a Hansena przewodnicząca Komisji </w:t>
      </w:r>
      <w:proofErr w:type="spellStart"/>
      <w:r w:rsidRPr="00CB72B4">
        <w:t>Ursula</w:t>
      </w:r>
      <w:proofErr w:type="spellEnd"/>
      <w:r w:rsidRPr="00CB72B4">
        <w:t xml:space="preserve"> von der </w:t>
      </w:r>
      <w:proofErr w:type="spellStart"/>
      <w:r w:rsidRPr="00CB72B4">
        <w:t>Leyen</w:t>
      </w:r>
      <w:proofErr w:type="spellEnd"/>
      <w:r w:rsidRPr="00CB72B4">
        <w:t xml:space="preserve"> zwraca się do niego, by przeanalizował sposoby ograniczenia przywozu kluczowych towarów</w:t>
      </w:r>
      <w:r w:rsidRPr="00CB72B4">
        <w:rPr>
          <w:rStyle w:val="FootnoteReference"/>
        </w:rPr>
        <w:footnoteReference w:id="11"/>
      </w:r>
      <w:r w:rsidRPr="00CB72B4">
        <w:t xml:space="preserve">; </w:t>
      </w:r>
    </w:p>
    <w:p w:rsidR="001C7518" w:rsidRPr="00CB72B4" w:rsidRDefault="001C7518" w:rsidP="001C7518">
      <w:pPr>
        <w:pStyle w:val="NormalHanging12a"/>
        <w:rPr>
          <w:b/>
          <w:i/>
        </w:rPr>
      </w:pPr>
      <w:r w:rsidRPr="00CB72B4">
        <w:rPr>
          <w:b/>
          <w:i/>
        </w:rPr>
        <w:t>Niedemokratyczny proces podejmowania decyzji</w:t>
      </w:r>
    </w:p>
    <w:p w:rsidR="001C7518" w:rsidRPr="00CB72B4" w:rsidRDefault="001C7518" w:rsidP="001C7518">
      <w:pPr>
        <w:pStyle w:val="NormalHanging12a"/>
        <w:rPr>
          <w:b/>
          <w:i/>
        </w:rPr>
      </w:pPr>
      <w:r w:rsidRPr="00CB72B4">
        <w:t>J.</w:t>
      </w:r>
      <w:r w:rsidRPr="00CB72B4">
        <w:tab/>
      </w:r>
      <w:r w:rsidRPr="00CB72B4">
        <w:rPr>
          <w:shd w:val="clear" w:color="auto" w:fill="FFFFFF"/>
        </w:rPr>
        <w:t>mając na uwadze, że 26 kwietnia 2024 r. Stały Komitet ds. Roślin, Zwierząt, Żywności i Pasz, o którym mowa w art. 35 rozporządzenia (WE) nr 1829/2003, nie wydał opinii, co oznacza, że zezwolenia nie poparła kwalifikowana większość państw członkowskich; mając na uwadze, że w wyniku głosowania 29 maja 2024 r. komitet odwoławczy po raz kolejny nie wydał opinii;</w:t>
      </w:r>
    </w:p>
    <w:p w:rsidR="001C7518" w:rsidRPr="00CB72B4" w:rsidRDefault="001C7518" w:rsidP="001C7518">
      <w:pPr>
        <w:pStyle w:val="NormalHanging12a"/>
      </w:pPr>
      <w:r w:rsidRPr="00CB72B4">
        <w:t>K.</w:t>
      </w:r>
      <w:r w:rsidRPr="00CB72B4">
        <w:tab/>
        <w:t>mając na uwadze, że w trakcie ósmej kadencji Parlament przyjął łącznie 36 rezolucji, w których sprzeciwił się wprowadzeniu do obrotu GMO do zastosowania w żywności i paszy (33 rezolucje) oraz do uprawy w Unii (3 rezolucje); mając na uwadze, że w dziewiątej kadencji Parlament przyjął 38 sprzeciwów wobec wprowadzania GMO do obrotu;</w:t>
      </w:r>
    </w:p>
    <w:p w:rsidR="001C7518" w:rsidRPr="00CB72B4" w:rsidRDefault="001C7518" w:rsidP="001C7518">
      <w:pPr>
        <w:pStyle w:val="NormalHanging12a"/>
      </w:pPr>
      <w:r w:rsidRPr="00CB72B4">
        <w:t>L.</w:t>
      </w:r>
      <w:r w:rsidRPr="00CB72B4">
        <w:tab/>
      </w:r>
      <w:proofErr w:type="gramStart"/>
      <w:r w:rsidRPr="00CB72B4">
        <w:t>mając</w:t>
      </w:r>
      <w:proofErr w:type="gramEnd"/>
      <w:r w:rsidRPr="00CB72B4">
        <w:t xml:space="preserve"> na uwadze, że Komisja nadal wydaje zezwolenia na GMO, mimo że sama stwierdziła niedemokratyczność tego procesu, a także mimo braku poparcia ze strony państw członkowskich i mimo sprzeciwów Parlamentu;</w:t>
      </w:r>
    </w:p>
    <w:p w:rsidR="001C7518" w:rsidRPr="00CB72B4" w:rsidRDefault="001C7518" w:rsidP="001C7518">
      <w:pPr>
        <w:pStyle w:val="NormalHanging12a"/>
      </w:pPr>
      <w:r w:rsidRPr="00CB72B4">
        <w:t>M.</w:t>
      </w:r>
      <w:r w:rsidRPr="00CB72B4">
        <w:tab/>
        <w:t>mając na uwadze, że żadna zmiana w prawie nie jest konieczna, by Komisja mogła nie zatwierdzić GMO, jeżeli w komitecie odwoławczym kwalifikowana większość państw członkowskich nie opowie się za zatwierdzeniem</w:t>
      </w:r>
      <w:r w:rsidRPr="00CB72B4">
        <w:rPr>
          <w:rStyle w:val="FootnoteReference"/>
        </w:rPr>
        <w:footnoteReference w:id="12"/>
      </w:r>
      <w:r w:rsidRPr="00CB72B4">
        <w:t>;</w:t>
      </w:r>
    </w:p>
    <w:p w:rsidR="001C7518" w:rsidRPr="00CB72B4" w:rsidRDefault="001C7518" w:rsidP="001C7518">
      <w:pPr>
        <w:pStyle w:val="NormalHanging12a"/>
      </w:pPr>
      <w:r w:rsidRPr="00CB72B4">
        <w:t>N.</w:t>
      </w:r>
      <w:r w:rsidRPr="00CB72B4">
        <w:tab/>
        <w:t>mając na uwadze, że 2 lipca 2024 r. Komisja odnowiła zezwolenie na wprowadzenie do obrotu zmodyfikowanej genetycznie kukurydzy;</w:t>
      </w:r>
    </w:p>
    <w:p w:rsidR="001C7518" w:rsidRPr="00CB72B4" w:rsidRDefault="001C7518" w:rsidP="001C7518">
      <w:pPr>
        <w:pStyle w:val="NormalHanging12a"/>
      </w:pPr>
      <w:r w:rsidRPr="00CB72B4">
        <w:t>1.</w:t>
      </w:r>
      <w:r w:rsidRPr="00CB72B4">
        <w:tab/>
      </w:r>
      <w:proofErr w:type="gramStart"/>
      <w:r w:rsidRPr="00CB72B4">
        <w:t>uważa</w:t>
      </w:r>
      <w:proofErr w:type="gramEnd"/>
      <w:r w:rsidRPr="00CB72B4">
        <w:t>, że decyzja wykonawcza (UE) 2024/1828 przekracza uprawnienia wykonawcze przewidziane w rozporządzeniu (WE) nr 1829/2003;</w:t>
      </w:r>
    </w:p>
    <w:p w:rsidR="001C7518" w:rsidRPr="00CB72B4" w:rsidRDefault="001C7518" w:rsidP="001C7518">
      <w:pPr>
        <w:pStyle w:val="NormalHanging12a"/>
      </w:pPr>
      <w:r w:rsidRPr="00CB72B4">
        <w:t>2.</w:t>
      </w:r>
      <w:r w:rsidRPr="00CB72B4">
        <w:tab/>
      </w:r>
      <w:proofErr w:type="gramStart"/>
      <w:r w:rsidRPr="00CB72B4">
        <w:t>uważa</w:t>
      </w:r>
      <w:proofErr w:type="gramEnd"/>
      <w:r w:rsidRPr="00CB72B4">
        <w:t xml:space="preserve">, że decyzja wykonawcza (UE) 2024/1828 jest niespójna z prawem Unii, gdyż nie odpowiada celowi rozporządzenia (WE) nr 1829/2003 zakładającemu – zgodnie </w:t>
      </w:r>
      <w:r w:rsidRPr="00CB72B4">
        <w:lastRenderedPageBreak/>
        <w:t>z zasadami ogólnymi określonymi w rozporządzeniu Parlamentu Europejskiego i Rady (WE) nr 178/2002</w:t>
      </w:r>
      <w:r w:rsidRPr="00CB72B4">
        <w:rPr>
          <w:rStyle w:val="FootnoteReference"/>
        </w:rPr>
        <w:footnoteReference w:id="13"/>
      </w:r>
      <w:r w:rsidRPr="00CB72B4"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jednoczesnym zapewnieniu skutecznego funkcjonowania rynku wewnętrznego;</w:t>
      </w:r>
    </w:p>
    <w:p w:rsidR="001C7518" w:rsidRPr="00CB72B4" w:rsidRDefault="001C7518" w:rsidP="001C7518">
      <w:pPr>
        <w:pStyle w:val="NormalHanging12a"/>
      </w:pPr>
      <w:r w:rsidRPr="00CB72B4">
        <w:t>3.</w:t>
      </w:r>
      <w:r w:rsidRPr="00CB72B4">
        <w:tab/>
      </w:r>
      <w:proofErr w:type="gramStart"/>
      <w:r w:rsidRPr="00CB72B4">
        <w:t>wzywa</w:t>
      </w:r>
      <w:proofErr w:type="gramEnd"/>
      <w:r w:rsidRPr="00CB72B4">
        <w:t xml:space="preserve"> Komisję do uchylenia decyzji wykonawczej (UE) 2024/1828;</w:t>
      </w:r>
    </w:p>
    <w:p w:rsidR="001C7518" w:rsidRPr="00CB72B4" w:rsidRDefault="001C7518" w:rsidP="001C7518">
      <w:pPr>
        <w:pStyle w:val="NormalHanging12a"/>
      </w:pPr>
      <w:r w:rsidRPr="00CB72B4">
        <w:t>4.</w:t>
      </w:r>
      <w:r w:rsidRPr="00CB72B4">
        <w:tab/>
      </w:r>
      <w:proofErr w:type="gramStart"/>
      <w:r w:rsidRPr="00CB72B4">
        <w:t>z</w:t>
      </w:r>
      <w:proofErr w:type="gramEnd"/>
      <w:r w:rsidRPr="00CB72B4">
        <w:t xml:space="preserve"> zadowoleniem przyjmuje fakt, że w skierowanym do posłów piśmie z 11 września 2020 r. Komisja w końcu przyznała, iż przy podejmowaniu decyzji o zezwoleniu na wprowadzenie GMO należy uwzględniać zasady zrównoważonego rozwoju</w:t>
      </w:r>
      <w:r w:rsidRPr="00CB72B4">
        <w:rPr>
          <w:rStyle w:val="FootnoteReference"/>
        </w:rPr>
        <w:footnoteReference w:id="14"/>
      </w:r>
      <w:r w:rsidRPr="00CB72B4">
        <w:t>; jest jednak głęboko rozczarowany faktem, że od tego czasu Komisja wciąż zezwala na przywóz GMO do Unii mimo sprzeciwu Parlamentu i większości państw członkowskich;</w:t>
      </w:r>
    </w:p>
    <w:p w:rsidR="001C7518" w:rsidRPr="00CB72B4" w:rsidRDefault="001C7518" w:rsidP="001C7518">
      <w:pPr>
        <w:pStyle w:val="NormalHanging12a"/>
      </w:pPr>
      <w:r w:rsidRPr="00CB72B4">
        <w:t>5.</w:t>
      </w:r>
      <w:r w:rsidRPr="00CB72B4">
        <w:tab/>
      </w:r>
      <w:proofErr w:type="gramStart"/>
      <w:r w:rsidRPr="00CB72B4">
        <w:t>ponownie</w:t>
      </w:r>
      <w:proofErr w:type="gramEnd"/>
      <w:r w:rsidRPr="00CB72B4">
        <w:t xml:space="preserve"> apeluje do Komisji o uwzględnianie zobowiązań Unii wynikających z umów międzynarodowych, takich jak paryskie porozumienie klimatyczne, Konwencja ONZ o różnorodności biologicznej i cele zrównoważonego rozwoju ONZ; ponawia apel o to, by projektom aktów wykonawczych towarzyszyło uzasadnienie wyjaśniające, w jaki sposób gwarantują one przestrzeganie zasady „nie szkodzić”</w:t>
      </w:r>
      <w:r w:rsidRPr="00CB72B4">
        <w:rPr>
          <w:rStyle w:val="FootnoteReference"/>
        </w:rPr>
        <w:footnoteReference w:id="15"/>
      </w:r>
      <w:r w:rsidRPr="00CB72B4">
        <w:t xml:space="preserve">; </w:t>
      </w:r>
    </w:p>
    <w:p w:rsidR="00CB72B4" w:rsidRPr="00CB72B4" w:rsidRDefault="001C7518" w:rsidP="00CB72B4">
      <w:pPr>
        <w:pStyle w:val="NormalHanging12a"/>
      </w:pPr>
      <w:r w:rsidRPr="00CB72B4">
        <w:t>6.</w:t>
      </w:r>
      <w:r w:rsidRPr="00CB72B4">
        <w:tab/>
      </w:r>
      <w:proofErr w:type="gramStart"/>
      <w:r w:rsidRPr="00CB72B4">
        <w:t>zobowiązuje</w:t>
      </w:r>
      <w:proofErr w:type="gramEnd"/>
      <w:r w:rsidRPr="00CB72B4">
        <w:t xml:space="preserve"> swoją przewodniczącą do przekazania niniejszej rezolucji Radzie i Komisji oraz rządom i parlamentom państw członkowskich.</w:t>
      </w:r>
    </w:p>
    <w:p w:rsidR="00E365E1" w:rsidRPr="00CB72B4" w:rsidRDefault="00E365E1" w:rsidP="00886C7B"/>
    <w:sectPr w:rsidR="00E365E1" w:rsidRPr="00CB72B4" w:rsidSect="00CB72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7B" w:rsidRPr="00CB72B4" w:rsidRDefault="00886C7B">
      <w:r w:rsidRPr="00CB72B4">
        <w:separator/>
      </w:r>
    </w:p>
  </w:endnote>
  <w:endnote w:type="continuationSeparator" w:id="0">
    <w:p w:rsidR="00886C7B" w:rsidRPr="00CB72B4" w:rsidRDefault="00886C7B">
      <w:r w:rsidRPr="00CB72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72B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72B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72B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7B" w:rsidRPr="00CB72B4" w:rsidRDefault="00886C7B">
      <w:r w:rsidRPr="00CB72B4">
        <w:separator/>
      </w:r>
    </w:p>
  </w:footnote>
  <w:footnote w:type="continuationSeparator" w:id="0">
    <w:p w:rsidR="00886C7B" w:rsidRPr="00CB72B4" w:rsidRDefault="00886C7B">
      <w:r w:rsidRPr="00CB72B4">
        <w:continuationSeparator/>
      </w:r>
    </w:p>
  </w:footnote>
  <w:footnote w:id="1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 xml:space="preserve">Dz.U. L, 2024/1828, 4.7.2024, ELI: </w:t>
      </w:r>
      <w:hyperlink r:id="rId1" w:tooltip="Gives access to this document through its ELI URI." w:history="1">
        <w:r w:rsidRPr="00CB72B4">
          <w:rPr>
            <w:rStyle w:val="Hyperlink"/>
            <w:color w:val="337AB7"/>
            <w:sz w:val="24"/>
            <w:shd w:val="clear" w:color="auto" w:fill="FFFFFF"/>
            <w:lang w:val="pl-PL"/>
          </w:rPr>
          <w:t>http://data.europa.eu/eli/dec_impl/2024/1828/oj</w:t>
        </w:r>
      </w:hyperlink>
      <w:r w:rsidRPr="00CB72B4">
        <w:rPr>
          <w:sz w:val="24"/>
          <w:lang w:val="pl-PL"/>
        </w:rPr>
        <w:t>.</w:t>
      </w:r>
    </w:p>
  </w:footnote>
  <w:footnote w:id="2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 xml:space="preserve">Dz.U. L 268 z 18.10.2003, </w:t>
      </w:r>
      <w:proofErr w:type="gramStart"/>
      <w:r w:rsidRPr="00CB72B4">
        <w:rPr>
          <w:sz w:val="24"/>
          <w:lang w:val="pl-PL"/>
        </w:rPr>
        <w:t>s</w:t>
      </w:r>
      <w:proofErr w:type="gramEnd"/>
      <w:r w:rsidRPr="00CB72B4">
        <w:rPr>
          <w:sz w:val="24"/>
          <w:lang w:val="pl-PL"/>
        </w:rPr>
        <w:t xml:space="preserve">. 1, ELI: </w:t>
      </w:r>
      <w:hyperlink r:id="rId2" w:tooltip="Gives access to this document through its ELI URI." w:history="1">
        <w:r w:rsidRPr="00CB72B4">
          <w:rPr>
            <w:rStyle w:val="Hyperlink"/>
            <w:color w:val="337AB7"/>
            <w:sz w:val="24"/>
            <w:shd w:val="clear" w:color="auto" w:fill="FFFFFF"/>
            <w:lang w:val="pl-PL"/>
          </w:rPr>
          <w:t>http://data.europa.eu/eli/reg/2003/1829/oj</w:t>
        </w:r>
      </w:hyperlink>
      <w:r w:rsidRPr="00CB72B4">
        <w:rPr>
          <w:sz w:val="24"/>
          <w:lang w:val="pl-PL"/>
        </w:rPr>
        <w:t>.</w:t>
      </w:r>
    </w:p>
  </w:footnote>
  <w:footnote w:id="3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 xml:space="preserve">Dz.U. L 55 z 28.2.2011, </w:t>
      </w:r>
      <w:proofErr w:type="gramStart"/>
      <w:r w:rsidRPr="00CB72B4">
        <w:rPr>
          <w:sz w:val="24"/>
          <w:lang w:val="pl-PL"/>
        </w:rPr>
        <w:t>s</w:t>
      </w:r>
      <w:proofErr w:type="gramEnd"/>
      <w:r w:rsidRPr="00CB72B4">
        <w:rPr>
          <w:sz w:val="24"/>
          <w:lang w:val="pl-PL"/>
        </w:rPr>
        <w:t xml:space="preserve">. 13, ELI: </w:t>
      </w:r>
      <w:hyperlink r:id="rId3" w:tooltip="Gives access to this document through its ELI URI." w:history="1">
        <w:r w:rsidRPr="00CB72B4">
          <w:rPr>
            <w:rStyle w:val="Hyperlink"/>
            <w:color w:val="337AB7"/>
            <w:sz w:val="24"/>
            <w:shd w:val="clear" w:color="auto" w:fill="FFFFFF"/>
            <w:lang w:val="pl-PL"/>
          </w:rPr>
          <w:t>http://data.europa.eu/eli/reg/2011/182/oj</w:t>
        </w:r>
      </w:hyperlink>
      <w:r w:rsidRPr="00CB72B4">
        <w:rPr>
          <w:sz w:val="24"/>
          <w:lang w:val="pl-PL"/>
        </w:rPr>
        <w:t>.</w:t>
      </w:r>
    </w:p>
  </w:footnote>
  <w:footnote w:id="4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>Opinia naukowa panelu EFSA ds. organizmów modyfikowanych genetycznie dotycząca oceny genetycznie zmodyfikowanej kukurydzy MON 810 w celu odnowienia zezwolenia na podstawie rozporządzenia (WE) nr 1829/2003 (dokumentacja GMFF-2022-9450), Dziennik EFSA</w:t>
      </w:r>
      <w:proofErr w:type="gramStart"/>
      <w:r w:rsidRPr="00CB72B4">
        <w:rPr>
          <w:sz w:val="24"/>
          <w:lang w:val="pl-PL"/>
        </w:rPr>
        <w:t xml:space="preserve">, 2024;22(1):8489, </w:t>
      </w:r>
      <w:hyperlink r:id="rId4" w:history="1">
        <w:proofErr w:type="gramEnd"/>
        <w:r w:rsidRPr="00CB72B4">
          <w:rPr>
            <w:rStyle w:val="Hyperlink"/>
            <w:sz w:val="24"/>
            <w:lang w:val="pl-PL"/>
          </w:rPr>
          <w:t>https://doi.org/10.2903/j.efsa.2024.8489</w:t>
        </w:r>
      </w:hyperlink>
      <w:r w:rsidRPr="00CB72B4">
        <w:rPr>
          <w:sz w:val="24"/>
          <w:lang w:val="pl-PL"/>
        </w:rPr>
        <w:t>.</w:t>
      </w:r>
    </w:p>
  </w:footnote>
  <w:footnote w:id="5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color w:val="000000" w:themeColor="text1"/>
          <w:sz w:val="24"/>
          <w:lang w:val="pl-PL"/>
        </w:rPr>
        <w:t xml:space="preserve"> </w:t>
      </w:r>
      <w:r w:rsidR="00CB72B4" w:rsidRPr="00CB72B4">
        <w:rPr>
          <w:color w:val="000000" w:themeColor="text1"/>
          <w:sz w:val="24"/>
          <w:lang w:val="pl-PL"/>
        </w:rPr>
        <w:tab/>
      </w:r>
      <w:r w:rsidRPr="00CB72B4">
        <w:rPr>
          <w:color w:val="000000" w:themeColor="text1"/>
          <w:sz w:val="24"/>
          <w:lang w:val="pl-PL"/>
        </w:rPr>
        <w:t xml:space="preserve">W ósmej kadencji Parlament przyjął 36, a w dziewiątej – 38 rezolucji sprzeciwiających się zatwierdzaniu GMO. </w:t>
      </w:r>
    </w:p>
  </w:footnote>
  <w:footnote w:id="6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 xml:space="preserve">Decyzja wykonawcza Komisji 2013/649/UE z dnia 6 listopada 2013 r. zezwalająca na wprowadzenie do obrotu, na podstawie rozporządzenia (WE) nr 1829/2003 Parlamentu Europejskiego i Rady, pyłku wyprodukowanego z kukurydzy MON 810 (MON-ØØ81Ø-6) (Dz.U. L 302 z 13.11.2013, </w:t>
      </w:r>
      <w:proofErr w:type="gramStart"/>
      <w:r w:rsidRPr="00CB72B4">
        <w:rPr>
          <w:sz w:val="24"/>
          <w:lang w:val="pl-PL"/>
        </w:rPr>
        <w:t>s</w:t>
      </w:r>
      <w:proofErr w:type="gramEnd"/>
      <w:r w:rsidRPr="00CB72B4">
        <w:rPr>
          <w:sz w:val="24"/>
          <w:lang w:val="pl-PL"/>
        </w:rPr>
        <w:t xml:space="preserve">. 44, ELI: </w:t>
      </w:r>
      <w:hyperlink r:id="rId5" w:tooltip="Gives access to this document through its ELI URI." w:history="1">
        <w:r w:rsidRPr="00CB72B4">
          <w:rPr>
            <w:rStyle w:val="Hyperlink"/>
            <w:color w:val="337AB7"/>
            <w:sz w:val="24"/>
            <w:shd w:val="clear" w:color="auto" w:fill="FFFFFF"/>
            <w:lang w:val="pl-PL"/>
          </w:rPr>
          <w:t>http://data.europa.eu/eli/dec_impl/2013/649/oj</w:t>
        </w:r>
      </w:hyperlink>
      <w:r w:rsidRPr="00CB72B4">
        <w:rPr>
          <w:sz w:val="24"/>
          <w:lang w:val="pl-PL"/>
        </w:rPr>
        <w:t>).</w:t>
      </w:r>
    </w:p>
  </w:footnote>
  <w:footnote w:id="7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>Decyzja wykonawcza Komisji (UE</w:t>
      </w:r>
      <w:proofErr w:type="gramStart"/>
      <w:r w:rsidRPr="00CB72B4">
        <w:rPr>
          <w:sz w:val="24"/>
          <w:lang w:val="pl-PL"/>
        </w:rPr>
        <w:t>) 2017/1207 z</w:t>
      </w:r>
      <w:proofErr w:type="gramEnd"/>
      <w:r w:rsidRPr="00CB72B4">
        <w:rPr>
          <w:sz w:val="24"/>
          <w:lang w:val="pl-PL"/>
        </w:rPr>
        <w:t xml:space="preserve"> dnia 4 lipca 2017 r. odnawiająca zezwolenie na wprowadzenie do obrotu na mocy rozporządzenia (WE) nr 1829/2003 Parlamentu Europejskiego i Rady produktów ze zmodyfikowanej genetycznie kukurydzy MON 810 (MON-ØØ81Ø-6) (Dz.U. L 173 z 6.7.2017, </w:t>
      </w:r>
      <w:proofErr w:type="gramStart"/>
      <w:r w:rsidRPr="00CB72B4">
        <w:rPr>
          <w:sz w:val="24"/>
          <w:lang w:val="pl-PL"/>
        </w:rPr>
        <w:t>s</w:t>
      </w:r>
      <w:proofErr w:type="gramEnd"/>
      <w:r w:rsidRPr="00CB72B4">
        <w:rPr>
          <w:sz w:val="24"/>
          <w:lang w:val="pl-PL"/>
        </w:rPr>
        <w:t xml:space="preserve">. 18, ELI: </w:t>
      </w:r>
      <w:hyperlink r:id="rId6" w:tooltip="Gives access to this document through its ELI URI." w:history="1">
        <w:r w:rsidRPr="00CB72B4">
          <w:rPr>
            <w:rStyle w:val="Hyperlink"/>
            <w:color w:val="337AB7"/>
            <w:sz w:val="24"/>
            <w:shd w:val="clear" w:color="auto" w:fill="FFFFFF"/>
            <w:lang w:val="pl-PL"/>
          </w:rPr>
          <w:t>http://data.europa.eu/eli/dec_impl/2017/1207/oj</w:t>
        </w:r>
      </w:hyperlink>
      <w:r w:rsidRPr="00CB72B4">
        <w:rPr>
          <w:sz w:val="24"/>
          <w:lang w:val="pl-PL"/>
        </w:rPr>
        <w:t>).</w:t>
      </w:r>
    </w:p>
  </w:footnote>
  <w:footnote w:id="8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 xml:space="preserve">Zob. </w:t>
      </w:r>
      <w:proofErr w:type="spellStart"/>
      <w:r w:rsidRPr="00CB72B4">
        <w:rPr>
          <w:sz w:val="24"/>
          <w:lang w:val="pl-PL"/>
        </w:rPr>
        <w:t>Rubio-Infante</w:t>
      </w:r>
      <w:proofErr w:type="spellEnd"/>
      <w:r w:rsidRPr="00CB72B4">
        <w:rPr>
          <w:sz w:val="24"/>
          <w:lang w:val="pl-PL"/>
        </w:rPr>
        <w:t xml:space="preserve"> N., Moreno-</w:t>
      </w:r>
      <w:proofErr w:type="spellStart"/>
      <w:r w:rsidRPr="00CB72B4">
        <w:rPr>
          <w:sz w:val="24"/>
          <w:lang w:val="pl-PL"/>
        </w:rPr>
        <w:t>Fierros</w:t>
      </w:r>
      <w:proofErr w:type="spellEnd"/>
      <w:r w:rsidRPr="00CB72B4">
        <w:rPr>
          <w:sz w:val="24"/>
          <w:lang w:val="pl-PL"/>
        </w:rPr>
        <w:t xml:space="preserve"> L., „</w:t>
      </w:r>
      <w:proofErr w:type="spellStart"/>
      <w:r w:rsidRPr="00CB72B4">
        <w:rPr>
          <w:sz w:val="24"/>
          <w:lang w:val="pl-PL"/>
        </w:rPr>
        <w:t>An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overview</w:t>
      </w:r>
      <w:proofErr w:type="spellEnd"/>
      <w:r w:rsidRPr="00CB72B4">
        <w:rPr>
          <w:sz w:val="24"/>
          <w:lang w:val="pl-PL"/>
        </w:rPr>
        <w:t xml:space="preserve"> of the </w:t>
      </w:r>
      <w:proofErr w:type="spellStart"/>
      <w:r w:rsidRPr="00CB72B4">
        <w:rPr>
          <w:sz w:val="24"/>
          <w:lang w:val="pl-PL"/>
        </w:rPr>
        <w:t>safety</w:t>
      </w:r>
      <w:proofErr w:type="spellEnd"/>
      <w:r w:rsidRPr="00CB72B4">
        <w:rPr>
          <w:sz w:val="24"/>
          <w:lang w:val="pl-PL"/>
        </w:rPr>
        <w:t xml:space="preserve"> and </w:t>
      </w:r>
      <w:proofErr w:type="spellStart"/>
      <w:r w:rsidRPr="00CB72B4">
        <w:rPr>
          <w:sz w:val="24"/>
          <w:lang w:val="pl-PL"/>
        </w:rPr>
        <w:t>biological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effects</w:t>
      </w:r>
      <w:proofErr w:type="spellEnd"/>
      <w:r w:rsidRPr="00CB72B4">
        <w:rPr>
          <w:sz w:val="24"/>
          <w:lang w:val="pl-PL"/>
        </w:rPr>
        <w:t xml:space="preserve"> of </w:t>
      </w:r>
      <w:proofErr w:type="spellStart"/>
      <w:r w:rsidRPr="00CB72B4">
        <w:rPr>
          <w:i/>
          <w:iCs/>
          <w:sz w:val="24"/>
          <w:lang w:val="pl-PL"/>
        </w:rPr>
        <w:t>Bacillus</w:t>
      </w:r>
      <w:proofErr w:type="spellEnd"/>
      <w:r w:rsidRPr="00CB72B4">
        <w:rPr>
          <w:i/>
          <w:iCs/>
          <w:sz w:val="24"/>
          <w:lang w:val="pl-PL"/>
        </w:rPr>
        <w:t xml:space="preserve"> </w:t>
      </w:r>
      <w:proofErr w:type="spellStart"/>
      <w:r w:rsidRPr="00CB72B4">
        <w:rPr>
          <w:i/>
          <w:iCs/>
          <w:sz w:val="24"/>
          <w:lang w:val="pl-PL"/>
        </w:rPr>
        <w:t>thuringiensis</w:t>
      </w:r>
      <w:proofErr w:type="spellEnd"/>
      <w:r w:rsidRPr="00CB72B4">
        <w:rPr>
          <w:sz w:val="24"/>
          <w:lang w:val="pl-PL"/>
        </w:rPr>
        <w:t> </w:t>
      </w:r>
      <w:proofErr w:type="spellStart"/>
      <w:r w:rsidRPr="00CB72B4">
        <w:rPr>
          <w:sz w:val="24"/>
          <w:lang w:val="pl-PL"/>
        </w:rPr>
        <w:t>Cry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toxins</w:t>
      </w:r>
      <w:proofErr w:type="spellEnd"/>
      <w:r w:rsidRPr="00CB72B4">
        <w:rPr>
          <w:sz w:val="24"/>
          <w:lang w:val="pl-PL"/>
        </w:rPr>
        <w:t xml:space="preserve"> in </w:t>
      </w:r>
      <w:proofErr w:type="spellStart"/>
      <w:r w:rsidRPr="00CB72B4">
        <w:rPr>
          <w:sz w:val="24"/>
          <w:lang w:val="pl-PL"/>
        </w:rPr>
        <w:t>mammals</w:t>
      </w:r>
      <w:proofErr w:type="spellEnd"/>
      <w:r w:rsidRPr="00CB72B4">
        <w:rPr>
          <w:sz w:val="24"/>
          <w:lang w:val="pl-PL"/>
        </w:rPr>
        <w:t xml:space="preserve">” [Przegląd bezpieczeństwa i skutków biologicznych toksyn </w:t>
      </w:r>
      <w:proofErr w:type="spellStart"/>
      <w:r w:rsidRPr="00CB72B4">
        <w:rPr>
          <w:sz w:val="24"/>
          <w:lang w:val="pl-PL"/>
        </w:rPr>
        <w:t>Cry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Bacillus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thuringiensis</w:t>
      </w:r>
      <w:proofErr w:type="spellEnd"/>
      <w:r w:rsidRPr="00CB72B4">
        <w:rPr>
          <w:sz w:val="24"/>
          <w:lang w:val="pl-PL"/>
        </w:rPr>
        <w:t xml:space="preserve"> u ssaków], </w:t>
      </w:r>
      <w:proofErr w:type="spellStart"/>
      <w:r w:rsidRPr="00CB72B4">
        <w:rPr>
          <w:sz w:val="24"/>
          <w:lang w:val="pl-PL"/>
        </w:rPr>
        <w:t>Journal</w:t>
      </w:r>
      <w:proofErr w:type="spellEnd"/>
      <w:r w:rsidRPr="00CB72B4">
        <w:rPr>
          <w:sz w:val="24"/>
          <w:lang w:val="pl-PL"/>
        </w:rPr>
        <w:t xml:space="preserve"> of Applied </w:t>
      </w:r>
      <w:proofErr w:type="spellStart"/>
      <w:r w:rsidRPr="00CB72B4">
        <w:rPr>
          <w:sz w:val="24"/>
          <w:lang w:val="pl-PL"/>
        </w:rPr>
        <w:t>Toxicology</w:t>
      </w:r>
      <w:proofErr w:type="spellEnd"/>
      <w:r w:rsidRPr="00CB72B4">
        <w:rPr>
          <w:sz w:val="24"/>
          <w:lang w:val="pl-PL"/>
        </w:rPr>
        <w:t xml:space="preserve">, maj 2016, 36,5, s. 630–648, </w:t>
      </w:r>
      <w:hyperlink r:id="rId7" w:history="1">
        <w:r w:rsidRPr="00CB72B4">
          <w:rPr>
            <w:rStyle w:val="Hyperlink"/>
            <w:sz w:val="24"/>
            <w:lang w:val="pl-PL"/>
          </w:rPr>
          <w:t>https://onlinelibrary.wiley.com/doi/full/10.1002/jat.3252</w:t>
        </w:r>
      </w:hyperlink>
      <w:r w:rsidRPr="00CB72B4">
        <w:rPr>
          <w:rStyle w:val="Hyperlink"/>
          <w:sz w:val="24"/>
          <w:lang w:val="pl-PL"/>
        </w:rPr>
        <w:t>.</w:t>
      </w:r>
    </w:p>
  </w:footnote>
  <w:footnote w:id="9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proofErr w:type="spellStart"/>
      <w:r w:rsidRPr="00CB72B4">
        <w:rPr>
          <w:sz w:val="24"/>
          <w:lang w:val="pl-PL"/>
        </w:rPr>
        <w:t>Hilbeck</w:t>
      </w:r>
      <w:proofErr w:type="spellEnd"/>
      <w:r w:rsidRPr="00CB72B4">
        <w:rPr>
          <w:sz w:val="24"/>
          <w:lang w:val="pl-PL"/>
        </w:rPr>
        <w:t xml:space="preserve">, A., </w:t>
      </w:r>
      <w:proofErr w:type="spellStart"/>
      <w:r w:rsidRPr="00CB72B4">
        <w:rPr>
          <w:sz w:val="24"/>
          <w:lang w:val="pl-PL"/>
        </w:rPr>
        <w:t>Defarge</w:t>
      </w:r>
      <w:proofErr w:type="spellEnd"/>
      <w:r w:rsidRPr="00CB72B4">
        <w:rPr>
          <w:sz w:val="24"/>
          <w:lang w:val="pl-PL"/>
        </w:rPr>
        <w:t xml:space="preserve">, N., </w:t>
      </w:r>
      <w:proofErr w:type="spellStart"/>
      <w:r w:rsidRPr="00CB72B4">
        <w:rPr>
          <w:sz w:val="24"/>
          <w:lang w:val="pl-PL"/>
        </w:rPr>
        <w:t>Lebrecht</w:t>
      </w:r>
      <w:proofErr w:type="spellEnd"/>
      <w:r w:rsidRPr="00CB72B4">
        <w:rPr>
          <w:sz w:val="24"/>
          <w:lang w:val="pl-PL"/>
        </w:rPr>
        <w:t xml:space="preserve">, T., </w:t>
      </w:r>
      <w:proofErr w:type="spellStart"/>
      <w:r w:rsidRPr="00CB72B4">
        <w:rPr>
          <w:sz w:val="24"/>
          <w:lang w:val="pl-PL"/>
        </w:rPr>
        <w:t>Bøhn</w:t>
      </w:r>
      <w:proofErr w:type="spellEnd"/>
      <w:r w:rsidRPr="00CB72B4">
        <w:rPr>
          <w:sz w:val="24"/>
          <w:lang w:val="pl-PL"/>
        </w:rPr>
        <w:t>, T., „</w:t>
      </w:r>
      <w:proofErr w:type="spellStart"/>
      <w:r w:rsidRPr="00CB72B4">
        <w:rPr>
          <w:sz w:val="24"/>
          <w:lang w:val="pl-PL"/>
        </w:rPr>
        <w:t>Insecticidal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Bt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crops</w:t>
      </w:r>
      <w:proofErr w:type="spellEnd"/>
      <w:r w:rsidRPr="00CB72B4">
        <w:rPr>
          <w:sz w:val="24"/>
          <w:lang w:val="pl-PL"/>
        </w:rPr>
        <w:t xml:space="preserve">. </w:t>
      </w:r>
      <w:proofErr w:type="spellStart"/>
      <w:r w:rsidRPr="00CB72B4">
        <w:rPr>
          <w:sz w:val="24"/>
          <w:lang w:val="pl-PL"/>
        </w:rPr>
        <w:t>EFSA’s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risk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assessment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approach</w:t>
      </w:r>
      <w:proofErr w:type="spellEnd"/>
      <w:r w:rsidRPr="00CB72B4">
        <w:rPr>
          <w:sz w:val="24"/>
          <w:lang w:val="pl-PL"/>
        </w:rPr>
        <w:t xml:space="preserve"> for GM </w:t>
      </w:r>
      <w:proofErr w:type="spellStart"/>
      <w:r w:rsidRPr="00CB72B4">
        <w:rPr>
          <w:sz w:val="24"/>
          <w:lang w:val="pl-PL"/>
        </w:rPr>
        <w:t>Bt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plants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fails</w:t>
      </w:r>
      <w:proofErr w:type="spellEnd"/>
      <w:r w:rsidRPr="00CB72B4">
        <w:rPr>
          <w:sz w:val="24"/>
          <w:lang w:val="pl-PL"/>
        </w:rPr>
        <w:t xml:space="preserve"> by design” [Rośliny owadobójcze </w:t>
      </w:r>
      <w:proofErr w:type="spellStart"/>
      <w:r w:rsidRPr="00CB72B4">
        <w:rPr>
          <w:sz w:val="24"/>
          <w:lang w:val="pl-PL"/>
        </w:rPr>
        <w:t>Bt</w:t>
      </w:r>
      <w:proofErr w:type="spellEnd"/>
      <w:r w:rsidRPr="00CB72B4">
        <w:rPr>
          <w:sz w:val="24"/>
          <w:lang w:val="pl-PL"/>
        </w:rPr>
        <w:t xml:space="preserve">. Podejście EFSA do oceny ryzyka związanego ze zmodyfikowanymi genetycznie roślinami </w:t>
      </w:r>
      <w:proofErr w:type="spellStart"/>
      <w:r w:rsidRPr="00CB72B4">
        <w:rPr>
          <w:sz w:val="24"/>
          <w:lang w:val="pl-PL"/>
        </w:rPr>
        <w:t>Bt</w:t>
      </w:r>
      <w:proofErr w:type="spellEnd"/>
      <w:r w:rsidRPr="00CB72B4">
        <w:rPr>
          <w:sz w:val="24"/>
          <w:lang w:val="pl-PL"/>
        </w:rPr>
        <w:t xml:space="preserve"> nie daje właściwych wyników z powodu przyjętych metod], RAGES 2020, s. 4, </w:t>
      </w:r>
      <w:hyperlink r:id="rId8" w:history="1">
        <w:r w:rsidRPr="00CB72B4">
          <w:rPr>
            <w:rStyle w:val="Hyperlink"/>
            <w:sz w:val="24"/>
            <w:lang w:val="pl-PL"/>
          </w:rPr>
          <w:t>https://www.testbiotech.org/wp-content/uploads/2023/12/RAGES_report-Insecticidal-Bt-plants.pdf</w:t>
        </w:r>
      </w:hyperlink>
      <w:r w:rsidRPr="00CB72B4">
        <w:rPr>
          <w:rStyle w:val="Hyperlink"/>
          <w:sz w:val="24"/>
          <w:lang w:val="pl-PL"/>
        </w:rPr>
        <w:t xml:space="preserve">; </w:t>
      </w:r>
      <w:r w:rsidRPr="00CB72B4">
        <w:rPr>
          <w:sz w:val="24"/>
          <w:lang w:val="pl-PL"/>
        </w:rPr>
        <w:t xml:space="preserve">Zob. np. </w:t>
      </w:r>
      <w:proofErr w:type="spellStart"/>
      <w:r w:rsidRPr="00CB72B4">
        <w:rPr>
          <w:sz w:val="24"/>
          <w:lang w:val="pl-PL"/>
        </w:rPr>
        <w:t>Hilbeck</w:t>
      </w:r>
      <w:proofErr w:type="spellEnd"/>
      <w:r w:rsidRPr="00CB72B4">
        <w:rPr>
          <w:sz w:val="24"/>
          <w:lang w:val="pl-PL"/>
        </w:rPr>
        <w:t>, A., Otto, M., „</w:t>
      </w:r>
      <w:proofErr w:type="spellStart"/>
      <w:r w:rsidRPr="00CB72B4">
        <w:rPr>
          <w:sz w:val="24"/>
          <w:lang w:val="pl-PL"/>
        </w:rPr>
        <w:t>Specificity</w:t>
      </w:r>
      <w:proofErr w:type="spellEnd"/>
      <w:r w:rsidRPr="00CB72B4">
        <w:rPr>
          <w:sz w:val="24"/>
          <w:lang w:val="pl-PL"/>
        </w:rPr>
        <w:t xml:space="preserve"> and </w:t>
      </w:r>
      <w:proofErr w:type="spellStart"/>
      <w:r w:rsidRPr="00CB72B4">
        <w:rPr>
          <w:sz w:val="24"/>
          <w:lang w:val="pl-PL"/>
        </w:rPr>
        <w:t>combinatorial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effects</w:t>
      </w:r>
      <w:proofErr w:type="spellEnd"/>
      <w:r w:rsidRPr="00CB72B4">
        <w:rPr>
          <w:sz w:val="24"/>
          <w:lang w:val="pl-PL"/>
        </w:rPr>
        <w:t xml:space="preserve"> of </w:t>
      </w:r>
      <w:proofErr w:type="spellStart"/>
      <w:r w:rsidRPr="00CB72B4">
        <w:rPr>
          <w:i/>
          <w:iCs/>
          <w:sz w:val="24"/>
          <w:lang w:val="pl-PL"/>
        </w:rPr>
        <w:t>Bacillus</w:t>
      </w:r>
      <w:proofErr w:type="spellEnd"/>
      <w:r w:rsidRPr="00CB72B4">
        <w:rPr>
          <w:i/>
          <w:iCs/>
          <w:sz w:val="24"/>
          <w:lang w:val="pl-PL"/>
        </w:rPr>
        <w:t xml:space="preserve"> </w:t>
      </w:r>
      <w:proofErr w:type="spellStart"/>
      <w:r w:rsidRPr="00CB72B4">
        <w:rPr>
          <w:i/>
          <w:iCs/>
          <w:sz w:val="24"/>
          <w:lang w:val="pl-PL"/>
        </w:rPr>
        <w:t>thuringiensis</w:t>
      </w:r>
      <w:proofErr w:type="spellEnd"/>
      <w:r w:rsidRPr="00CB72B4">
        <w:rPr>
          <w:sz w:val="24"/>
          <w:lang w:val="pl-PL"/>
        </w:rPr>
        <w:t> </w:t>
      </w:r>
      <w:proofErr w:type="spellStart"/>
      <w:r w:rsidRPr="00CB72B4">
        <w:rPr>
          <w:sz w:val="24"/>
          <w:lang w:val="pl-PL"/>
        </w:rPr>
        <w:t>Cry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toxins</w:t>
      </w:r>
      <w:proofErr w:type="spellEnd"/>
      <w:r w:rsidRPr="00CB72B4">
        <w:rPr>
          <w:sz w:val="24"/>
          <w:lang w:val="pl-PL"/>
        </w:rPr>
        <w:t xml:space="preserve"> in the </w:t>
      </w:r>
      <w:proofErr w:type="spellStart"/>
      <w:r w:rsidRPr="00CB72B4">
        <w:rPr>
          <w:sz w:val="24"/>
          <w:lang w:val="pl-PL"/>
        </w:rPr>
        <w:t>context</w:t>
      </w:r>
      <w:proofErr w:type="spellEnd"/>
      <w:r w:rsidRPr="00CB72B4">
        <w:rPr>
          <w:sz w:val="24"/>
          <w:lang w:val="pl-PL"/>
        </w:rPr>
        <w:t xml:space="preserve"> of GMO </w:t>
      </w:r>
      <w:proofErr w:type="spellStart"/>
      <w:r w:rsidRPr="00CB72B4">
        <w:rPr>
          <w:sz w:val="24"/>
          <w:lang w:val="pl-PL"/>
        </w:rPr>
        <w:t>environmental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risk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assessment</w:t>
      </w:r>
      <w:proofErr w:type="spellEnd"/>
      <w:r w:rsidRPr="00CB72B4">
        <w:rPr>
          <w:sz w:val="24"/>
          <w:lang w:val="pl-PL"/>
        </w:rPr>
        <w:t xml:space="preserve">” [Swoistość i skutki skojarzone toksyn </w:t>
      </w:r>
      <w:proofErr w:type="spellStart"/>
      <w:r w:rsidRPr="00CB72B4">
        <w:rPr>
          <w:sz w:val="24"/>
          <w:lang w:val="pl-PL"/>
        </w:rPr>
        <w:t>Cry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Bacillus</w:t>
      </w:r>
      <w:proofErr w:type="spellEnd"/>
      <w:r w:rsidRPr="00CB72B4">
        <w:rPr>
          <w:sz w:val="24"/>
          <w:lang w:val="pl-PL"/>
        </w:rPr>
        <w:t xml:space="preserve"> </w:t>
      </w:r>
      <w:proofErr w:type="spellStart"/>
      <w:r w:rsidRPr="00CB72B4">
        <w:rPr>
          <w:sz w:val="24"/>
          <w:lang w:val="pl-PL"/>
        </w:rPr>
        <w:t>thuringiensis</w:t>
      </w:r>
      <w:proofErr w:type="spellEnd"/>
      <w:r w:rsidRPr="00CB72B4">
        <w:rPr>
          <w:sz w:val="24"/>
          <w:lang w:val="pl-PL"/>
        </w:rPr>
        <w:t xml:space="preserve"> w kontekście oceny ryzyka związanego z GMO], </w:t>
      </w:r>
      <w:proofErr w:type="spellStart"/>
      <w:r w:rsidRPr="00CB72B4">
        <w:rPr>
          <w:sz w:val="24"/>
          <w:lang w:val="pl-PL"/>
        </w:rPr>
        <w:t>Frontiers</w:t>
      </w:r>
      <w:proofErr w:type="spellEnd"/>
      <w:r w:rsidRPr="00CB72B4">
        <w:rPr>
          <w:sz w:val="24"/>
          <w:lang w:val="pl-PL"/>
        </w:rPr>
        <w:t xml:space="preserve"> in </w:t>
      </w:r>
      <w:proofErr w:type="spellStart"/>
      <w:r w:rsidRPr="00CB72B4">
        <w:rPr>
          <w:sz w:val="24"/>
          <w:lang w:val="pl-PL"/>
        </w:rPr>
        <w:t>Environmental</w:t>
      </w:r>
      <w:proofErr w:type="spellEnd"/>
      <w:r w:rsidRPr="00CB72B4">
        <w:rPr>
          <w:sz w:val="24"/>
          <w:lang w:val="pl-PL"/>
        </w:rPr>
        <w:t xml:space="preserve"> Science</w:t>
      </w:r>
      <w:proofErr w:type="gramStart"/>
      <w:r w:rsidRPr="00CB72B4">
        <w:rPr>
          <w:sz w:val="24"/>
          <w:lang w:val="pl-PL"/>
        </w:rPr>
        <w:t xml:space="preserve">, 2015, 3:71, </w:t>
      </w:r>
      <w:hyperlink r:id="rId9" w:history="1">
        <w:proofErr w:type="gramEnd"/>
        <w:r w:rsidRPr="00CB72B4">
          <w:rPr>
            <w:rStyle w:val="Hyperlink"/>
            <w:sz w:val="24"/>
            <w:lang w:val="pl-PL"/>
          </w:rPr>
          <w:t>https://doi.org/10.3389/fenvs.2015.00071</w:t>
        </w:r>
      </w:hyperlink>
      <w:r w:rsidRPr="00CB72B4">
        <w:rPr>
          <w:sz w:val="24"/>
          <w:lang w:val="pl-PL"/>
        </w:rPr>
        <w:t>.</w:t>
      </w:r>
    </w:p>
  </w:footnote>
  <w:footnote w:id="10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hyperlink r:id="rId10" w:history="1">
        <w:r w:rsidRPr="00CB72B4">
          <w:rPr>
            <w:rStyle w:val="Hyperlink"/>
            <w:sz w:val="24"/>
            <w:lang w:val="pl-PL"/>
          </w:rPr>
          <w:t>https://efsa.onlinelibrary.wiley.com/action/downloadSupplement?doi=10.2903%‌2Fj.efsa.2024.8489&amp;file=efs28489-sup-0008-Annex_8.pdf</w:t>
        </w:r>
      </w:hyperlink>
      <w:r w:rsidRPr="00CB72B4">
        <w:rPr>
          <w:rStyle w:val="Hyperlink"/>
          <w:sz w:val="24"/>
          <w:lang w:val="pl-PL"/>
        </w:rPr>
        <w:t>.</w:t>
      </w:r>
    </w:p>
  </w:footnote>
  <w:footnote w:id="11">
    <w:p w:rsidR="001C7518" w:rsidRPr="00CB72B4" w:rsidRDefault="001C7518" w:rsidP="00CB72B4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hyperlink r:id="rId11" w:history="1">
        <w:r w:rsidRPr="00CB72B4">
          <w:rPr>
            <w:rStyle w:val="Hyperlink"/>
            <w:sz w:val="24"/>
            <w:lang w:val="pl-PL"/>
          </w:rPr>
          <w:t>https://commission.europa.eu/document/2c64e540-c07a-4376-a1da-368d289f4afe_en</w:t>
        </w:r>
      </w:hyperlink>
    </w:p>
    <w:p w:rsidR="001C7518" w:rsidRPr="00CB72B4" w:rsidRDefault="00CB72B4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sz w:val="24"/>
          <w:lang w:val="pl-PL"/>
        </w:rPr>
        <w:t xml:space="preserve"> </w:t>
      </w:r>
      <w:r w:rsidRPr="00CB72B4">
        <w:rPr>
          <w:sz w:val="24"/>
          <w:lang w:val="pl-PL"/>
        </w:rPr>
        <w:tab/>
      </w:r>
    </w:p>
  </w:footnote>
  <w:footnote w:id="12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>Zgodnie z art. 6 ust. 3 rozporządzenia (UE) nr 182/2011 Komisja „może przyjąć”, a nie „przyjmuje” zezwolenie, jeżeli nie opowie się za nim kwalifikowana większość państw członkowskich w komitecie odwoławczym.</w:t>
      </w:r>
    </w:p>
  </w:footnote>
  <w:footnote w:id="13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 xml:space="preserve">Rozporządzenie (WE) nr 178/2002 Parlamentu Europejskiego i Rady z dnia 28 stycznia 2002 r. ustanawiające ogólne zasady i wymagania prawa żywnościowego, powołujące Europejski Urząd ds. Bezpieczeństwa Żywności oraz ustanawiające procedury w zakresie bezpieczeństwa żywności (Dz.U. L 31 z 1.2.2002, </w:t>
      </w:r>
      <w:proofErr w:type="gramStart"/>
      <w:r w:rsidRPr="00CB72B4">
        <w:rPr>
          <w:sz w:val="24"/>
          <w:lang w:val="pl-PL"/>
        </w:rPr>
        <w:t>s</w:t>
      </w:r>
      <w:proofErr w:type="gramEnd"/>
      <w:r w:rsidRPr="00CB72B4">
        <w:rPr>
          <w:sz w:val="24"/>
          <w:lang w:val="pl-PL"/>
        </w:rPr>
        <w:t xml:space="preserve">. 1, ELI: </w:t>
      </w:r>
      <w:hyperlink r:id="rId12" w:tooltip="Gives access to this document through its ELI URI." w:history="1">
        <w:r w:rsidRPr="00CB72B4">
          <w:rPr>
            <w:rStyle w:val="Hyperlink"/>
            <w:color w:val="337AB7"/>
            <w:sz w:val="24"/>
            <w:shd w:val="clear" w:color="auto" w:fill="FFFFFF"/>
            <w:lang w:val="pl-PL"/>
          </w:rPr>
          <w:t>http://data.europa.eu/eli/reg/2002/178/oj</w:t>
        </w:r>
      </w:hyperlink>
      <w:r w:rsidRPr="00CB72B4">
        <w:rPr>
          <w:sz w:val="24"/>
          <w:lang w:val="pl-PL"/>
        </w:rPr>
        <w:t>).</w:t>
      </w:r>
    </w:p>
  </w:footnote>
  <w:footnote w:id="14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hyperlink r:id="rId13" w:history="1">
        <w:r w:rsidRPr="00CB72B4">
          <w:rPr>
            <w:rStyle w:val="Hyperlink"/>
            <w:sz w:val="24"/>
            <w:lang w:val="pl-PL"/>
          </w:rPr>
          <w:t>https://tillymetz.lu/wp-content/uploads/2020/09/Co-signed-letter-MEP-Metz.pdf</w:t>
        </w:r>
      </w:hyperlink>
      <w:r w:rsidRPr="00CB72B4">
        <w:rPr>
          <w:rStyle w:val="Hyperlink"/>
          <w:sz w:val="24"/>
          <w:lang w:val="pl-PL"/>
        </w:rPr>
        <w:t>.</w:t>
      </w:r>
    </w:p>
  </w:footnote>
  <w:footnote w:id="15">
    <w:p w:rsidR="001C7518" w:rsidRPr="00CB72B4" w:rsidRDefault="001C7518" w:rsidP="00CB72B4">
      <w:pPr>
        <w:pStyle w:val="FootnoteText"/>
        <w:ind w:left="567" w:hanging="567"/>
        <w:rPr>
          <w:sz w:val="24"/>
          <w:lang w:val="pl-PL"/>
        </w:rPr>
      </w:pPr>
      <w:r w:rsidRPr="00CB72B4">
        <w:rPr>
          <w:rStyle w:val="FootnoteReference"/>
          <w:sz w:val="24"/>
          <w:lang w:val="pl-PL"/>
        </w:rPr>
        <w:footnoteRef/>
      </w:r>
      <w:r w:rsidR="00CB72B4" w:rsidRPr="00CB72B4">
        <w:rPr>
          <w:sz w:val="24"/>
          <w:lang w:val="pl-PL"/>
        </w:rPr>
        <w:t xml:space="preserve"> </w:t>
      </w:r>
      <w:r w:rsidR="00CB72B4" w:rsidRPr="00CB72B4">
        <w:rPr>
          <w:sz w:val="24"/>
          <w:lang w:val="pl-PL"/>
        </w:rPr>
        <w:tab/>
      </w:r>
      <w:r w:rsidRPr="00CB72B4">
        <w:rPr>
          <w:sz w:val="24"/>
          <w:lang w:val="pl-PL"/>
        </w:rPr>
        <w:t xml:space="preserve">Rezolucja Parlamentu Europejskiego z dnia 15 stycznia 2020 r. w sprawie Europejskiego Zielonego Ładu (Dz.U. C 270 z 7.7.2021, </w:t>
      </w:r>
      <w:proofErr w:type="gramStart"/>
      <w:r w:rsidRPr="00CB72B4">
        <w:rPr>
          <w:sz w:val="24"/>
          <w:lang w:val="pl-PL"/>
        </w:rPr>
        <w:t>s</w:t>
      </w:r>
      <w:proofErr w:type="gramEnd"/>
      <w:r w:rsidRPr="00CB72B4">
        <w:rPr>
          <w:sz w:val="24"/>
          <w:lang w:val="pl-PL"/>
        </w:rPr>
        <w:t>. 2), ust.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72B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72B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B72B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4"/>
    <w:docVar w:name="dvlangue" w:val="PL"/>
    <w:docVar w:name="dvnumam" w:val="0"/>
    <w:docVar w:name="dvpe" w:val="763.280"/>
    <w:docVar w:name="dvtitre" w:val="Rezolucja Parlamentu Europejskiego z dnia 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2024/2840(RSP))"/>
  </w:docVars>
  <w:rsids>
    <w:rsidRoot w:val="00886C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751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04D"/>
    <w:rsid w:val="008840E5"/>
    <w:rsid w:val="00886C7B"/>
    <w:rsid w:val="00887B3E"/>
    <w:rsid w:val="008C2AC6"/>
    <w:rsid w:val="00930C23"/>
    <w:rsid w:val="0093193B"/>
    <w:rsid w:val="009509D8"/>
    <w:rsid w:val="00950B64"/>
    <w:rsid w:val="00981893"/>
    <w:rsid w:val="009D02D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2B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D308E3"/>
  <w15:chartTrackingRefBased/>
  <w15:docId w15:val="{23192F5D-EC42-4836-979E-98BCBEA8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C7518"/>
    <w:pPr>
      <w:spacing w:before="480" w:after="240"/>
    </w:pPr>
  </w:style>
  <w:style w:type="paragraph" w:customStyle="1" w:styleId="NormalBold12a">
    <w:name w:val="NormalBold12a"/>
    <w:basedOn w:val="Normal"/>
    <w:rsid w:val="001C751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C7518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1C75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biotech.org/wp-content/uploads/2023/12/RAGES_report-Insecticidal-Bt-plants.pdf" TargetMode="External"/><Relationship Id="rId13" Type="http://schemas.openxmlformats.org/officeDocument/2006/relationships/hyperlink" Target="https://tillymetz.lu/wp-content/uploads/2020/09/Co-signed-letter-MEP-Metz.pdf" TargetMode="External"/><Relationship Id="rId3" Type="http://schemas.openxmlformats.org/officeDocument/2006/relationships/hyperlink" Target="http://data.europa.eu/eli/reg/2011/182/oj" TargetMode="External"/><Relationship Id="rId7" Type="http://schemas.openxmlformats.org/officeDocument/2006/relationships/hyperlink" Target="https://onlinelibrary.wiley.com/doi/full/10.1002/jat.3252" TargetMode="External"/><Relationship Id="rId12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03/1829/oj" TargetMode="External"/><Relationship Id="rId1" Type="http://schemas.openxmlformats.org/officeDocument/2006/relationships/hyperlink" Target="http://data.europa.eu/eli/dec_impl/2024/1828/oj" TargetMode="External"/><Relationship Id="rId6" Type="http://schemas.openxmlformats.org/officeDocument/2006/relationships/hyperlink" Target="http://data.europa.eu/eli/dec_impl/2017/1207/oj" TargetMode="External"/><Relationship Id="rId11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://data.europa.eu/eli/dec_impl/2013/649/oj" TargetMode="External"/><Relationship Id="rId10" Type="http://schemas.openxmlformats.org/officeDocument/2006/relationships/hyperlink" Target="https://efsa.onlinelibrary.wiley.com/action/downloadSupplement?doi=10.2903/j.efsa.2024.8489&amp;file=efs28489-sup-0008-Annex_8.pdf" TargetMode="External"/><Relationship Id="rId4" Type="http://schemas.openxmlformats.org/officeDocument/2006/relationships/hyperlink" Target="https://doi.org/10.2903/j.efsa.2024.8489" TargetMode="External"/><Relationship Id="rId9" Type="http://schemas.openxmlformats.org/officeDocument/2006/relationships/hyperlink" Target="https://doi.org/10.3389/fenvs.2015.000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ED40C-03E4-4E54-9B66-4670F62C5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1262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2024-11-26T12:37:00Z</dcterms:created>
  <dcterms:modified xsi:type="dcterms:W3CDTF">2024-11-26T12:37:00Z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B10-0146/2024</vt:lpwstr>
  </property>
  <property fmtid="{D5CDD505-2E9C-101B-9397-08002B2CF9AE}" pid="4" name="&lt;Type&gt;">
    <vt:lpwstr>RR</vt:lpwstr>
  </property>
</Properties>
</file>