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71CEB" w14:paraId="01D79C0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43A41BC" w14:textId="77777777" w:rsidR="00751A4A" w:rsidRPr="00F71CEB" w:rsidRDefault="0008306D" w:rsidP="0010095E">
            <w:pPr>
              <w:pStyle w:val="EPName"/>
            </w:pPr>
            <w:r w:rsidRPr="00F71CEB">
              <w:t>Parlamento Europeu</w:t>
            </w:r>
          </w:p>
          <w:p w14:paraId="59F8B68B" w14:textId="77777777" w:rsidR="00751A4A" w:rsidRPr="00F71CE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71CEB">
              <w:t>2024</w:t>
            </w:r>
            <w:r w:rsidR="00817416" w:rsidRPr="00F71CEB">
              <w:t>-202</w:t>
            </w:r>
            <w:r w:rsidRPr="00F71CEB">
              <w:t>9</w:t>
            </w:r>
          </w:p>
        </w:tc>
        <w:tc>
          <w:tcPr>
            <w:tcW w:w="2268" w:type="dxa"/>
            <w:shd w:val="clear" w:color="auto" w:fill="auto"/>
          </w:tcPr>
          <w:p w14:paraId="357FC5E4" w14:textId="77777777" w:rsidR="00751A4A" w:rsidRPr="00F71CEB" w:rsidRDefault="00187494" w:rsidP="0010095E">
            <w:pPr>
              <w:pStyle w:val="EPLogo"/>
            </w:pPr>
            <w:r w:rsidRPr="00F71CEB">
              <w:rPr>
                <w:noProof/>
                <w:lang w:val="en-GB"/>
              </w:rPr>
              <w:drawing>
                <wp:inline distT="0" distB="0" distL="0" distR="0" wp14:anchorId="2F41BE74" wp14:editId="0834464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89E7CD" w14:textId="77777777" w:rsidR="00D058B8" w:rsidRPr="00F71CEB" w:rsidRDefault="00D058B8" w:rsidP="004C5D52">
      <w:pPr>
        <w:pStyle w:val="LineTop"/>
      </w:pPr>
    </w:p>
    <w:p w14:paraId="108E77D9" w14:textId="77777777" w:rsidR="00680577" w:rsidRPr="00F71CEB" w:rsidRDefault="0008306D" w:rsidP="00680577">
      <w:pPr>
        <w:pStyle w:val="EPBodyTA1"/>
      </w:pPr>
      <w:r w:rsidRPr="00F71CEB">
        <w:t>TEXTOS APROVADOS</w:t>
      </w:r>
    </w:p>
    <w:p w14:paraId="4498782E" w14:textId="77777777" w:rsidR="00D058B8" w:rsidRPr="00F71CEB" w:rsidRDefault="00D058B8" w:rsidP="00D058B8">
      <w:pPr>
        <w:pStyle w:val="LineBottom"/>
      </w:pPr>
    </w:p>
    <w:p w14:paraId="284746F7" w14:textId="784F58A9" w:rsidR="0008306D" w:rsidRPr="00F71CEB" w:rsidRDefault="0008306D" w:rsidP="0008306D">
      <w:pPr>
        <w:pStyle w:val="ATHeading1"/>
      </w:pPr>
      <w:bookmarkStart w:id="0" w:name="TANumber"/>
      <w:r w:rsidRPr="00F71CEB">
        <w:t>P10_TA(2024)00</w:t>
      </w:r>
      <w:bookmarkEnd w:id="0"/>
      <w:r w:rsidR="00BA4BE2">
        <w:t>41</w:t>
      </w:r>
      <w:bookmarkStart w:id="1" w:name="_GoBack"/>
      <w:bookmarkEnd w:id="1"/>
    </w:p>
    <w:p w14:paraId="517A4BCB" w14:textId="23A676D5" w:rsidR="0008306D" w:rsidRPr="00F71CEB" w:rsidRDefault="0008306D" w:rsidP="0008306D">
      <w:pPr>
        <w:pStyle w:val="ATHeading2"/>
      </w:pPr>
      <w:bookmarkStart w:id="2" w:name="title"/>
      <w:r w:rsidRPr="00F71CEB">
        <w:t>Milho geneticamente modificado MON 810</w:t>
      </w:r>
      <w:bookmarkEnd w:id="2"/>
    </w:p>
    <w:p w14:paraId="5BBA9152" w14:textId="77777777" w:rsidR="0008306D" w:rsidRPr="00F71CEB" w:rsidRDefault="0008306D" w:rsidP="0008306D">
      <w:pPr>
        <w:rPr>
          <w:i/>
          <w:vanish/>
        </w:rPr>
      </w:pPr>
      <w:r w:rsidRPr="00F71CEB">
        <w:rPr>
          <w:i/>
        </w:rPr>
        <w:fldChar w:fldCharType="begin"/>
      </w:r>
      <w:r w:rsidRPr="00F71CEB">
        <w:rPr>
          <w:i/>
        </w:rPr>
        <w:instrText xml:space="preserve"> TC"(</w:instrText>
      </w:r>
      <w:bookmarkStart w:id="3" w:name="DocNumber"/>
      <w:r w:rsidRPr="00F71CEB">
        <w:rPr>
          <w:i/>
        </w:rPr>
        <w:instrText>B10-0146/2024</w:instrText>
      </w:r>
      <w:bookmarkEnd w:id="3"/>
      <w:r w:rsidRPr="00F71CEB">
        <w:rPr>
          <w:i/>
        </w:rPr>
        <w:instrText xml:space="preserve">)"\l3 \n&gt; \* MERGEFORMAT </w:instrText>
      </w:r>
      <w:r w:rsidRPr="00F71CEB">
        <w:rPr>
          <w:i/>
        </w:rPr>
        <w:fldChar w:fldCharType="end"/>
      </w:r>
    </w:p>
    <w:p w14:paraId="1F65EA2E" w14:textId="77777777" w:rsidR="0008306D" w:rsidRPr="00F71CEB" w:rsidRDefault="0008306D" w:rsidP="0008306D">
      <w:pPr>
        <w:rPr>
          <w:vanish/>
        </w:rPr>
      </w:pPr>
      <w:bookmarkStart w:id="4" w:name="PE"/>
      <w:r w:rsidRPr="00F71CEB">
        <w:rPr>
          <w:vanish/>
        </w:rPr>
        <w:t>PE763.280</w:t>
      </w:r>
      <w:bookmarkEnd w:id="4"/>
    </w:p>
    <w:p w14:paraId="23D5B610" w14:textId="0AAFA0CE" w:rsidR="0008306D" w:rsidRPr="00F71CEB" w:rsidRDefault="0008306D" w:rsidP="0008306D">
      <w:pPr>
        <w:pStyle w:val="ATHeading3"/>
      </w:pPr>
      <w:bookmarkStart w:id="5" w:name="Sujet"/>
      <w:r w:rsidRPr="00F71CEB">
        <w:t xml:space="preserve">Resolução do Parlamento Europeu, de </w:t>
      </w:r>
      <w:r w:rsidR="00F71CEB">
        <w:t>26</w:t>
      </w:r>
      <w:r w:rsidR="00F71CEB" w:rsidRPr="00F71CEB">
        <w:t xml:space="preserve"> </w:t>
      </w:r>
      <w:r w:rsidRPr="00F71CEB">
        <w:t xml:space="preserve">de </w:t>
      </w:r>
      <w:r w:rsidR="00F71CEB">
        <w:t>novembro</w:t>
      </w:r>
      <w:r w:rsidR="00F71CEB" w:rsidRPr="00F71CEB">
        <w:t xml:space="preserve"> </w:t>
      </w:r>
      <w:r w:rsidRPr="00F71CEB">
        <w:t xml:space="preserve">de 2024, sobre a Decisão de Execução (UE) 2024/1828 da Comissão que renova a autorização de colocação no mercado de alimentos para animais que contenham ou sejam constituídos por milho geneticamente modificado MON 810 e de géneros alimentícios e alimentos para animais produzidos a partir desse milho geneticamente modificado, nos termos do Regulamento (CE) n.º 1829/2003 do Parlamento Europeu e do Conselho, e que revoga a Decisão de Execução (UE) 2017/1207 da Comissão </w:t>
      </w:r>
      <w:bookmarkStart w:id="6" w:name="References"/>
      <w:r w:rsidRPr="00F71CEB">
        <w:t>(2024/2840(RSP))</w:t>
      </w:r>
      <w:bookmarkEnd w:id="6"/>
    </w:p>
    <w:p w14:paraId="58B64500" w14:textId="77777777" w:rsidR="00AA6702" w:rsidRPr="00F71CEB" w:rsidRDefault="00AA6702" w:rsidP="00AA6702">
      <w:pPr>
        <w:pStyle w:val="EPComma"/>
      </w:pPr>
      <w:bookmarkStart w:id="7" w:name="TextBodyBegin"/>
      <w:bookmarkEnd w:id="5"/>
      <w:bookmarkEnd w:id="7"/>
      <w:r w:rsidRPr="00F71CEB">
        <w:rPr>
          <w:i/>
          <w:iCs/>
        </w:rPr>
        <w:t>O Parlamento Europeu</w:t>
      </w:r>
      <w:r w:rsidRPr="00F71CEB">
        <w:t>,</w:t>
      </w:r>
    </w:p>
    <w:p w14:paraId="6381EBE3" w14:textId="77777777" w:rsidR="00AA6702" w:rsidRPr="00F71CEB" w:rsidRDefault="00AA6702" w:rsidP="00AA6702">
      <w:pPr>
        <w:pStyle w:val="NormalHanging12a"/>
      </w:pPr>
      <w:r w:rsidRPr="00F71CEB">
        <w:t>–</w:t>
      </w:r>
      <w:r w:rsidRPr="00F71CEB">
        <w:tab/>
        <w:t>Tendo em conta a Decisão de Execução (UE) 2024/1828 da Comissão que renova a autorização de colocação no mercado de alimentos para animais que contenham ou sejam constituídos por milho geneticamente modificado MON 810 e de géneros alimentícios e alimentos para animais produzidos a partir desse milho geneticamente modificado, nos termos do Regulamento (CE) n.º 1829/2003 do Parlamento Europeu e do Conselho, e que revoga a Decisão de Execução (UE) 2017/1207 da Comissão</w:t>
      </w:r>
      <w:r w:rsidRPr="00F71CEB">
        <w:rPr>
          <w:rStyle w:val="FootnoteReference"/>
        </w:rPr>
        <w:footnoteReference w:id="1"/>
      </w:r>
      <w:r w:rsidRPr="00F71CEB">
        <w:t>,</w:t>
      </w:r>
    </w:p>
    <w:p w14:paraId="0A4349F8" w14:textId="77777777" w:rsidR="00AA6702" w:rsidRPr="00F71CEB" w:rsidRDefault="00AA6702" w:rsidP="00AA6702">
      <w:pPr>
        <w:pStyle w:val="NormalHanging12a"/>
      </w:pPr>
      <w:r w:rsidRPr="00F71CEB">
        <w:t>–</w:t>
      </w:r>
      <w:r w:rsidRPr="00F71CEB">
        <w:tab/>
        <w:t>Tendo em conta o Regulamento (CE) n.º 1829/2003 do Parlamento Europeu e do Conselho, de 22 de setembro de 2003, relativo a géneros alimentícios e alimentos para animais geneticamente modificados</w:t>
      </w:r>
      <w:r w:rsidRPr="00F71CEB">
        <w:rPr>
          <w:rStyle w:val="FootnoteReference"/>
        </w:rPr>
        <w:footnoteReference w:id="2"/>
      </w:r>
      <w:r w:rsidRPr="00F71CEB">
        <w:t>, nomeadamente o artigo 11.º, n.º 3, e o artigo 23.º, n.º 3,</w:t>
      </w:r>
    </w:p>
    <w:p w14:paraId="52797527" w14:textId="77777777" w:rsidR="00AA6702" w:rsidRPr="00F71CEB" w:rsidRDefault="00AA6702" w:rsidP="00AA6702">
      <w:pPr>
        <w:pStyle w:val="NormalHanging12a"/>
      </w:pPr>
      <w:r w:rsidRPr="00F71CEB">
        <w:t>–</w:t>
      </w:r>
      <w:r w:rsidRPr="00F71CEB">
        <w:tab/>
        <w:t xml:space="preserve">Tendo em conta a </w:t>
      </w:r>
      <w:r w:rsidRPr="00F71CEB">
        <w:rPr>
          <w:shd w:val="clear" w:color="auto" w:fill="FFFFFF"/>
        </w:rPr>
        <w:t>votação do Comité Permanente dos Vegetais, Animais e Alimentos para Consumo Humano e Animal a que se refere o artigo 35.º do Regulamento (CE) n.º 1829/2003, realizada em 26 de abril de 2024, no âmbito da qual não foi emitido qualquer parecer, bem como a votação do Comité de Recurso, realizada em 29 de maio de 2024, no âmbito da qual também não foi</w:t>
      </w:r>
      <w:r w:rsidRPr="00F71CEB">
        <w:t xml:space="preserve"> emitido qualquer parecer,</w:t>
      </w:r>
    </w:p>
    <w:p w14:paraId="18902CA4" w14:textId="77777777" w:rsidR="00AA6702" w:rsidRPr="00F71CEB" w:rsidRDefault="00AA6702" w:rsidP="00AA6702">
      <w:pPr>
        <w:pStyle w:val="NormalHanging12a"/>
      </w:pPr>
      <w:r w:rsidRPr="00F71CEB">
        <w:t>–</w:t>
      </w:r>
      <w:r w:rsidRPr="00F71CEB">
        <w:tab/>
        <w:t>Tendo em conta o artigo 11.º do Regulamento (UE) n.º 182/2011 do Parlamento Europeu e do Conselho, de 16 de fevereiro de 2011, que estabelece as regras e os princípios gerais relativos aos mecanismos de controlo pelos Estados</w:t>
      </w:r>
      <w:r w:rsidRPr="00F71CEB">
        <w:noBreakHyphen/>
        <w:t xml:space="preserve">Membros do </w:t>
      </w:r>
      <w:r w:rsidRPr="00F71CEB">
        <w:lastRenderedPageBreak/>
        <w:t>exercício das competências de execução pela Comissão</w:t>
      </w:r>
      <w:r w:rsidRPr="00F71CEB">
        <w:rPr>
          <w:rStyle w:val="FootnoteReference"/>
        </w:rPr>
        <w:footnoteReference w:id="3"/>
      </w:r>
      <w:r w:rsidRPr="00F71CEB">
        <w:t>,</w:t>
      </w:r>
    </w:p>
    <w:p w14:paraId="6E0D5063" w14:textId="77777777" w:rsidR="00AA6702" w:rsidRPr="00F71CEB" w:rsidRDefault="00AA6702" w:rsidP="00AA6702">
      <w:pPr>
        <w:pStyle w:val="NormalHanging12a"/>
      </w:pPr>
      <w:r w:rsidRPr="00F71CEB">
        <w:t>–</w:t>
      </w:r>
      <w:r w:rsidRPr="00F71CEB">
        <w:tab/>
        <w:t>Tendo em conta o parecer adotado pela Autoridade Europeia para a Segurança dos Alimentos (EFSA) em 30 de novembro de 2023 e publicado em 19 de janeiro de 2024</w:t>
      </w:r>
      <w:r w:rsidRPr="00F71CEB">
        <w:rPr>
          <w:rStyle w:val="FootnoteReference"/>
        </w:rPr>
        <w:footnoteReference w:id="4"/>
      </w:r>
      <w:r w:rsidRPr="00F71CEB">
        <w:t>,</w:t>
      </w:r>
    </w:p>
    <w:p w14:paraId="0FD1EABE" w14:textId="77777777" w:rsidR="00AA6702" w:rsidRPr="00F71CEB" w:rsidRDefault="00AA6702" w:rsidP="00AA6702">
      <w:pPr>
        <w:pStyle w:val="NormalHanging12a"/>
        <w:rPr>
          <w:szCs w:val="24"/>
          <w:shd w:val="clear" w:color="auto" w:fill="FFFFFF"/>
        </w:rPr>
      </w:pPr>
      <w:r w:rsidRPr="00F71CEB">
        <w:t>–</w:t>
      </w:r>
      <w:r w:rsidRPr="00F71CEB">
        <w:tab/>
      </w:r>
      <w:r w:rsidRPr="00F71CEB">
        <w:rPr>
          <w:shd w:val="clear" w:color="auto" w:fill="FFFFFF"/>
        </w:rPr>
        <w:t>Tendo em conta as suas anteriores resoluções que se opõem à autorização de organismos geneticamente modificados («OGM»)</w:t>
      </w:r>
      <w:r w:rsidRPr="00F71CEB">
        <w:rPr>
          <w:szCs w:val="24"/>
          <w:shd w:val="clear" w:color="auto" w:fill="FFFFFF"/>
          <w:vertAlign w:val="superscript"/>
        </w:rPr>
        <w:footnoteReference w:id="5"/>
      </w:r>
      <w:r w:rsidRPr="00F71CEB">
        <w:rPr>
          <w:shd w:val="clear" w:color="auto" w:fill="FFFFFF"/>
        </w:rPr>
        <w:t>,</w:t>
      </w:r>
    </w:p>
    <w:p w14:paraId="03272968" w14:textId="77777777" w:rsidR="00AA6702" w:rsidRPr="00F71CEB" w:rsidRDefault="00AA6702" w:rsidP="00AA6702">
      <w:pPr>
        <w:pStyle w:val="NormalHanging12a"/>
      </w:pPr>
      <w:r w:rsidRPr="00F71CEB">
        <w:t>–</w:t>
      </w:r>
      <w:r w:rsidRPr="00F71CEB">
        <w:tab/>
        <w:t>Tendo em conta o artigo 115.º, n.</w:t>
      </w:r>
      <w:r w:rsidRPr="00F71CEB">
        <w:rPr>
          <w:vertAlign w:val="superscript"/>
        </w:rPr>
        <w:t>os</w:t>
      </w:r>
      <w:r w:rsidRPr="00F71CEB">
        <w:t> 2 e 3, do seu Regimento,</w:t>
      </w:r>
    </w:p>
    <w:p w14:paraId="106C3EF8" w14:textId="77777777" w:rsidR="00AA6702" w:rsidRPr="00F71CEB" w:rsidRDefault="00AA6702" w:rsidP="00AA6702">
      <w:pPr>
        <w:pStyle w:val="NormalHanging12a"/>
      </w:pPr>
      <w:r w:rsidRPr="00F71CEB">
        <w:t>–</w:t>
      </w:r>
      <w:r w:rsidRPr="00F71CEB">
        <w:tab/>
        <w:t>Tendo em conta a proposta de resolução da Comissão do Ambiente, da Saúde Pública e da Segurança Alimentar,</w:t>
      </w:r>
    </w:p>
    <w:p w14:paraId="23B86ED0" w14:textId="6411A042" w:rsidR="00AA6702" w:rsidRPr="00F71CEB" w:rsidRDefault="00AA6702" w:rsidP="00AA6702">
      <w:pPr>
        <w:pStyle w:val="NormalHanging12a"/>
      </w:pPr>
      <w:r w:rsidRPr="00F71CEB">
        <w:t>A.</w:t>
      </w:r>
      <w:r w:rsidRPr="00F71CEB">
        <w:tab/>
        <w:t>Considerando que, em 6 de outubro de 2022, a empresa Bayer Agriculture BV, sediada na Bélgica, apresentou à Comissão, em nome da empresa Bayer CropScience LP, sediada nos Estados Unidos, um pedido para a renovação da Decisão de Execução 2013/649/UE da Comissão</w:t>
      </w:r>
      <w:r w:rsidRPr="00F71CEB">
        <w:rPr>
          <w:rStyle w:val="FootnoteReference"/>
        </w:rPr>
        <w:footnoteReference w:id="6"/>
      </w:r>
      <w:r w:rsidRPr="00F71CEB">
        <w:t xml:space="preserve"> e da Decisão de Execução (UE) 2017/1207 da Comissão</w:t>
      </w:r>
      <w:r w:rsidRPr="00F71CEB">
        <w:rPr>
          <w:rStyle w:val="FootnoteReference"/>
        </w:rPr>
        <w:footnoteReference w:id="7"/>
      </w:r>
      <w:r w:rsidR="00FD65FA">
        <w:t>; considerando que</w:t>
      </w:r>
      <w:r w:rsidRPr="00F71CEB">
        <w:t>, por força do artigo 11.º, n.º 4, do Regulamento (CE) n.º 1829/2003, o período de autorização do pólen geneticamente modificado produzido a partir de milho geneticamente modificado MON 810 («milho GM») destinado à alimentação humana abrangida pela Decisão de Execução 2013/649/UE foi prorrogado automaticamente até que seja tomada uma decisão sobre o pedido de renovação;</w:t>
      </w:r>
    </w:p>
    <w:p w14:paraId="757FED50" w14:textId="77777777" w:rsidR="00AA6702" w:rsidRPr="00F71CEB" w:rsidRDefault="00AA6702" w:rsidP="00AA6702">
      <w:pPr>
        <w:pStyle w:val="NormalHanging12a"/>
      </w:pPr>
      <w:r w:rsidRPr="00F71CEB">
        <w:t>B.</w:t>
      </w:r>
      <w:r w:rsidRPr="00F71CEB">
        <w:tab/>
        <w:t xml:space="preserve">Considerando que, em 30 de novembro de 2023, a EFSA aprovou um parecer favorável, que foi publicado em 19 de janeiro de 2024; </w:t>
      </w:r>
    </w:p>
    <w:p w14:paraId="47C00867" w14:textId="77777777" w:rsidR="00AA6702" w:rsidRPr="00F71CEB" w:rsidRDefault="00AA6702" w:rsidP="00AA6702">
      <w:pPr>
        <w:pStyle w:val="NormalHanging12a"/>
      </w:pPr>
      <w:r w:rsidRPr="00F71CEB">
        <w:t>C.</w:t>
      </w:r>
      <w:r w:rsidRPr="00F71CEB">
        <w:tab/>
        <w:t>Considerando que o milho GM foi modificado para produzir inseticidas («toxinas Bt»);</w:t>
      </w:r>
    </w:p>
    <w:p w14:paraId="2D0F3874" w14:textId="77777777" w:rsidR="00AA6702" w:rsidRPr="00F71CEB" w:rsidRDefault="00AA6702" w:rsidP="00AA6702">
      <w:pPr>
        <w:pStyle w:val="NormalHanging12a"/>
        <w:rPr>
          <w:b/>
          <w:i/>
        </w:rPr>
      </w:pPr>
      <w:r w:rsidRPr="00F71CEB">
        <w:rPr>
          <w:b/>
          <w:i/>
        </w:rPr>
        <w:t>Questões pendentes relativas às toxinas Bt</w:t>
      </w:r>
    </w:p>
    <w:p w14:paraId="3BF5763C" w14:textId="77777777" w:rsidR="00AA6702" w:rsidRPr="00F71CEB" w:rsidRDefault="00AA6702" w:rsidP="00AA6702">
      <w:pPr>
        <w:pStyle w:val="NormalHanging12a"/>
      </w:pPr>
      <w:r w:rsidRPr="00F71CEB">
        <w:t>D.</w:t>
      </w:r>
      <w:r w:rsidRPr="00F71CEB">
        <w:tab/>
        <w:t xml:space="preserve">Considerando que há vários estudos que demonstram que foram observados efeitos secundários que podem afetar o sistema imunitário humano na sequência da exposição a </w:t>
      </w:r>
      <w:r w:rsidRPr="00F71CEB">
        <w:lastRenderedPageBreak/>
        <w:t>toxinas Bt e que algumas dessas toxinas podem ter propriedades adjuvantes</w:t>
      </w:r>
      <w:r w:rsidRPr="00F71CEB">
        <w:rPr>
          <w:rStyle w:val="FootnoteReference"/>
        </w:rPr>
        <w:footnoteReference w:id="8"/>
      </w:r>
      <w:r w:rsidRPr="00F71CEB">
        <w:t>, o que significa que podem aumentar a alergenicidade de outras proteínas com as quais entrem em contacto;</w:t>
      </w:r>
    </w:p>
    <w:p w14:paraId="52C5A932" w14:textId="77777777" w:rsidR="00AA6702" w:rsidRPr="00F71CEB" w:rsidRDefault="00AA6702" w:rsidP="00AA6702">
      <w:pPr>
        <w:pStyle w:val="NormalHanging12a"/>
        <w:rPr>
          <w:b/>
          <w:i/>
        </w:rPr>
      </w:pPr>
      <w:r w:rsidRPr="00F71CEB">
        <w:rPr>
          <w:b/>
          <w:i/>
        </w:rPr>
        <w:t>Culturas Bt: efeitos em organismos não visados</w:t>
      </w:r>
    </w:p>
    <w:p w14:paraId="03F8D55C" w14:textId="77777777" w:rsidR="00AA6702" w:rsidRPr="00F71CEB" w:rsidRDefault="00AA6702" w:rsidP="00AA6702">
      <w:pPr>
        <w:pStyle w:val="NormalHanging12a"/>
        <w:rPr>
          <w:b/>
          <w:i/>
        </w:rPr>
      </w:pPr>
      <w:r w:rsidRPr="00F71CEB">
        <w:t>E.</w:t>
      </w:r>
      <w:r w:rsidRPr="00F71CEB">
        <w:tab/>
        <w:t>Considerando que, ao contrário da utilização de inseticidas, em que a exposição ocorre no momento da pulverização e durante um período limitado posterior, a utilização de culturas Bt geneticamente modificadas resulta na exposição contínua dos organismos visados e não visados às toxinas Bt;</w:t>
      </w:r>
    </w:p>
    <w:p w14:paraId="7C1DD700" w14:textId="487EC092" w:rsidR="00AA6702" w:rsidRPr="00F71CEB" w:rsidRDefault="00AA6702" w:rsidP="00AA6702">
      <w:pPr>
        <w:pStyle w:val="NormalHanging12a"/>
      </w:pPr>
      <w:r w:rsidRPr="00F71CEB">
        <w:t>F.</w:t>
      </w:r>
      <w:r w:rsidRPr="00F71CEB">
        <w:tab/>
        <w:t>Considerando que o pressuposto de que as toxinas Bt apresentam um único modo de ação específico para cada alvo já não pode ser considerado correto e que não se podem excluir efeitos em organismos não visados</w:t>
      </w:r>
      <w:r w:rsidR="00FD65FA">
        <w:t>; considerando que</w:t>
      </w:r>
      <w:r w:rsidRPr="00F71CEB">
        <w:t xml:space="preserve"> há relatos de um número crescente de organismos não visados que são afetados de múltiplas formas</w:t>
      </w:r>
      <w:r w:rsidR="00FD65FA">
        <w:t>; considerando que</w:t>
      </w:r>
      <w:r w:rsidRPr="00F71CEB">
        <w:t>, numa síntese recente, são mencionadas 39 publicações avaliadas pelos pares que relatam efeitos adversos significativos das toxinas Bt em muitas espécies não visadas</w:t>
      </w:r>
      <w:r w:rsidRPr="00F71CEB">
        <w:rPr>
          <w:rStyle w:val="FootnoteReference"/>
        </w:rPr>
        <w:footnoteReference w:id="9"/>
      </w:r>
      <w:r w:rsidRPr="00F71CEB">
        <w:t>;</w:t>
      </w:r>
    </w:p>
    <w:p w14:paraId="1FCE1E20" w14:textId="77777777" w:rsidR="00AA6702" w:rsidRPr="00F71CEB" w:rsidRDefault="00AA6702" w:rsidP="00AA6702">
      <w:pPr>
        <w:pStyle w:val="NormalHanging12a"/>
        <w:rPr>
          <w:b/>
          <w:i/>
        </w:rPr>
      </w:pPr>
      <w:r w:rsidRPr="00F71CEB">
        <w:rPr>
          <w:b/>
          <w:i/>
        </w:rPr>
        <w:t>Observações dos Estados</w:t>
      </w:r>
      <w:r w:rsidRPr="00F71CEB">
        <w:rPr>
          <w:b/>
          <w:i/>
        </w:rPr>
        <w:noBreakHyphen/>
        <w:t>Membros</w:t>
      </w:r>
    </w:p>
    <w:p w14:paraId="416686AB" w14:textId="77777777" w:rsidR="00AA6702" w:rsidRPr="00F71CEB" w:rsidRDefault="00AA6702" w:rsidP="00AA6702">
      <w:pPr>
        <w:pStyle w:val="NormalHanging12a"/>
      </w:pPr>
      <w:r w:rsidRPr="00F71CEB">
        <w:t>G.</w:t>
      </w:r>
      <w:r w:rsidRPr="00F71CEB">
        <w:tab/>
        <w:t>Considerando que os Estados</w:t>
      </w:r>
      <w:r w:rsidRPr="00F71CEB">
        <w:noBreakHyphen/>
        <w:t>Membros apresentaram à EFSA muitas observações críticas durante o período de consulta de três meses</w:t>
      </w:r>
      <w:r w:rsidRPr="00F71CEB">
        <w:rPr>
          <w:rStyle w:val="FootnoteReference"/>
        </w:rPr>
        <w:footnoteReference w:id="10"/>
      </w:r>
      <w:r w:rsidRPr="00F71CEB">
        <w:t xml:space="preserve">, incluindo a de que os dados relativos à composição do milho GM devem ser verificados e reanalisados e que a análise deve cumprir os requisitos atuais da EFSA, sendo realizados nomeadamente testes de equivalência, e a observação de que a análise da literatura não incluiu estudos sobre o destino do Cry1Ab no ambiente nem sobre os potenciais efeitos dos resíduos de culturas Bt em organismos não visados, o que é problemático, uma vez que as publicações indicam que a transformação dos alimentos para animais à base de milho GM em estrume pode conduzir à exposição de organismos do solo ao Cry1Ab e que é possível que tal desencadeie efeitos negativos nos organismos do solo, com consequências para a biodiversidade e os serviços ecossistémicos; </w:t>
      </w:r>
    </w:p>
    <w:p w14:paraId="15492E2F" w14:textId="41AE7ACE" w:rsidR="00AA6702" w:rsidRPr="00F71CEB" w:rsidRDefault="00AA6702" w:rsidP="00AA6702">
      <w:pPr>
        <w:pStyle w:val="NormalHanging12a"/>
      </w:pPr>
      <w:r w:rsidRPr="00F71CEB">
        <w:t>H.</w:t>
      </w:r>
      <w:r w:rsidRPr="00F71CEB">
        <w:tab/>
        <w:t xml:space="preserve">Considerando que o Regulamento (CE) n.º 1829/2003 determina que os géneros alimentícios ou os alimentos para animais geneticamente modificados (GM) não podem ter efeitos nocivos para a saúde humana, a saúde animal ou o ambiente e que a Comissão, ao delinear o projeto da sua decisão, deve ter em conta todas as disposições </w:t>
      </w:r>
      <w:r w:rsidRPr="00F71CEB">
        <w:lastRenderedPageBreak/>
        <w:t>pertinentes da legislação da União e outros fatores legítimos relevantes para a matéria em apreço</w:t>
      </w:r>
      <w:r w:rsidR="00FD65FA">
        <w:t>; considerando que</w:t>
      </w:r>
      <w:r w:rsidRPr="00F71CEB">
        <w:t xml:space="preserve"> estes fatores legítimos devem incluir as obrigações que incumbem à União no âmbito dos Objetivos de Desenvolvimento Sustentável (ODS) das Nações Unidas e da Convenção das Nações Unidas sobre a Diversidade Biológica (CDB);</w:t>
      </w:r>
    </w:p>
    <w:p w14:paraId="337D6F4E" w14:textId="77777777" w:rsidR="00AA6702" w:rsidRPr="00F71CEB" w:rsidRDefault="00AA6702" w:rsidP="00AA6702">
      <w:pPr>
        <w:pStyle w:val="NormalHanging12a"/>
        <w:rPr>
          <w:b/>
          <w:i/>
        </w:rPr>
      </w:pPr>
      <w:r w:rsidRPr="00F71CEB">
        <w:rPr>
          <w:b/>
          <w:i/>
        </w:rPr>
        <w:t>Reduzir a dependência de alimentos importados para animais</w:t>
      </w:r>
    </w:p>
    <w:p w14:paraId="6E23DFF2" w14:textId="5DA9FB8A" w:rsidR="00AA6702" w:rsidRPr="00F71CEB" w:rsidRDefault="00AA6702" w:rsidP="00AA6702">
      <w:pPr>
        <w:pStyle w:val="NormalHanging12a"/>
      </w:pPr>
      <w:r w:rsidRPr="00F71CEB">
        <w:t>I.</w:t>
      </w:r>
      <w:r w:rsidRPr="00F71CEB">
        <w:tab/>
        <w:t>Considerando que um dos ensinamentos retirados da crise da COVID</w:t>
      </w:r>
      <w:r w:rsidRPr="00F71CEB">
        <w:noBreakHyphen/>
        <w:t>19 e da guerra em curso na Ucrânia é a necessidade de a União pôr termo à sua dependência de alguns materiais críticos</w:t>
      </w:r>
      <w:r w:rsidR="00FD65FA">
        <w:t>; considerando que</w:t>
      </w:r>
      <w:r w:rsidRPr="00F71CEB">
        <w:t xml:space="preserve"> na carta de missão ao comissário indigitado Christophe Hansen, a presidente da Comissão, Ursula von der Leyen, lhe solicita que procure encontrar formas de reduzir as importações de matérias</w:t>
      </w:r>
      <w:r w:rsidRPr="00F71CEB">
        <w:noBreakHyphen/>
        <w:t>primas críticas</w:t>
      </w:r>
      <w:r w:rsidRPr="00F71CEB">
        <w:rPr>
          <w:rStyle w:val="FootnoteReference"/>
        </w:rPr>
        <w:footnoteReference w:id="11"/>
      </w:r>
      <w:r w:rsidRPr="00F71CEB">
        <w:t xml:space="preserve">; </w:t>
      </w:r>
    </w:p>
    <w:p w14:paraId="7153343B" w14:textId="77777777" w:rsidR="00AA6702" w:rsidRPr="00F71CEB" w:rsidRDefault="00AA6702" w:rsidP="00AA6702">
      <w:pPr>
        <w:pStyle w:val="NormalHanging12a"/>
        <w:rPr>
          <w:b/>
          <w:i/>
        </w:rPr>
      </w:pPr>
      <w:r w:rsidRPr="00F71CEB">
        <w:rPr>
          <w:b/>
          <w:i/>
        </w:rPr>
        <w:t>Processo de decisão não democrático</w:t>
      </w:r>
    </w:p>
    <w:p w14:paraId="2007BC3D" w14:textId="5D23BAA4" w:rsidR="00AA6702" w:rsidRPr="00F71CEB" w:rsidRDefault="00AA6702" w:rsidP="00AA6702">
      <w:pPr>
        <w:pStyle w:val="NormalHanging12a"/>
        <w:rPr>
          <w:b/>
          <w:i/>
        </w:rPr>
      </w:pPr>
      <w:r w:rsidRPr="00F71CEB">
        <w:t>J.</w:t>
      </w:r>
      <w:r w:rsidRPr="00F71CEB">
        <w:tab/>
      </w:r>
      <w:r w:rsidRPr="00F71CEB">
        <w:rPr>
          <w:shd w:val="clear" w:color="auto" w:fill="FFFFFF"/>
        </w:rPr>
        <w:t>Considerando que da votação de 26 de abril de 2024 do Comité Permanente dos Vegetais, Animais e Alimentos para Consumo Humano e Animal a que se refere o artigo 35.º do Regulamento (CE) n.º 1829/2003 não resultou qualquer parecer, o que significa que a autorização não teve o apoio de uma maioria qualificada de Estados</w:t>
      </w:r>
      <w:r w:rsidRPr="00F71CEB">
        <w:rPr>
          <w:shd w:val="clear" w:color="auto" w:fill="FFFFFF"/>
        </w:rPr>
        <w:noBreakHyphen/>
        <w:t>Membros</w:t>
      </w:r>
      <w:r w:rsidR="00FD65FA">
        <w:rPr>
          <w:shd w:val="clear" w:color="auto" w:fill="FFFFFF"/>
        </w:rPr>
        <w:t>; considerando que</w:t>
      </w:r>
      <w:r w:rsidRPr="00F71CEB">
        <w:rPr>
          <w:shd w:val="clear" w:color="auto" w:fill="FFFFFF"/>
        </w:rPr>
        <w:t xml:space="preserve"> da votação de 29 de maio de 2024 do Comité de Recurso também não resultou qualquer parecer;</w:t>
      </w:r>
    </w:p>
    <w:p w14:paraId="63CD2CED" w14:textId="51365005" w:rsidR="00AA6702" w:rsidRPr="00F71CEB" w:rsidRDefault="00AA6702" w:rsidP="00AA6702">
      <w:pPr>
        <w:pStyle w:val="NormalHanging12a"/>
      </w:pPr>
      <w:r w:rsidRPr="00F71CEB">
        <w:t>K.</w:t>
      </w:r>
      <w:r w:rsidRPr="00F71CEB">
        <w:tab/>
        <w:t>Considerando que, na sua 8.ª legislatura, o Parlamento aprovou um total de 36 resoluções que se opunham à colocação no mercado de OGM destinados à alimentação humana e animal (33 resoluções) e ao cultivo de OGM na União (</w:t>
      </w:r>
      <w:r w:rsidR="0096132B">
        <w:t>três</w:t>
      </w:r>
      <w:r w:rsidRPr="00F71CEB">
        <w:t> resoluções)</w:t>
      </w:r>
      <w:r w:rsidR="00FD65FA">
        <w:t>; considerando que</w:t>
      </w:r>
      <w:r w:rsidRPr="00F71CEB">
        <w:t>, na sua 9.ª legislatura, o Parlamento Europeu aprovou 38 objeções à colocação de OGM no mercado;</w:t>
      </w:r>
    </w:p>
    <w:p w14:paraId="514165D9" w14:textId="77777777" w:rsidR="00AA6702" w:rsidRPr="00F71CEB" w:rsidRDefault="00AA6702" w:rsidP="00AA6702">
      <w:pPr>
        <w:pStyle w:val="NormalHanging12a"/>
      </w:pPr>
      <w:r w:rsidRPr="00F71CEB">
        <w:t>L.</w:t>
      </w:r>
      <w:r w:rsidRPr="00F71CEB">
        <w:tab/>
        <w:t>Considerando que, apesar de reconhecer a existência de défices democráticos, bem como a falta de apoio dos Estados</w:t>
      </w:r>
      <w:r w:rsidRPr="00F71CEB">
        <w:noBreakHyphen/>
        <w:t>Membros e as objeções do Parlamento, a Comissão continua a autorizar OGM;</w:t>
      </w:r>
    </w:p>
    <w:p w14:paraId="54ED294C" w14:textId="77777777" w:rsidR="00AA6702" w:rsidRPr="00F71CEB" w:rsidRDefault="00AA6702" w:rsidP="00AA6702">
      <w:pPr>
        <w:pStyle w:val="NormalHanging12a"/>
      </w:pPr>
      <w:r w:rsidRPr="00F71CEB">
        <w:t>M.</w:t>
      </w:r>
      <w:r w:rsidRPr="00F71CEB">
        <w:tab/>
        <w:t>Considerando que não é necessária qualquer alteração à legislação para que a Comissão possa decidir não autorizar OGM quando não existir uma maioria qualificada de Estados</w:t>
      </w:r>
      <w:r w:rsidRPr="00F71CEB">
        <w:noBreakHyphen/>
        <w:t>Membros a favor no Comité de Recurso</w:t>
      </w:r>
      <w:r w:rsidRPr="00F71CEB">
        <w:rPr>
          <w:rStyle w:val="FootnoteReference"/>
        </w:rPr>
        <w:footnoteReference w:id="12"/>
      </w:r>
      <w:r w:rsidRPr="00F71CEB">
        <w:t>;</w:t>
      </w:r>
    </w:p>
    <w:p w14:paraId="29561EEE" w14:textId="77777777" w:rsidR="00AA6702" w:rsidRPr="00F71CEB" w:rsidRDefault="00AA6702" w:rsidP="00AA6702">
      <w:pPr>
        <w:pStyle w:val="NormalHanging12a"/>
      </w:pPr>
      <w:r w:rsidRPr="00F71CEB">
        <w:t>N.</w:t>
      </w:r>
      <w:r w:rsidRPr="00F71CEB">
        <w:tab/>
        <w:t>Considerando que, em 2 de julho de 2024, a Comissão renovou a autorização que permite colocar milho GM no mercado;</w:t>
      </w:r>
    </w:p>
    <w:p w14:paraId="67ED4D86" w14:textId="2BA8B067" w:rsidR="00AA6702" w:rsidRPr="00F71CEB" w:rsidRDefault="00AA6702" w:rsidP="00AA6702">
      <w:pPr>
        <w:pStyle w:val="NormalHanging12a"/>
      </w:pPr>
      <w:r w:rsidRPr="00F71CEB">
        <w:t>1.</w:t>
      </w:r>
      <w:r w:rsidRPr="00F71CEB">
        <w:tab/>
      </w:r>
      <w:r w:rsidR="0096132B" w:rsidRPr="00F71CEB">
        <w:t xml:space="preserve">Considera </w:t>
      </w:r>
      <w:r w:rsidRPr="00F71CEB">
        <w:t>que a Decisão de Execução (UE) 2024/1828 excede as competências de execução previstas no Regulamento (CE) n.º 1829/2003;</w:t>
      </w:r>
    </w:p>
    <w:p w14:paraId="15C40F4F" w14:textId="01841811" w:rsidR="00AA6702" w:rsidRPr="00F71CEB" w:rsidRDefault="00AA6702" w:rsidP="00AA6702">
      <w:pPr>
        <w:pStyle w:val="NormalHanging12a"/>
      </w:pPr>
      <w:r w:rsidRPr="00F71CEB">
        <w:t>2.</w:t>
      </w:r>
      <w:r w:rsidRPr="00F71CEB">
        <w:tab/>
        <w:t xml:space="preserve">Considera que a Decisão de Execução (UE) 2024/1828 não </w:t>
      </w:r>
      <w:r w:rsidR="0096132B" w:rsidRPr="0096132B">
        <w:t xml:space="preserve">está em conformidade </w:t>
      </w:r>
      <w:r w:rsidRPr="00F71CEB">
        <w:t xml:space="preserve">com o direito da União, uma vez que não é compatível com o objetivo do Regulamento (CE) n.º 1829/2003, que, de acordo com os princípios gerais estabelecidos no Regulamento </w:t>
      </w:r>
      <w:r w:rsidRPr="00F71CEB">
        <w:lastRenderedPageBreak/>
        <w:t>(CE) n.º 178/2002 do Parlamento Europeu e do Conselho</w:t>
      </w:r>
      <w:r w:rsidRPr="00F71CEB">
        <w:rPr>
          <w:rStyle w:val="FootnoteReference"/>
        </w:rPr>
        <w:footnoteReference w:id="13"/>
      </w:r>
      <w:r w:rsidRPr="00F71CEB">
        <w:t>, consiste em estabelecer uma base para garantir um nível elevado de proteção da vida e da saúde humanas, da saúde e do bem</w:t>
      </w:r>
      <w:r w:rsidRPr="00F71CEB">
        <w:noBreakHyphen/>
        <w:t>estar dos animais, do ambiente e dos interesses dos consumidores no que diz respeito aos géneros alimentícios e aos alimentos para animais geneticamente modificados, assegurando simultaneamente o funcionamento eficaz do mercado interno;</w:t>
      </w:r>
    </w:p>
    <w:p w14:paraId="1D8C0652" w14:textId="77777777" w:rsidR="00AA6702" w:rsidRPr="00F71CEB" w:rsidRDefault="00AA6702" w:rsidP="00AA6702">
      <w:pPr>
        <w:pStyle w:val="NormalHanging12a"/>
      </w:pPr>
      <w:r w:rsidRPr="00F71CEB">
        <w:t>3.</w:t>
      </w:r>
      <w:r w:rsidRPr="00F71CEB">
        <w:tab/>
        <w:t>Solicita à Comissão que revogue a Decisão de Execução (UE) 2024/1828;</w:t>
      </w:r>
    </w:p>
    <w:p w14:paraId="1FDB293E" w14:textId="77777777" w:rsidR="00AA6702" w:rsidRPr="00F71CEB" w:rsidRDefault="00AA6702" w:rsidP="00AA6702">
      <w:pPr>
        <w:pStyle w:val="NormalHanging12a"/>
      </w:pPr>
      <w:r w:rsidRPr="00F71CEB">
        <w:t>4.</w:t>
      </w:r>
      <w:r w:rsidRPr="00F71CEB">
        <w:tab/>
        <w:t>Congratula</w:t>
      </w:r>
      <w:r w:rsidRPr="00F71CEB">
        <w:noBreakHyphen/>
        <w:t>se com o facto de a Comissão ter finalmente reconhecido, numa carta de 11 de setembro de 2020 dirigida aos deputados, a necessidade de ter em conta a sustentabilidade nas decisões de autorização de OGM</w:t>
      </w:r>
      <w:r w:rsidRPr="00F71CEB">
        <w:rPr>
          <w:rStyle w:val="FootnoteReference"/>
        </w:rPr>
        <w:footnoteReference w:id="14"/>
      </w:r>
      <w:r w:rsidRPr="00F71CEB">
        <w:t>; manifesta, no entanto, profunda deceção pelo facto de, desde então, a Comissão ter continuado a autorizar a importação de OGM para a União, apesar das objeções levantadas pelo Parlamento e do voto contra da maioria dos Estados</w:t>
      </w:r>
      <w:r w:rsidRPr="00F71CEB">
        <w:noBreakHyphen/>
        <w:t>Membros;</w:t>
      </w:r>
    </w:p>
    <w:p w14:paraId="35CA04DE" w14:textId="77777777" w:rsidR="00AA6702" w:rsidRPr="00F71CEB" w:rsidRDefault="00AA6702" w:rsidP="00AA6702">
      <w:pPr>
        <w:pStyle w:val="NormalHanging12a"/>
      </w:pPr>
      <w:r w:rsidRPr="00F71CEB">
        <w:t>5.</w:t>
      </w:r>
      <w:r w:rsidRPr="00F71CEB">
        <w:tab/>
        <w:t>Exorta novamente a Comissão a ter em conta as obrigações que incumbem à União por força de acordos internacionais, como o Acordo de Paris sobre Alterações Climáticas, a CDB e os ODS das Nações Unidas; reitera o seu apelo para que os projetos de atos de execução sejam acompanhados por uma exposição de motivos que explique como respeitam o princípio de «não prejudicar»</w:t>
      </w:r>
      <w:r w:rsidRPr="00F71CEB">
        <w:rPr>
          <w:rStyle w:val="FootnoteReference"/>
        </w:rPr>
        <w:footnoteReference w:id="15"/>
      </w:r>
      <w:r w:rsidRPr="00F71CEB">
        <w:t xml:space="preserve">; </w:t>
      </w:r>
    </w:p>
    <w:p w14:paraId="22298E38" w14:textId="77777777" w:rsidR="00E365E1" w:rsidRPr="00F71CEB" w:rsidRDefault="00AA6702" w:rsidP="00F71CEB">
      <w:pPr>
        <w:pStyle w:val="NormalHanging12a"/>
        <w:rPr>
          <w:lang w:eastAsia="fr-FR"/>
        </w:rPr>
      </w:pPr>
      <w:r w:rsidRPr="00F71CEB">
        <w:t>6.</w:t>
      </w:r>
      <w:r w:rsidRPr="00F71CEB">
        <w:tab/>
        <w:t>Encarrega a sua Presidente de transmitir a presente resolução ao Conselho, à Comissão e aos governos e parlamentos dos Estados</w:t>
      </w:r>
      <w:r w:rsidRPr="00F71CEB">
        <w:noBreakHyphen/>
        <w:t>Membros.</w:t>
      </w:r>
    </w:p>
    <w:sectPr w:rsidR="00E365E1" w:rsidRPr="00F71CEB" w:rsidSect="00FD7F5A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C91B55" w14:textId="77777777" w:rsidR="0008306D" w:rsidRPr="00FD7F5A" w:rsidRDefault="0008306D">
      <w:r w:rsidRPr="00FD7F5A">
        <w:separator/>
      </w:r>
    </w:p>
  </w:endnote>
  <w:endnote w:type="continuationSeparator" w:id="0">
    <w:p w14:paraId="5BAC8895" w14:textId="77777777" w:rsidR="0008306D" w:rsidRPr="00FD7F5A" w:rsidRDefault="0008306D">
      <w:r w:rsidRPr="00FD7F5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90440C" w14:textId="77777777" w:rsidR="0008306D" w:rsidRPr="00FD7F5A" w:rsidRDefault="0008306D">
      <w:r w:rsidRPr="00FD7F5A">
        <w:separator/>
      </w:r>
    </w:p>
  </w:footnote>
  <w:footnote w:type="continuationSeparator" w:id="0">
    <w:p w14:paraId="0D938C9E" w14:textId="77777777" w:rsidR="0008306D" w:rsidRPr="00FD7F5A" w:rsidRDefault="0008306D">
      <w:r w:rsidRPr="00FD7F5A">
        <w:continuationSeparator/>
      </w:r>
    </w:p>
  </w:footnote>
  <w:footnote w:id="1">
    <w:p w14:paraId="34B282D1" w14:textId="77777777" w:rsidR="00AA6702" w:rsidRPr="00BA4BE2" w:rsidRDefault="00AA6702" w:rsidP="00FD7F5A">
      <w:pPr>
        <w:pStyle w:val="FootnoteText"/>
        <w:ind w:left="567" w:hanging="567"/>
        <w:rPr>
          <w:sz w:val="24"/>
          <w:lang w:val="fi-FI"/>
        </w:rPr>
      </w:pPr>
      <w:r w:rsidRPr="00FD7F5A">
        <w:rPr>
          <w:rStyle w:val="FootnoteReference"/>
          <w:sz w:val="24"/>
          <w:lang w:val="pt-PT"/>
        </w:rPr>
        <w:footnoteRef/>
      </w:r>
      <w:r w:rsidR="00FD7F5A" w:rsidRPr="00BA4BE2">
        <w:rPr>
          <w:sz w:val="24"/>
          <w:lang w:val="fi-FI"/>
        </w:rPr>
        <w:t xml:space="preserve"> </w:t>
      </w:r>
      <w:r w:rsidR="00FD7F5A" w:rsidRPr="00BA4BE2">
        <w:rPr>
          <w:sz w:val="24"/>
          <w:lang w:val="fi-FI"/>
        </w:rPr>
        <w:tab/>
      </w:r>
      <w:r w:rsidRPr="00BA4BE2">
        <w:rPr>
          <w:sz w:val="24"/>
          <w:lang w:val="fi-FI"/>
        </w:rPr>
        <w:t xml:space="preserve">JO L, 2024/1828, 4.7.2024, ELI: </w:t>
      </w:r>
      <w:hyperlink r:id="rId1" w:tooltip="Dá acesso a este documento através do respetivo URI do ELI." w:history="1">
        <w:r w:rsidRPr="00BA4BE2">
          <w:rPr>
            <w:rStyle w:val="Hyperlink"/>
            <w:color w:val="337AB7"/>
            <w:sz w:val="24"/>
            <w:shd w:val="clear" w:color="auto" w:fill="FFFFFF"/>
            <w:lang w:val="fi-FI"/>
          </w:rPr>
          <w:t>http://data.europa.eu/eli/dec_impl/2024/1828/oj</w:t>
        </w:r>
      </w:hyperlink>
      <w:r w:rsidRPr="00BA4BE2">
        <w:rPr>
          <w:sz w:val="24"/>
          <w:lang w:val="fi-FI"/>
        </w:rPr>
        <w:t>.</w:t>
      </w:r>
    </w:p>
  </w:footnote>
  <w:footnote w:id="2">
    <w:p w14:paraId="3F5162FE" w14:textId="77777777" w:rsidR="00AA6702" w:rsidRPr="00BA4BE2" w:rsidRDefault="00AA6702" w:rsidP="00FD7F5A">
      <w:pPr>
        <w:pStyle w:val="FootnoteText"/>
        <w:ind w:left="567" w:hanging="567"/>
        <w:rPr>
          <w:sz w:val="24"/>
          <w:lang w:val="fi-FI"/>
        </w:rPr>
      </w:pPr>
      <w:r w:rsidRPr="00FD7F5A">
        <w:rPr>
          <w:rStyle w:val="FootnoteReference"/>
          <w:sz w:val="24"/>
          <w:lang w:val="pt-PT"/>
        </w:rPr>
        <w:footnoteRef/>
      </w:r>
      <w:r w:rsidR="00FD7F5A" w:rsidRPr="00BA4BE2">
        <w:rPr>
          <w:sz w:val="24"/>
          <w:lang w:val="fi-FI"/>
        </w:rPr>
        <w:t xml:space="preserve"> </w:t>
      </w:r>
      <w:r w:rsidR="00FD7F5A" w:rsidRPr="00BA4BE2">
        <w:rPr>
          <w:sz w:val="24"/>
          <w:lang w:val="fi-FI"/>
        </w:rPr>
        <w:tab/>
      </w:r>
      <w:r w:rsidRPr="00BA4BE2">
        <w:rPr>
          <w:sz w:val="24"/>
          <w:lang w:val="fi-FI"/>
        </w:rPr>
        <w:t xml:space="preserve">JO L 268 de 18.10.2003, p. 1, ELI: </w:t>
      </w:r>
      <w:hyperlink r:id="rId2" w:tooltip="Dá acesso a este documento através do respetivo URI do ELI." w:history="1">
        <w:r w:rsidRPr="00BA4BE2">
          <w:rPr>
            <w:rStyle w:val="Hyperlink"/>
            <w:color w:val="337AB7"/>
            <w:sz w:val="24"/>
            <w:shd w:val="clear" w:color="auto" w:fill="FFFFFF"/>
            <w:lang w:val="fi-FI"/>
          </w:rPr>
          <w:t>http://data.europa.eu/eli/reg/2003/1829/oj</w:t>
        </w:r>
      </w:hyperlink>
      <w:r w:rsidRPr="00BA4BE2">
        <w:rPr>
          <w:sz w:val="24"/>
          <w:lang w:val="fi-FI"/>
        </w:rPr>
        <w:t>.</w:t>
      </w:r>
    </w:p>
  </w:footnote>
  <w:footnote w:id="3">
    <w:p w14:paraId="304F86A9" w14:textId="77777777" w:rsidR="00AA6702" w:rsidRPr="00BA4BE2" w:rsidRDefault="00AA6702" w:rsidP="00FD7F5A">
      <w:pPr>
        <w:pStyle w:val="FootnoteText"/>
        <w:ind w:left="567" w:hanging="567"/>
        <w:rPr>
          <w:sz w:val="24"/>
          <w:lang w:val="fi-FI"/>
        </w:rPr>
      </w:pPr>
      <w:r w:rsidRPr="00FD7F5A">
        <w:rPr>
          <w:rStyle w:val="FootnoteReference"/>
          <w:sz w:val="24"/>
          <w:lang w:val="pt-PT"/>
        </w:rPr>
        <w:footnoteRef/>
      </w:r>
      <w:r w:rsidR="00FD7F5A" w:rsidRPr="00BA4BE2">
        <w:rPr>
          <w:sz w:val="24"/>
          <w:lang w:val="fi-FI"/>
        </w:rPr>
        <w:t xml:space="preserve"> </w:t>
      </w:r>
      <w:r w:rsidR="00FD7F5A" w:rsidRPr="00BA4BE2">
        <w:rPr>
          <w:sz w:val="24"/>
          <w:lang w:val="fi-FI"/>
        </w:rPr>
        <w:tab/>
      </w:r>
      <w:r w:rsidRPr="00BA4BE2">
        <w:rPr>
          <w:sz w:val="24"/>
          <w:lang w:val="fi-FI"/>
        </w:rPr>
        <w:t xml:space="preserve">JO L 55 de 28.2.2011, p. 13, ELI: </w:t>
      </w:r>
      <w:hyperlink r:id="rId3" w:tooltip="Dá acesso a este documento através do respetivo URI do ELI." w:history="1">
        <w:r w:rsidRPr="00BA4BE2">
          <w:rPr>
            <w:rStyle w:val="Hyperlink"/>
            <w:color w:val="337AB7"/>
            <w:sz w:val="24"/>
            <w:shd w:val="clear" w:color="auto" w:fill="FFFFFF"/>
            <w:lang w:val="fi-FI"/>
          </w:rPr>
          <w:t>http://data.europa.eu/eli/reg/2011/182/oj</w:t>
        </w:r>
      </w:hyperlink>
      <w:r w:rsidRPr="00BA4BE2">
        <w:rPr>
          <w:sz w:val="24"/>
          <w:lang w:val="fi-FI"/>
        </w:rPr>
        <w:t>.</w:t>
      </w:r>
    </w:p>
  </w:footnote>
  <w:footnote w:id="4">
    <w:p w14:paraId="75EDD9CF" w14:textId="77777777" w:rsidR="00AA6702" w:rsidRPr="00FD7F5A" w:rsidRDefault="00AA6702" w:rsidP="00FD7F5A">
      <w:pPr>
        <w:pStyle w:val="FootnoteText"/>
        <w:ind w:left="567" w:hanging="567"/>
        <w:rPr>
          <w:sz w:val="24"/>
          <w:lang w:val="pt-PT"/>
        </w:rPr>
      </w:pPr>
      <w:r w:rsidRPr="00FD7F5A">
        <w:rPr>
          <w:rStyle w:val="FootnoteReference"/>
          <w:sz w:val="24"/>
          <w:lang w:val="pt-PT"/>
        </w:rPr>
        <w:footnoteRef/>
      </w:r>
      <w:r w:rsidR="00FD7F5A" w:rsidRPr="00FD7F5A">
        <w:rPr>
          <w:sz w:val="24"/>
          <w:lang w:val="pt-PT"/>
        </w:rPr>
        <w:t xml:space="preserve"> </w:t>
      </w:r>
      <w:r w:rsidR="00FD7F5A" w:rsidRPr="00FD7F5A">
        <w:rPr>
          <w:sz w:val="24"/>
          <w:lang w:val="pt-PT"/>
        </w:rPr>
        <w:tab/>
      </w:r>
      <w:r w:rsidRPr="00FD7F5A">
        <w:rPr>
          <w:sz w:val="24"/>
          <w:lang w:val="pt-PT"/>
        </w:rPr>
        <w:t>Parecer científico do Painel dos Organismos Geneticamente Modificados da EFSA sobre a avaliação do milho geneticamente modificado MON 810 para renovação da autorização ao abrigo do Regulamento (CE) n.º 1829/2003 (dossiê GMFF</w:t>
      </w:r>
      <w:r w:rsidRPr="00FD7F5A">
        <w:rPr>
          <w:sz w:val="24"/>
          <w:lang w:val="pt-PT"/>
        </w:rPr>
        <w:noBreakHyphen/>
        <w:t>2022</w:t>
      </w:r>
      <w:r w:rsidRPr="00FD7F5A">
        <w:rPr>
          <w:sz w:val="24"/>
          <w:lang w:val="pt-PT"/>
        </w:rPr>
        <w:noBreakHyphen/>
        <w:t xml:space="preserve">9450), EFSA Journal, 2024;22(1):8489, </w:t>
      </w:r>
      <w:hyperlink r:id="rId4" w:history="1">
        <w:r w:rsidRPr="00FD7F5A">
          <w:rPr>
            <w:rStyle w:val="Hyperlink"/>
            <w:sz w:val="24"/>
            <w:lang w:val="pt-PT"/>
          </w:rPr>
          <w:t>https://doi.org/10.2903/j.efsa.2024.8489</w:t>
        </w:r>
      </w:hyperlink>
      <w:r w:rsidRPr="00FD7F5A">
        <w:rPr>
          <w:sz w:val="24"/>
          <w:lang w:val="pt-PT"/>
        </w:rPr>
        <w:t>.</w:t>
      </w:r>
    </w:p>
  </w:footnote>
  <w:footnote w:id="5">
    <w:p w14:paraId="40C9C0ED" w14:textId="77777777" w:rsidR="00AA6702" w:rsidRPr="00FD7F5A" w:rsidRDefault="00AA6702" w:rsidP="00FD7F5A">
      <w:pPr>
        <w:pStyle w:val="FootnoteText"/>
        <w:ind w:left="567" w:hanging="567"/>
        <w:rPr>
          <w:sz w:val="24"/>
          <w:lang w:val="pt-PT"/>
        </w:rPr>
      </w:pPr>
      <w:r w:rsidRPr="00FD7F5A">
        <w:rPr>
          <w:rStyle w:val="FootnoteReference"/>
          <w:sz w:val="24"/>
          <w:lang w:val="pt-PT"/>
        </w:rPr>
        <w:footnoteRef/>
      </w:r>
      <w:r w:rsidR="00FD7F5A" w:rsidRPr="00FD7F5A">
        <w:rPr>
          <w:color w:val="000000" w:themeColor="text1"/>
          <w:sz w:val="24"/>
          <w:lang w:val="pt-PT"/>
        </w:rPr>
        <w:t xml:space="preserve"> </w:t>
      </w:r>
      <w:r w:rsidR="00FD7F5A" w:rsidRPr="00FD7F5A">
        <w:rPr>
          <w:color w:val="000000" w:themeColor="text1"/>
          <w:sz w:val="24"/>
          <w:lang w:val="pt-PT"/>
        </w:rPr>
        <w:tab/>
      </w:r>
      <w:r w:rsidRPr="00FD7F5A">
        <w:rPr>
          <w:color w:val="000000" w:themeColor="text1"/>
          <w:sz w:val="24"/>
          <w:lang w:val="pt-PT"/>
        </w:rPr>
        <w:t xml:space="preserve">Na sua 8.ª legislatura, o Parlamento aprovou 36 resoluções e, na sua 9.ª legislatura, aprovou 38 resoluções que se opõem à autorização de OGM. </w:t>
      </w:r>
    </w:p>
  </w:footnote>
  <w:footnote w:id="6">
    <w:p w14:paraId="16FB1F23" w14:textId="77777777" w:rsidR="00AA6702" w:rsidRPr="00FD7F5A" w:rsidRDefault="00AA6702" w:rsidP="00FD7F5A">
      <w:pPr>
        <w:pStyle w:val="FootnoteText"/>
        <w:ind w:left="567" w:hanging="567"/>
        <w:rPr>
          <w:sz w:val="24"/>
          <w:lang w:val="pt-PT"/>
        </w:rPr>
      </w:pPr>
      <w:r w:rsidRPr="00FD7F5A">
        <w:rPr>
          <w:rStyle w:val="FootnoteReference"/>
          <w:sz w:val="24"/>
          <w:lang w:val="pt-PT"/>
        </w:rPr>
        <w:footnoteRef/>
      </w:r>
      <w:r w:rsidR="00FD7F5A" w:rsidRPr="00FD7F5A">
        <w:rPr>
          <w:sz w:val="24"/>
          <w:lang w:val="pt-PT"/>
        </w:rPr>
        <w:t xml:space="preserve"> </w:t>
      </w:r>
      <w:r w:rsidR="00FD7F5A" w:rsidRPr="00FD7F5A">
        <w:rPr>
          <w:sz w:val="24"/>
          <w:lang w:val="pt-PT"/>
        </w:rPr>
        <w:tab/>
      </w:r>
      <w:r w:rsidRPr="00FD7F5A">
        <w:rPr>
          <w:sz w:val="24"/>
          <w:lang w:val="pt-PT"/>
        </w:rPr>
        <w:t>Decisão de Execução 2013/649/UE da Comissão, de 6 de novembro de 2013, que autoriza a colocação no mercado de pólen produzido a partir de milho MON 810 (MON</w:t>
      </w:r>
      <w:r w:rsidRPr="00FD7F5A">
        <w:rPr>
          <w:sz w:val="24"/>
          <w:lang w:val="pt-PT"/>
        </w:rPr>
        <w:noBreakHyphen/>
        <w:t>ØØ81Ø</w:t>
      </w:r>
      <w:r w:rsidRPr="00FD7F5A">
        <w:rPr>
          <w:sz w:val="24"/>
          <w:lang w:val="pt-PT"/>
        </w:rPr>
        <w:noBreakHyphen/>
        <w:t xml:space="preserve">6) nos termos do Regulamento (CE) n.º 1829/2003 do Parlamento Europeu e do Conselho (JO L 302 de 13.11.2013, p. 44, ELI: </w:t>
      </w:r>
      <w:hyperlink r:id="rId5" w:tooltip="Dá acesso a este documento através do respetivo URI do ELI." w:history="1">
        <w:r w:rsidRPr="00FD7F5A">
          <w:rPr>
            <w:rStyle w:val="Hyperlink"/>
            <w:color w:val="337AB7"/>
            <w:sz w:val="24"/>
            <w:shd w:val="clear" w:color="auto" w:fill="FFFFFF"/>
            <w:lang w:val="pt-PT"/>
          </w:rPr>
          <w:t>http://data.europa.eu/eli/dec_impl/2013/649/oj</w:t>
        </w:r>
      </w:hyperlink>
      <w:r w:rsidRPr="00FD7F5A">
        <w:rPr>
          <w:sz w:val="24"/>
          <w:lang w:val="pt-PT"/>
        </w:rPr>
        <w:t>).</w:t>
      </w:r>
    </w:p>
  </w:footnote>
  <w:footnote w:id="7">
    <w:p w14:paraId="3AE64FCA" w14:textId="77777777" w:rsidR="00AA6702" w:rsidRPr="00FD7F5A" w:rsidRDefault="00AA6702" w:rsidP="00FD7F5A">
      <w:pPr>
        <w:pStyle w:val="FootnoteText"/>
        <w:ind w:left="567" w:hanging="567"/>
        <w:rPr>
          <w:sz w:val="24"/>
          <w:lang w:val="pt-PT"/>
        </w:rPr>
      </w:pPr>
      <w:r w:rsidRPr="00FD7F5A">
        <w:rPr>
          <w:rStyle w:val="FootnoteReference"/>
          <w:sz w:val="24"/>
          <w:lang w:val="pt-PT"/>
        </w:rPr>
        <w:footnoteRef/>
      </w:r>
      <w:r w:rsidR="00FD7F5A" w:rsidRPr="00FD7F5A">
        <w:rPr>
          <w:sz w:val="24"/>
          <w:lang w:val="pt-PT"/>
        </w:rPr>
        <w:t xml:space="preserve"> </w:t>
      </w:r>
      <w:r w:rsidR="00FD7F5A" w:rsidRPr="00FD7F5A">
        <w:rPr>
          <w:sz w:val="24"/>
          <w:lang w:val="pt-PT"/>
        </w:rPr>
        <w:tab/>
      </w:r>
      <w:r w:rsidRPr="00FD7F5A">
        <w:rPr>
          <w:sz w:val="24"/>
          <w:lang w:val="pt-PT"/>
        </w:rPr>
        <w:t>Decisão de Execução (UE) 2017/1207 da Comissão, de 4 de julho de 2017, que renova a autorização para a colocação no mercado de produtos de milho geneticamente modificado MON 810 (MON</w:t>
      </w:r>
      <w:r w:rsidRPr="00FD7F5A">
        <w:rPr>
          <w:sz w:val="24"/>
          <w:lang w:val="pt-PT"/>
        </w:rPr>
        <w:noBreakHyphen/>
        <w:t>ØØ81Ø</w:t>
      </w:r>
      <w:r w:rsidRPr="00FD7F5A">
        <w:rPr>
          <w:sz w:val="24"/>
          <w:lang w:val="pt-PT"/>
        </w:rPr>
        <w:noBreakHyphen/>
        <w:t xml:space="preserve">6) nos termos do Regulamento (CE) n.º 1829/2003 do Parlamento Europeu e do Conselho (JO L 173 de 6.7.2017, p. 18, ELI: </w:t>
      </w:r>
      <w:hyperlink r:id="rId6" w:tooltip="Dá acesso a este documento através do respetivo URI do ELI." w:history="1">
        <w:r w:rsidRPr="00FD7F5A">
          <w:rPr>
            <w:rStyle w:val="Hyperlink"/>
            <w:color w:val="337AB7"/>
            <w:sz w:val="24"/>
            <w:shd w:val="clear" w:color="auto" w:fill="FFFFFF"/>
            <w:lang w:val="pt-PT"/>
          </w:rPr>
          <w:t>http://data.europa.eu/eli/dec_impl/2017/1207/oj</w:t>
        </w:r>
      </w:hyperlink>
      <w:r w:rsidRPr="00FD7F5A">
        <w:rPr>
          <w:sz w:val="24"/>
          <w:lang w:val="pt-PT"/>
        </w:rPr>
        <w:t>).</w:t>
      </w:r>
    </w:p>
  </w:footnote>
  <w:footnote w:id="8">
    <w:p w14:paraId="308FDC90" w14:textId="77777777" w:rsidR="00AA6702" w:rsidRPr="00FD7F5A" w:rsidRDefault="00AA6702" w:rsidP="00FD7F5A">
      <w:pPr>
        <w:pStyle w:val="FootnoteText"/>
        <w:ind w:left="567" w:hanging="567"/>
        <w:rPr>
          <w:sz w:val="24"/>
          <w:lang w:val="pt-PT"/>
        </w:rPr>
      </w:pPr>
      <w:r w:rsidRPr="00FD7F5A">
        <w:rPr>
          <w:rStyle w:val="FootnoteReference"/>
          <w:sz w:val="24"/>
          <w:lang w:val="pt-PT"/>
        </w:rPr>
        <w:footnoteRef/>
      </w:r>
      <w:r w:rsidR="00FD7F5A" w:rsidRPr="00FD7F5A">
        <w:rPr>
          <w:sz w:val="24"/>
          <w:lang w:val="pt-PT"/>
        </w:rPr>
        <w:t xml:space="preserve"> </w:t>
      </w:r>
      <w:r w:rsidR="00FD7F5A" w:rsidRPr="00FD7F5A">
        <w:rPr>
          <w:sz w:val="24"/>
          <w:lang w:val="pt-PT"/>
        </w:rPr>
        <w:tab/>
      </w:r>
      <w:r w:rsidRPr="00FD7F5A">
        <w:rPr>
          <w:sz w:val="24"/>
          <w:lang w:val="pt-PT"/>
        </w:rPr>
        <w:t>Para uma análise, cf. Rubio</w:t>
      </w:r>
      <w:r w:rsidRPr="00FD7F5A">
        <w:rPr>
          <w:sz w:val="24"/>
          <w:lang w:val="pt-PT"/>
        </w:rPr>
        <w:noBreakHyphen/>
        <w:t>Infante, N. e Moreno</w:t>
      </w:r>
      <w:r w:rsidRPr="00FD7F5A">
        <w:rPr>
          <w:sz w:val="24"/>
          <w:lang w:val="pt-PT"/>
        </w:rPr>
        <w:noBreakHyphen/>
        <w:t>Fierros, L., «An overview of the safety and biological effects of </w:t>
      </w:r>
      <w:r w:rsidRPr="00FD7F5A">
        <w:rPr>
          <w:i/>
          <w:sz w:val="24"/>
          <w:lang w:val="pt-PT"/>
        </w:rPr>
        <w:t>Bacillus thuringiensis</w:t>
      </w:r>
      <w:r w:rsidRPr="00FD7F5A">
        <w:rPr>
          <w:sz w:val="24"/>
          <w:lang w:val="pt-PT"/>
        </w:rPr>
        <w:t xml:space="preserve"> Cry toxins in mammals» [Síntese sobre a segurança e os efeitos biológicos das toxinas Cry de </w:t>
      </w:r>
      <w:r w:rsidRPr="00FD7F5A">
        <w:rPr>
          <w:i/>
          <w:iCs/>
          <w:sz w:val="24"/>
          <w:lang w:val="pt-PT"/>
        </w:rPr>
        <w:t>Bacillus thuringiensis</w:t>
      </w:r>
      <w:r w:rsidRPr="00FD7F5A">
        <w:rPr>
          <w:sz w:val="24"/>
          <w:lang w:val="pt-PT"/>
        </w:rPr>
        <w:t xml:space="preserve"> em mamíferos], </w:t>
      </w:r>
      <w:r w:rsidRPr="00FD7F5A">
        <w:rPr>
          <w:i/>
          <w:iCs/>
          <w:sz w:val="24"/>
          <w:lang w:val="pt-PT"/>
        </w:rPr>
        <w:t>Journal of Applied Toxicology</w:t>
      </w:r>
      <w:r w:rsidRPr="00FD7F5A">
        <w:rPr>
          <w:sz w:val="24"/>
          <w:lang w:val="pt-PT"/>
        </w:rPr>
        <w:t xml:space="preserve">, maio de 2016, 36(36,5), pp. 630‑648, </w:t>
      </w:r>
      <w:hyperlink r:id="rId7" w:history="1">
        <w:r w:rsidRPr="00FD7F5A">
          <w:rPr>
            <w:rStyle w:val="Hyperlink"/>
            <w:sz w:val="24"/>
            <w:lang w:val="pt-PT"/>
          </w:rPr>
          <w:t>https://onlinelibrary.wiley.com/doi/full/10.1002/jat.3252</w:t>
        </w:r>
      </w:hyperlink>
      <w:r w:rsidRPr="00FD7F5A">
        <w:rPr>
          <w:rStyle w:val="Hyperlink"/>
          <w:sz w:val="24"/>
          <w:lang w:val="pt-PT"/>
        </w:rPr>
        <w:t>.</w:t>
      </w:r>
    </w:p>
  </w:footnote>
  <w:footnote w:id="9">
    <w:p w14:paraId="1A0D5489" w14:textId="77777777" w:rsidR="00AA6702" w:rsidRPr="00FD7F5A" w:rsidRDefault="00AA6702" w:rsidP="00FD7F5A">
      <w:pPr>
        <w:pStyle w:val="FootnoteText"/>
        <w:ind w:left="567" w:hanging="567"/>
        <w:rPr>
          <w:sz w:val="24"/>
          <w:lang w:val="pt-PT"/>
        </w:rPr>
      </w:pPr>
      <w:r w:rsidRPr="00FD7F5A">
        <w:rPr>
          <w:rStyle w:val="FootnoteReference"/>
          <w:sz w:val="24"/>
          <w:lang w:val="pt-PT"/>
        </w:rPr>
        <w:footnoteRef/>
      </w:r>
      <w:r w:rsidR="00FD7F5A" w:rsidRPr="00FD7F5A">
        <w:rPr>
          <w:sz w:val="24"/>
          <w:lang w:val="pt-PT"/>
        </w:rPr>
        <w:t xml:space="preserve"> </w:t>
      </w:r>
      <w:r w:rsidR="00FD7F5A" w:rsidRPr="00FD7F5A">
        <w:rPr>
          <w:sz w:val="24"/>
          <w:lang w:val="pt-PT"/>
        </w:rPr>
        <w:tab/>
      </w:r>
      <w:r w:rsidRPr="00FD7F5A">
        <w:rPr>
          <w:sz w:val="24"/>
          <w:lang w:val="pt-PT"/>
        </w:rPr>
        <w:t xml:space="preserve">Hilbeck, A., Defarge, N., Lebrecht, T. e Bøhn, T., «Insecticidal Bt crops. EFSA’s risk assessment approach for GM Bt plants fails by design», RAGES, 2020, p. 4, </w:t>
      </w:r>
      <w:hyperlink r:id="rId8" w:history="1">
        <w:r w:rsidRPr="00FD7F5A">
          <w:rPr>
            <w:rStyle w:val="Hyperlink"/>
            <w:sz w:val="24"/>
            <w:lang w:val="pt-PT"/>
          </w:rPr>
          <w:t>https://www.testbiotech.org/wp</w:t>
        </w:r>
        <w:r w:rsidRPr="00FD7F5A">
          <w:rPr>
            <w:rStyle w:val="Hyperlink"/>
            <w:sz w:val="24"/>
            <w:lang w:val="pt-PT"/>
          </w:rPr>
          <w:noBreakHyphen/>
          <w:t>content/uploads/2023/12/RAGES_report</w:t>
        </w:r>
        <w:r w:rsidRPr="00FD7F5A">
          <w:rPr>
            <w:rStyle w:val="Hyperlink"/>
            <w:sz w:val="24"/>
            <w:lang w:val="pt-PT"/>
          </w:rPr>
          <w:noBreakHyphen/>
          <w:t>Insecticidal</w:t>
        </w:r>
        <w:r w:rsidRPr="00FD7F5A">
          <w:rPr>
            <w:rStyle w:val="Hyperlink"/>
            <w:sz w:val="24"/>
            <w:lang w:val="pt-PT"/>
          </w:rPr>
          <w:noBreakHyphen/>
          <w:t>Bt</w:t>
        </w:r>
        <w:r w:rsidRPr="00FD7F5A">
          <w:rPr>
            <w:rStyle w:val="Hyperlink"/>
            <w:sz w:val="24"/>
            <w:lang w:val="pt-PT"/>
          </w:rPr>
          <w:noBreakHyphen/>
          <w:t>plants.pdf</w:t>
        </w:r>
      </w:hyperlink>
      <w:r w:rsidRPr="00BA4BE2">
        <w:rPr>
          <w:rStyle w:val="Hyperlink"/>
          <w:color w:val="auto"/>
          <w:sz w:val="24"/>
          <w:lang w:val="pt-PT"/>
        </w:rPr>
        <w:t xml:space="preserve">; </w:t>
      </w:r>
      <w:r w:rsidRPr="00FD7F5A">
        <w:rPr>
          <w:sz w:val="24"/>
          <w:lang w:val="pt-PT"/>
        </w:rPr>
        <w:t xml:space="preserve">Ver, por exemplo, Hilbeck, A. e Otto, M., «Specificity and Combinatorial Effects of </w:t>
      </w:r>
      <w:r w:rsidRPr="00FD7F5A">
        <w:rPr>
          <w:i/>
          <w:sz w:val="24"/>
          <w:lang w:val="pt-PT"/>
        </w:rPr>
        <w:t>Bacillus thuringiensis</w:t>
      </w:r>
      <w:r w:rsidRPr="00FD7F5A">
        <w:rPr>
          <w:sz w:val="24"/>
          <w:lang w:val="pt-PT"/>
        </w:rPr>
        <w:t xml:space="preserve"> Cry toxins in the Context of GMO Environmental Risk Assessment» [Especificidade e efeitos combinatórios das toxinas Cry de </w:t>
      </w:r>
      <w:r w:rsidRPr="00FD7F5A">
        <w:rPr>
          <w:i/>
          <w:iCs/>
          <w:sz w:val="24"/>
          <w:lang w:val="pt-PT"/>
        </w:rPr>
        <w:t>Bacillus thuringiensis</w:t>
      </w:r>
      <w:r w:rsidRPr="00FD7F5A">
        <w:rPr>
          <w:sz w:val="24"/>
          <w:lang w:val="pt-PT"/>
        </w:rPr>
        <w:t xml:space="preserve"> no contexto da avaliação dos riscos ambientais dos OGM], Frontiers in Environmental Science 2015, 3:71, </w:t>
      </w:r>
      <w:hyperlink r:id="rId9" w:history="1">
        <w:r w:rsidRPr="00FD7F5A">
          <w:rPr>
            <w:rStyle w:val="Hyperlink"/>
            <w:sz w:val="24"/>
            <w:lang w:val="pt-PT"/>
          </w:rPr>
          <w:t>https://doi.org/10.3389/fenvs.2015.00071</w:t>
        </w:r>
      </w:hyperlink>
      <w:r w:rsidRPr="00FD7F5A">
        <w:rPr>
          <w:sz w:val="24"/>
          <w:lang w:val="pt-PT"/>
        </w:rPr>
        <w:t>.</w:t>
      </w:r>
    </w:p>
  </w:footnote>
  <w:footnote w:id="10">
    <w:p w14:paraId="0C70C58B" w14:textId="77777777" w:rsidR="00AA6702" w:rsidRPr="00FD7F5A" w:rsidRDefault="00AA6702" w:rsidP="00FD7F5A">
      <w:pPr>
        <w:pStyle w:val="FootnoteText"/>
        <w:ind w:left="567" w:hanging="567"/>
        <w:rPr>
          <w:sz w:val="24"/>
          <w:lang w:val="pt-PT"/>
        </w:rPr>
      </w:pPr>
      <w:r w:rsidRPr="00FD7F5A">
        <w:rPr>
          <w:rStyle w:val="FootnoteReference"/>
          <w:sz w:val="24"/>
          <w:lang w:val="pt-PT"/>
        </w:rPr>
        <w:footnoteRef/>
      </w:r>
      <w:r w:rsidR="00FD7F5A" w:rsidRPr="00FD7F5A">
        <w:rPr>
          <w:sz w:val="24"/>
          <w:lang w:val="pt-PT"/>
        </w:rPr>
        <w:t xml:space="preserve"> </w:t>
      </w:r>
      <w:r w:rsidR="00FD7F5A" w:rsidRPr="00FD7F5A">
        <w:rPr>
          <w:sz w:val="24"/>
          <w:lang w:val="pt-PT"/>
        </w:rPr>
        <w:tab/>
      </w:r>
      <w:hyperlink r:id="rId10" w:history="1">
        <w:r w:rsidRPr="00FD7F5A">
          <w:rPr>
            <w:rStyle w:val="Hyperlink"/>
            <w:sz w:val="24"/>
            <w:lang w:val="pt-PT"/>
          </w:rPr>
          <w:t>https://efsa.onlinelibrary.wiley.com/action/downloadSupplement?doi=10.2903%‌2Fj.efsa.2024.8489&amp;file=efs28489</w:t>
        </w:r>
        <w:r w:rsidRPr="00FD7F5A">
          <w:rPr>
            <w:rStyle w:val="Hyperlink"/>
            <w:sz w:val="24"/>
            <w:lang w:val="pt-PT"/>
          </w:rPr>
          <w:noBreakHyphen/>
          <w:t>sup</w:t>
        </w:r>
        <w:r w:rsidRPr="00FD7F5A">
          <w:rPr>
            <w:rStyle w:val="Hyperlink"/>
            <w:sz w:val="24"/>
            <w:lang w:val="pt-PT"/>
          </w:rPr>
          <w:noBreakHyphen/>
          <w:t>0008</w:t>
        </w:r>
        <w:r w:rsidRPr="00FD7F5A">
          <w:rPr>
            <w:rStyle w:val="Hyperlink"/>
            <w:sz w:val="24"/>
            <w:lang w:val="pt-PT"/>
          </w:rPr>
          <w:noBreakHyphen/>
          <w:t>Annex_8.pdf</w:t>
        </w:r>
      </w:hyperlink>
      <w:r w:rsidRPr="00FD7F5A">
        <w:rPr>
          <w:rStyle w:val="Hyperlink"/>
          <w:sz w:val="24"/>
          <w:lang w:val="pt-PT"/>
        </w:rPr>
        <w:t>.</w:t>
      </w:r>
    </w:p>
  </w:footnote>
  <w:footnote w:id="11">
    <w:p w14:paraId="71A7F727" w14:textId="31EBC06C" w:rsidR="00AA6702" w:rsidRPr="00FD7F5A" w:rsidRDefault="00AA6702" w:rsidP="00FD7F5A">
      <w:pPr>
        <w:pStyle w:val="FootnoteText"/>
        <w:ind w:left="567" w:hanging="567"/>
        <w:rPr>
          <w:sz w:val="24"/>
          <w:lang w:val="pt-PT"/>
        </w:rPr>
      </w:pPr>
      <w:r w:rsidRPr="00FD7F5A">
        <w:rPr>
          <w:rStyle w:val="FootnoteReference"/>
          <w:sz w:val="24"/>
          <w:lang w:val="pt-PT"/>
        </w:rPr>
        <w:footnoteRef/>
      </w:r>
      <w:r w:rsidR="00FD7F5A" w:rsidRPr="00FD7F5A">
        <w:rPr>
          <w:sz w:val="24"/>
          <w:lang w:val="pt-PT"/>
        </w:rPr>
        <w:t xml:space="preserve"> </w:t>
      </w:r>
      <w:r w:rsidR="00FD7F5A" w:rsidRPr="00FD7F5A">
        <w:rPr>
          <w:sz w:val="24"/>
          <w:lang w:val="pt-PT"/>
        </w:rPr>
        <w:tab/>
      </w:r>
      <w:hyperlink r:id="rId11" w:history="1">
        <w:r w:rsidRPr="00FD7F5A">
          <w:rPr>
            <w:rStyle w:val="Hyperlink"/>
            <w:sz w:val="24"/>
            <w:lang w:val="pt-PT"/>
          </w:rPr>
          <w:t>https://commission.europa.eu/document/2c64e540</w:t>
        </w:r>
        <w:r w:rsidRPr="00FD7F5A">
          <w:rPr>
            <w:rStyle w:val="Hyperlink"/>
            <w:sz w:val="24"/>
            <w:lang w:val="pt-PT"/>
          </w:rPr>
          <w:noBreakHyphen/>
          <w:t>c07a</w:t>
        </w:r>
        <w:r w:rsidRPr="00FD7F5A">
          <w:rPr>
            <w:rStyle w:val="Hyperlink"/>
            <w:sz w:val="24"/>
            <w:lang w:val="pt-PT"/>
          </w:rPr>
          <w:noBreakHyphen/>
          <w:t>4376</w:t>
        </w:r>
        <w:r w:rsidRPr="00FD7F5A">
          <w:rPr>
            <w:rStyle w:val="Hyperlink"/>
            <w:sz w:val="24"/>
            <w:lang w:val="pt-PT"/>
          </w:rPr>
          <w:noBreakHyphen/>
          <w:t>a1da</w:t>
        </w:r>
        <w:r w:rsidRPr="00FD7F5A">
          <w:rPr>
            <w:rStyle w:val="Hyperlink"/>
            <w:sz w:val="24"/>
            <w:lang w:val="pt-PT"/>
          </w:rPr>
          <w:noBreakHyphen/>
          <w:t>368d289f4afe_en</w:t>
        </w:r>
      </w:hyperlink>
    </w:p>
  </w:footnote>
  <w:footnote w:id="12">
    <w:p w14:paraId="53C180DD" w14:textId="77777777" w:rsidR="00AA6702" w:rsidRPr="00FD7F5A" w:rsidRDefault="00AA6702" w:rsidP="00FD7F5A">
      <w:pPr>
        <w:pStyle w:val="FootnoteText"/>
        <w:ind w:left="567" w:hanging="567"/>
        <w:rPr>
          <w:sz w:val="24"/>
          <w:lang w:val="pt-PT"/>
        </w:rPr>
      </w:pPr>
      <w:r w:rsidRPr="00FD7F5A">
        <w:rPr>
          <w:rStyle w:val="FootnoteReference"/>
          <w:sz w:val="24"/>
          <w:lang w:val="pt-PT"/>
        </w:rPr>
        <w:footnoteRef/>
      </w:r>
      <w:r w:rsidR="00FD7F5A" w:rsidRPr="00FD7F5A">
        <w:rPr>
          <w:sz w:val="24"/>
          <w:lang w:val="pt-PT"/>
        </w:rPr>
        <w:t xml:space="preserve"> </w:t>
      </w:r>
      <w:r w:rsidR="00FD7F5A" w:rsidRPr="00FD7F5A">
        <w:rPr>
          <w:sz w:val="24"/>
          <w:lang w:val="pt-PT"/>
        </w:rPr>
        <w:tab/>
      </w:r>
      <w:r w:rsidRPr="00FD7F5A">
        <w:rPr>
          <w:sz w:val="24"/>
          <w:lang w:val="pt-PT"/>
        </w:rPr>
        <w:t>A Comissão «pode», e não «deve», conceder uma autorização se não existir uma maioria qualificada de Estados‑Membros a favor no Comité de Recurso, de acordo com o artigo 6.º, n.º 3, do Regulamento (UE) n.º 182/2011.</w:t>
      </w:r>
    </w:p>
  </w:footnote>
  <w:footnote w:id="13">
    <w:p w14:paraId="41797521" w14:textId="77777777" w:rsidR="00AA6702" w:rsidRPr="00FD7F5A" w:rsidRDefault="00AA6702" w:rsidP="00FD7F5A">
      <w:pPr>
        <w:pStyle w:val="FootnoteText"/>
        <w:ind w:left="567" w:hanging="567"/>
        <w:rPr>
          <w:sz w:val="24"/>
          <w:lang w:val="pt-PT"/>
        </w:rPr>
      </w:pPr>
      <w:r w:rsidRPr="00FD7F5A">
        <w:rPr>
          <w:rStyle w:val="FootnoteReference"/>
          <w:sz w:val="24"/>
          <w:lang w:val="pt-PT"/>
        </w:rPr>
        <w:footnoteRef/>
      </w:r>
      <w:r w:rsidR="00FD7F5A" w:rsidRPr="00FD7F5A">
        <w:rPr>
          <w:sz w:val="24"/>
          <w:lang w:val="pt-PT"/>
        </w:rPr>
        <w:t xml:space="preserve"> </w:t>
      </w:r>
      <w:r w:rsidR="00FD7F5A" w:rsidRPr="00FD7F5A">
        <w:rPr>
          <w:sz w:val="24"/>
          <w:lang w:val="pt-PT"/>
        </w:rPr>
        <w:tab/>
      </w:r>
      <w:r w:rsidRPr="00FD7F5A">
        <w:rPr>
          <w:sz w:val="24"/>
          <w:lang w:val="pt-PT"/>
        </w:rPr>
        <w:t xml:space="preserve">Regulamento (CE) n.º 178/2002 do Parlamento Europeu e do Conselho, de 28 de janeiro de 2002, que determina os princípios e normas gerais da legislação alimentar, cria a Autoridade Europeia para a Segurança dos Alimentos e estabelece procedimentos em matéria de segurança dos géneros alimentícios (JO L 31 de 1.2.2002, p. 1, ELI: </w:t>
      </w:r>
      <w:hyperlink r:id="rId12" w:tooltip="Dá acesso a este documento através do respetivo URI do ELI." w:history="1">
        <w:r w:rsidRPr="00FD7F5A">
          <w:rPr>
            <w:rStyle w:val="Hyperlink"/>
            <w:color w:val="337AB7"/>
            <w:sz w:val="24"/>
            <w:shd w:val="clear" w:color="auto" w:fill="FFFFFF"/>
            <w:lang w:val="pt-PT"/>
          </w:rPr>
          <w:t>http://data.europa.eu/eli/reg/2002/178/oj</w:t>
        </w:r>
      </w:hyperlink>
      <w:r w:rsidRPr="00FD7F5A">
        <w:rPr>
          <w:sz w:val="24"/>
          <w:lang w:val="pt-PT"/>
        </w:rPr>
        <w:t>).</w:t>
      </w:r>
    </w:p>
  </w:footnote>
  <w:footnote w:id="14">
    <w:p w14:paraId="6B8F3A78" w14:textId="77777777" w:rsidR="00AA6702" w:rsidRPr="00FD7F5A" w:rsidRDefault="00AA6702" w:rsidP="00FD7F5A">
      <w:pPr>
        <w:pStyle w:val="FootnoteText"/>
        <w:ind w:left="567" w:hanging="567"/>
        <w:rPr>
          <w:sz w:val="24"/>
          <w:lang w:val="pt-PT"/>
        </w:rPr>
      </w:pPr>
      <w:r w:rsidRPr="00FD7F5A">
        <w:rPr>
          <w:rStyle w:val="FootnoteReference"/>
          <w:sz w:val="24"/>
          <w:lang w:val="pt-PT"/>
        </w:rPr>
        <w:footnoteRef/>
      </w:r>
      <w:r w:rsidR="00FD7F5A" w:rsidRPr="00FD7F5A">
        <w:rPr>
          <w:sz w:val="24"/>
          <w:lang w:val="pt-PT"/>
        </w:rPr>
        <w:t xml:space="preserve"> </w:t>
      </w:r>
      <w:r w:rsidR="00FD7F5A" w:rsidRPr="00FD7F5A">
        <w:rPr>
          <w:sz w:val="24"/>
          <w:lang w:val="pt-PT"/>
        </w:rPr>
        <w:tab/>
      </w:r>
      <w:hyperlink r:id="rId13" w:history="1">
        <w:r w:rsidRPr="00FD7F5A">
          <w:rPr>
            <w:rStyle w:val="Hyperlink"/>
            <w:sz w:val="24"/>
            <w:lang w:val="pt-PT"/>
          </w:rPr>
          <w:t>https://tillymetz.lu/wp</w:t>
        </w:r>
        <w:r w:rsidRPr="00FD7F5A">
          <w:rPr>
            <w:rStyle w:val="Hyperlink"/>
            <w:sz w:val="24"/>
            <w:lang w:val="pt-PT"/>
          </w:rPr>
          <w:noBreakHyphen/>
          <w:t>content/uploads/2020/09/Co</w:t>
        </w:r>
        <w:r w:rsidRPr="00FD7F5A">
          <w:rPr>
            <w:rStyle w:val="Hyperlink"/>
            <w:sz w:val="24"/>
            <w:lang w:val="pt-PT"/>
          </w:rPr>
          <w:noBreakHyphen/>
          <w:t>signed</w:t>
        </w:r>
        <w:r w:rsidRPr="00FD7F5A">
          <w:rPr>
            <w:rStyle w:val="Hyperlink"/>
            <w:sz w:val="24"/>
            <w:lang w:val="pt-PT"/>
          </w:rPr>
          <w:noBreakHyphen/>
          <w:t>letter</w:t>
        </w:r>
        <w:r w:rsidRPr="00FD7F5A">
          <w:rPr>
            <w:rStyle w:val="Hyperlink"/>
            <w:sz w:val="24"/>
            <w:lang w:val="pt-PT"/>
          </w:rPr>
          <w:noBreakHyphen/>
          <w:t>MEP</w:t>
        </w:r>
        <w:r w:rsidRPr="00FD7F5A">
          <w:rPr>
            <w:rStyle w:val="Hyperlink"/>
            <w:sz w:val="24"/>
            <w:lang w:val="pt-PT"/>
          </w:rPr>
          <w:noBreakHyphen/>
          <w:t>Metz.pdf</w:t>
        </w:r>
      </w:hyperlink>
      <w:r w:rsidRPr="00FD7F5A">
        <w:rPr>
          <w:rStyle w:val="Hyperlink"/>
          <w:sz w:val="24"/>
          <w:lang w:val="pt-PT"/>
        </w:rPr>
        <w:t>.</w:t>
      </w:r>
    </w:p>
  </w:footnote>
  <w:footnote w:id="15">
    <w:p w14:paraId="70C2F25F" w14:textId="77777777" w:rsidR="00AA6702" w:rsidRPr="00FD7F5A" w:rsidRDefault="00AA6702" w:rsidP="00FD7F5A">
      <w:pPr>
        <w:pStyle w:val="FootnoteText"/>
        <w:ind w:left="567" w:hanging="567"/>
        <w:rPr>
          <w:sz w:val="24"/>
          <w:lang w:val="pt-PT"/>
        </w:rPr>
      </w:pPr>
      <w:r w:rsidRPr="00FD7F5A">
        <w:rPr>
          <w:rStyle w:val="FootnoteReference"/>
          <w:sz w:val="24"/>
          <w:lang w:val="pt-PT"/>
        </w:rPr>
        <w:footnoteRef/>
      </w:r>
      <w:r w:rsidR="00FD7F5A" w:rsidRPr="00FD7F5A">
        <w:rPr>
          <w:sz w:val="24"/>
          <w:lang w:val="pt-PT"/>
        </w:rPr>
        <w:t xml:space="preserve"> </w:t>
      </w:r>
      <w:r w:rsidR="00FD7F5A" w:rsidRPr="00FD7F5A">
        <w:rPr>
          <w:sz w:val="24"/>
          <w:lang w:val="pt-PT"/>
        </w:rPr>
        <w:tab/>
      </w:r>
      <w:r w:rsidRPr="00FD7F5A">
        <w:rPr>
          <w:sz w:val="24"/>
          <w:lang w:val="pt-PT"/>
        </w:rPr>
        <w:t>Resolução do Parlamento Europeu, de 15 de janeiro de 2020, sobre o Pacto Ecológico Europeu (JO C 270 de 7.7.2021, p. 2), n.º 102.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46/2024"/>
    <w:docVar w:name="dvlangue" w:val="PT"/>
    <w:docVar w:name="dvnumam" w:val="0"/>
    <w:docVar w:name="dvpe" w:val="763.280"/>
    <w:docVar w:name="dvtitre" w:val="Resolução do Parlamento Europeu, de ... de ... de 2024, sobre a Decisão de Execução (UE) 2024/1828 da Comissão que renova a autorização de colocação no mercado de alimentos para animais que contenham ou sejam constituídos por milho geneticamente modificado MON 810 e de géneros alimentícios e alimentos para animais produzidos a partir desse milho geneticamente modificado, nos termos do Regulamento (CE) n.º 1829/2003 do Parlamento Europeu e do Conselho, e que revoga a Decisão de Execução (UE) 2017/1207 da Comissão_x000d__x000a_(2024/2840(RSP))"/>
  </w:docVars>
  <w:rsids>
    <w:rsidRoot w:val="0008306D"/>
    <w:rsid w:val="00002272"/>
    <w:rsid w:val="00064002"/>
    <w:rsid w:val="000677B9"/>
    <w:rsid w:val="0008306D"/>
    <w:rsid w:val="000831BA"/>
    <w:rsid w:val="000A42CC"/>
    <w:rsid w:val="000E6D9E"/>
    <w:rsid w:val="000E7DD9"/>
    <w:rsid w:val="0010095E"/>
    <w:rsid w:val="00125B37"/>
    <w:rsid w:val="00187494"/>
    <w:rsid w:val="001C7F26"/>
    <w:rsid w:val="001D15E3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132B"/>
    <w:rsid w:val="00981893"/>
    <w:rsid w:val="00A1687D"/>
    <w:rsid w:val="00A43E52"/>
    <w:rsid w:val="00A4678D"/>
    <w:rsid w:val="00A778C7"/>
    <w:rsid w:val="00AA6702"/>
    <w:rsid w:val="00AB441E"/>
    <w:rsid w:val="00AB6293"/>
    <w:rsid w:val="00AE0928"/>
    <w:rsid w:val="00AF3B82"/>
    <w:rsid w:val="00B12E95"/>
    <w:rsid w:val="00B22876"/>
    <w:rsid w:val="00B558F0"/>
    <w:rsid w:val="00BA4BE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1CEB"/>
    <w:rsid w:val="00F74202"/>
    <w:rsid w:val="00F87713"/>
    <w:rsid w:val="00FB4360"/>
    <w:rsid w:val="00FD0C70"/>
    <w:rsid w:val="00FD65FA"/>
    <w:rsid w:val="00FD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168024"/>
  <w15:chartTrackingRefBased/>
  <w15:docId w15:val="{F19BF76C-19CF-4494-B5F5-267E4382E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A6702"/>
    <w:pPr>
      <w:spacing w:before="480" w:after="240"/>
    </w:pPr>
  </w:style>
  <w:style w:type="paragraph" w:customStyle="1" w:styleId="NormalHanging12a">
    <w:name w:val="NormalHanging12a"/>
    <w:basedOn w:val="Normal"/>
    <w:rsid w:val="00AA6702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AA6702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0E6D9E"/>
    <w:rPr>
      <w:sz w:val="16"/>
      <w:szCs w:val="16"/>
    </w:rPr>
  </w:style>
  <w:style w:type="paragraph" w:styleId="CommentText">
    <w:name w:val="annotation text"/>
    <w:basedOn w:val="Normal"/>
    <w:link w:val="CommentTextChar"/>
    <w:rsid w:val="000E6D9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E6D9E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0E6D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E6D9E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0E6D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E6D9E"/>
    <w:rPr>
      <w:rFonts w:ascii="Segoe UI" w:hAnsi="Segoe UI" w:cs="Segoe UI"/>
      <w:sz w:val="18"/>
      <w:szCs w:val="18"/>
      <w:lang w:val="pt-PT"/>
    </w:rPr>
  </w:style>
  <w:style w:type="character" w:styleId="FollowedHyperlink">
    <w:name w:val="FollowedHyperlink"/>
    <w:basedOn w:val="DefaultParagraphFont"/>
    <w:rsid w:val="000E6D9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stbiotech.org/wp-content/uploads/2023/12/RAGES_report-Insecticidal-Bt-plants.pdf" TargetMode="External"/><Relationship Id="rId13" Type="http://schemas.openxmlformats.org/officeDocument/2006/relationships/hyperlink" Target="https://tillymetz.lu/wp-content/uploads/2020/09/Co-signed-letter-MEP-Metz.pdf" TargetMode="External"/><Relationship Id="rId3" Type="http://schemas.openxmlformats.org/officeDocument/2006/relationships/hyperlink" Target="http://data.europa.eu/eli/reg/2011/182/oj" TargetMode="External"/><Relationship Id="rId7" Type="http://schemas.openxmlformats.org/officeDocument/2006/relationships/hyperlink" Target="https://onlinelibrary.wiley.com/doi/full/10.1002/jat.3252" TargetMode="External"/><Relationship Id="rId12" Type="http://schemas.openxmlformats.org/officeDocument/2006/relationships/hyperlink" Target="http://data.europa.eu/eli/reg/2002/178/oj" TargetMode="External"/><Relationship Id="rId2" Type="http://schemas.openxmlformats.org/officeDocument/2006/relationships/hyperlink" Target="http://data.europa.eu/eli/reg/2003/1829/oj" TargetMode="External"/><Relationship Id="rId1" Type="http://schemas.openxmlformats.org/officeDocument/2006/relationships/hyperlink" Target="http://data.europa.eu/eli/dec_impl/2024/1828/oj" TargetMode="External"/><Relationship Id="rId6" Type="http://schemas.openxmlformats.org/officeDocument/2006/relationships/hyperlink" Target="http://data.europa.eu/eli/dec_impl/2017/1207/oj" TargetMode="External"/><Relationship Id="rId11" Type="http://schemas.openxmlformats.org/officeDocument/2006/relationships/hyperlink" Target="https://commission.europa.eu/document/2c64e540-c07a-4376-a1da-368d289f4afe_en" TargetMode="External"/><Relationship Id="rId5" Type="http://schemas.openxmlformats.org/officeDocument/2006/relationships/hyperlink" Target="http://data.europa.eu/eli/dec_impl/2013/649/oj" TargetMode="External"/><Relationship Id="rId10" Type="http://schemas.openxmlformats.org/officeDocument/2006/relationships/hyperlink" Target="https://efsa.onlinelibrary.wiley.com/action/downloadSupplement?doi=10.2903/j.efsa.2024.8489&amp;file=efs28489-sup-0008-Annex_8.pdf" TargetMode="External"/><Relationship Id="rId4" Type="http://schemas.openxmlformats.org/officeDocument/2006/relationships/hyperlink" Target="https://doi.org/10.2903/j.efsa.2024.8489" TargetMode="External"/><Relationship Id="rId9" Type="http://schemas.openxmlformats.org/officeDocument/2006/relationships/hyperlink" Target="https://doi.org/10.3389/fenvs.2015.000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2580F-28C4-4A2D-8FC6-DB6E7C3C2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1595</Words>
  <Characters>8427</Characters>
  <Application>Microsoft Office Word</Application>
  <DocSecurity>0</DocSecurity>
  <Lines>70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2024-11-26T11:22:00Z</dcterms:created>
  <dcterms:modified xsi:type="dcterms:W3CDTF">2024-11-26T11:22:00Z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B10-0146/2024</vt:lpwstr>
  </property>
  <property fmtid="{D5CDD505-2E9C-101B-9397-08002B2CF9AE}" pid="4" name="&lt;Type&gt;">
    <vt:lpwstr>RR</vt:lpwstr>
  </property>
</Properties>
</file>