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7D68" w:rsidTr="0010095E">
        <w:trPr>
          <w:trHeight w:hRule="exact" w:val="1418"/>
        </w:trPr>
        <w:tc>
          <w:tcPr>
            <w:tcW w:w="6804" w:type="dxa"/>
            <w:shd w:val="clear" w:color="auto" w:fill="auto"/>
            <w:vAlign w:val="center"/>
          </w:tcPr>
          <w:p w:rsidR="00751A4A" w:rsidRPr="00B87D68" w:rsidRDefault="00D023EC" w:rsidP="0010095E">
            <w:pPr>
              <w:pStyle w:val="EPName"/>
            </w:pPr>
            <w:r w:rsidRPr="00B87D68">
              <w:t>Parlamentul European</w:t>
            </w:r>
          </w:p>
          <w:p w:rsidR="00751A4A" w:rsidRPr="00B87D68" w:rsidRDefault="005F1B17" w:rsidP="005F1B17">
            <w:pPr>
              <w:pStyle w:val="EPTerm"/>
              <w:rPr>
                <w:rStyle w:val="HideTWBExt"/>
                <w:noProof w:val="0"/>
                <w:vanish w:val="0"/>
                <w:color w:val="auto"/>
              </w:rPr>
            </w:pPr>
            <w:r w:rsidRPr="00B87D68">
              <w:t>2024</w:t>
            </w:r>
            <w:r w:rsidR="00817416" w:rsidRPr="00B87D68">
              <w:t>-202</w:t>
            </w:r>
            <w:r w:rsidRPr="00B87D68">
              <w:t>9</w:t>
            </w:r>
          </w:p>
        </w:tc>
        <w:tc>
          <w:tcPr>
            <w:tcW w:w="2268" w:type="dxa"/>
            <w:shd w:val="clear" w:color="auto" w:fill="auto"/>
          </w:tcPr>
          <w:p w:rsidR="00751A4A" w:rsidRPr="00B87D68" w:rsidRDefault="00187494" w:rsidP="0010095E">
            <w:pPr>
              <w:pStyle w:val="EPLogo"/>
            </w:pPr>
            <w:r w:rsidRPr="00B87D68">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7D68" w:rsidRDefault="00D058B8" w:rsidP="004C5D52">
      <w:pPr>
        <w:pStyle w:val="LineTop"/>
      </w:pPr>
    </w:p>
    <w:p w:rsidR="00680577" w:rsidRPr="00B87D68" w:rsidRDefault="00D023EC" w:rsidP="00680577">
      <w:pPr>
        <w:pStyle w:val="EPBodyTA1"/>
      </w:pPr>
      <w:r w:rsidRPr="00B87D68">
        <w:t>TEXTE ADOPTATE</w:t>
      </w:r>
    </w:p>
    <w:p w:rsidR="00D058B8" w:rsidRPr="00B87D68" w:rsidRDefault="00D058B8" w:rsidP="00D058B8">
      <w:pPr>
        <w:pStyle w:val="LineBottom"/>
      </w:pPr>
    </w:p>
    <w:p w:rsidR="00D023EC" w:rsidRPr="00B87D68" w:rsidRDefault="00D023EC" w:rsidP="00D023EC">
      <w:pPr>
        <w:pStyle w:val="ATHeading1"/>
      </w:pPr>
      <w:bookmarkStart w:id="0" w:name="TANumber"/>
      <w:r w:rsidRPr="00B87D68">
        <w:t>P10_TA(2024)</w:t>
      </w:r>
      <w:bookmarkEnd w:id="0"/>
      <w:r w:rsidR="00B46A81" w:rsidRPr="00B87D68">
        <w:t>00</w:t>
      </w:r>
      <w:r w:rsidR="00B46A81">
        <w:t>41</w:t>
      </w:r>
    </w:p>
    <w:p w:rsidR="00D023EC" w:rsidRPr="00B87D68" w:rsidRDefault="00D023EC" w:rsidP="00D023EC">
      <w:pPr>
        <w:pStyle w:val="ATHeading2"/>
      </w:pPr>
      <w:bookmarkStart w:id="1" w:name="title"/>
      <w:r w:rsidRPr="00B87D68">
        <w:t xml:space="preserve">Porumbul modificat genetic MON </w:t>
      </w:r>
      <w:r w:rsidR="00653EB7">
        <w:t>810</w:t>
      </w:r>
      <w:bookmarkEnd w:id="1"/>
    </w:p>
    <w:p w:rsidR="00D023EC" w:rsidRPr="00B87D68" w:rsidRDefault="00D023EC" w:rsidP="00D023EC">
      <w:pPr>
        <w:rPr>
          <w:i/>
          <w:vanish/>
        </w:rPr>
      </w:pPr>
      <w:r w:rsidRPr="00B87D68">
        <w:rPr>
          <w:i/>
        </w:rPr>
        <w:fldChar w:fldCharType="begin"/>
      </w:r>
      <w:r w:rsidRPr="00B87D68">
        <w:rPr>
          <w:i/>
        </w:rPr>
        <w:instrText xml:space="preserve"> TC"(</w:instrText>
      </w:r>
      <w:bookmarkStart w:id="2" w:name="DocNumber"/>
      <w:r w:rsidRPr="00B87D68">
        <w:rPr>
          <w:i/>
        </w:rPr>
        <w:instrText>B10-0146/2024</w:instrText>
      </w:r>
      <w:bookmarkEnd w:id="2"/>
      <w:r w:rsidRPr="00B87D68">
        <w:rPr>
          <w:i/>
        </w:rPr>
        <w:instrText xml:space="preserve">)"\l3 \n&gt; \* MERGEFORMAT </w:instrText>
      </w:r>
      <w:r w:rsidRPr="00B87D68">
        <w:rPr>
          <w:i/>
        </w:rPr>
        <w:fldChar w:fldCharType="end"/>
      </w:r>
    </w:p>
    <w:p w:rsidR="00D023EC" w:rsidRPr="00B87D68" w:rsidRDefault="00D023EC" w:rsidP="00D023EC">
      <w:pPr>
        <w:rPr>
          <w:vanish/>
        </w:rPr>
      </w:pPr>
      <w:bookmarkStart w:id="3" w:name="PE"/>
      <w:r w:rsidRPr="00B87D68">
        <w:rPr>
          <w:vanish/>
        </w:rPr>
        <w:t>PE763.280</w:t>
      </w:r>
      <w:bookmarkEnd w:id="3"/>
    </w:p>
    <w:p w:rsidR="00D023EC" w:rsidRPr="00B87D68" w:rsidRDefault="00D023EC" w:rsidP="00626A70">
      <w:pPr>
        <w:pStyle w:val="ATHeading3"/>
      </w:pPr>
      <w:bookmarkStart w:id="4" w:name="Sujet"/>
      <w:r w:rsidRPr="00B87D68">
        <w:t>Rezoluția Parlamentului European din 26 noiembrie 2024 referitoare la Decizia de punere în aplicare (UE) 2024/1828 a Comisiei 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w:t>
      </w:r>
      <w:bookmarkEnd w:id="4"/>
      <w:r w:rsidRPr="00B87D68">
        <w:t xml:space="preserve"> </w:t>
      </w:r>
      <w:bookmarkStart w:id="5" w:name="References"/>
      <w:r w:rsidRPr="00B87D68">
        <w:t>(2024/2840(RSP))</w:t>
      </w:r>
      <w:bookmarkEnd w:id="5"/>
    </w:p>
    <w:p w:rsidR="00A75318" w:rsidRPr="00B87D68" w:rsidRDefault="00A75318" w:rsidP="00A75318">
      <w:pPr>
        <w:pStyle w:val="EPComma"/>
      </w:pPr>
      <w:bookmarkStart w:id="6" w:name="TextBodyBegin"/>
      <w:bookmarkEnd w:id="6"/>
      <w:r w:rsidRPr="00B87D68">
        <w:rPr>
          <w:i/>
          <w:iCs/>
        </w:rPr>
        <w:t>Parlamentul European</w:t>
      </w:r>
      <w:r w:rsidRPr="00B87D68">
        <w:t>,</w:t>
      </w:r>
    </w:p>
    <w:p w:rsidR="00A75318" w:rsidRPr="00B87D68" w:rsidRDefault="00A75318" w:rsidP="00A75318">
      <w:pPr>
        <w:pStyle w:val="NormalHanging12a"/>
      </w:pPr>
      <w:r w:rsidRPr="00B87D68">
        <w:t>–</w:t>
      </w:r>
      <w:r w:rsidRPr="00B87D68">
        <w:tab/>
        <w:t>având în vedere Decizia de punere în aplicare (UE) 2024/1828 a Comisiei de reînnoire a autorizației de introducere pe piață a furajelor care conțin, constau în sau sunt fabricate din produse alimentare și furaje fabricate din porumb modificat genetic MON 810 în temeiul Regulamentului (CE) nr. 1829/2003 al Parlamentului European ș</w:t>
      </w:r>
      <w:bookmarkStart w:id="7" w:name="_GoBack"/>
      <w:bookmarkEnd w:id="7"/>
      <w:r w:rsidRPr="00B87D68">
        <w:t>i al Consiliului și de abrogare a Deciziei de punere în aplicare (UE) 2017/1207 a Comisiei</w:t>
      </w:r>
      <w:r w:rsidRPr="00B87D68">
        <w:rPr>
          <w:rStyle w:val="FootnoteReference"/>
        </w:rPr>
        <w:footnoteReference w:id="1"/>
      </w:r>
      <w:r w:rsidRPr="00B87D68">
        <w:t>,</w:t>
      </w:r>
    </w:p>
    <w:p w:rsidR="00A75318" w:rsidRPr="00B87D68" w:rsidRDefault="00A75318" w:rsidP="00A75318">
      <w:pPr>
        <w:pStyle w:val="NormalHanging12a"/>
      </w:pPr>
      <w:r w:rsidRPr="00B87D68">
        <w:t>–</w:t>
      </w:r>
      <w:r w:rsidRPr="00B87D68">
        <w:tab/>
        <w:t>având în vedere Regulamentul (CE) nr. 1829/2003 al Parlamentului European și al Consiliului din 22 septembrie 2003 privind produsele alimentare și furajele modificate genetic</w:t>
      </w:r>
      <w:r w:rsidRPr="00B87D68">
        <w:rPr>
          <w:rStyle w:val="FootnoteReference"/>
        </w:rPr>
        <w:footnoteReference w:id="2"/>
      </w:r>
      <w:r w:rsidRPr="00B87D68">
        <w:t>, în special articolul 11 alineatul (3) și articolul 23 alineatul (3),</w:t>
      </w:r>
    </w:p>
    <w:p w:rsidR="00A75318" w:rsidRPr="00B87D68" w:rsidRDefault="00A75318" w:rsidP="00A75318">
      <w:pPr>
        <w:pStyle w:val="NormalHanging12a"/>
      </w:pPr>
      <w:r w:rsidRPr="00B87D68">
        <w:t>–</w:t>
      </w:r>
      <w:r w:rsidRPr="00B87D68">
        <w:tab/>
        <w:t xml:space="preserve">având în vedere </w:t>
      </w:r>
      <w:r w:rsidRPr="00B87D68">
        <w:rPr>
          <w:shd w:val="clear" w:color="auto" w:fill="FFFFFF"/>
        </w:rPr>
        <w:t>votul din 26 aprilie 2024 al Comitetului permanent pentru plante, animale, produse alimentare și hrană pentru animale, menționat la articolul 35 din Regulamentul (CE) nr. 1829/2003, în urma căruia nu a fost emis niciun aviz, și votul Comitetului de apel din 29 mai 2024</w:t>
      </w:r>
      <w:r w:rsidRPr="00B87D68">
        <w:t>, în urma căruia, din nou, nu a fost emis niciun aviz,</w:t>
      </w:r>
    </w:p>
    <w:p w:rsidR="00A75318" w:rsidRPr="00B87D68" w:rsidRDefault="00A75318" w:rsidP="00A75318">
      <w:pPr>
        <w:pStyle w:val="NormalHanging12a"/>
      </w:pPr>
      <w:r w:rsidRPr="00B87D68">
        <w:t>–</w:t>
      </w:r>
      <w:r w:rsidRPr="00B87D68">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B87D68">
        <w:rPr>
          <w:rStyle w:val="FootnoteReference"/>
        </w:rPr>
        <w:footnoteReference w:id="3"/>
      </w:r>
      <w:r w:rsidRPr="00B87D68">
        <w:t>,</w:t>
      </w:r>
    </w:p>
    <w:p w:rsidR="00A75318" w:rsidRPr="00B87D68" w:rsidRDefault="00A75318" w:rsidP="00A75318">
      <w:pPr>
        <w:pStyle w:val="NormalHanging12a"/>
      </w:pPr>
      <w:r w:rsidRPr="00B87D68">
        <w:t>–</w:t>
      </w:r>
      <w:r w:rsidRPr="00B87D68">
        <w:tab/>
        <w:t xml:space="preserve">având în vedere avizul adoptat de Autoritatea Europeană pentru Siguranța Alimentară </w:t>
      </w:r>
      <w:r w:rsidRPr="00B87D68">
        <w:lastRenderedPageBreak/>
        <w:t>(EFSA) la 30 noiembrie 2023 și publicat la 19 ianuarie 2024</w:t>
      </w:r>
      <w:r w:rsidRPr="00B87D68">
        <w:rPr>
          <w:rStyle w:val="FootnoteReference"/>
        </w:rPr>
        <w:footnoteReference w:id="4"/>
      </w:r>
      <w:r w:rsidRPr="00B87D68">
        <w:t>,</w:t>
      </w:r>
    </w:p>
    <w:p w:rsidR="00A75318" w:rsidRPr="00B87D68" w:rsidRDefault="00A75318" w:rsidP="00A75318">
      <w:pPr>
        <w:pStyle w:val="NormalHanging12a"/>
        <w:rPr>
          <w:szCs w:val="24"/>
          <w:shd w:val="clear" w:color="auto" w:fill="FFFFFF"/>
        </w:rPr>
      </w:pPr>
      <w:r w:rsidRPr="00B87D68">
        <w:t>–</w:t>
      </w:r>
      <w:r w:rsidRPr="00B87D68">
        <w:tab/>
      </w:r>
      <w:r w:rsidRPr="00B87D68">
        <w:rPr>
          <w:shd w:val="clear" w:color="auto" w:fill="FFFFFF"/>
        </w:rPr>
        <w:t>având în vedere rezoluțiile sale anterioare în care se opune autorizării unor organisme modificate genetic („OMG-uri”)</w:t>
      </w:r>
      <w:r w:rsidRPr="00B87D68">
        <w:rPr>
          <w:szCs w:val="24"/>
          <w:shd w:val="clear" w:color="auto" w:fill="FFFFFF"/>
          <w:vertAlign w:val="superscript"/>
        </w:rPr>
        <w:footnoteReference w:id="5"/>
      </w:r>
      <w:r w:rsidRPr="00B87D68">
        <w:rPr>
          <w:shd w:val="clear" w:color="auto" w:fill="FFFFFF"/>
        </w:rPr>
        <w:t>,</w:t>
      </w:r>
    </w:p>
    <w:p w:rsidR="00A75318" w:rsidRPr="00B87D68" w:rsidRDefault="00A75318" w:rsidP="00A75318">
      <w:pPr>
        <w:pStyle w:val="NormalHanging12a"/>
      </w:pPr>
      <w:r w:rsidRPr="00B87D68">
        <w:t>–</w:t>
      </w:r>
      <w:r w:rsidRPr="00B87D68">
        <w:tab/>
        <w:t>având în vedere articolul 115 alineatele (2) și (3) din Regulamentul său de procedură,</w:t>
      </w:r>
    </w:p>
    <w:p w:rsidR="00A75318" w:rsidRPr="00B87D68" w:rsidRDefault="00A75318" w:rsidP="00A75318">
      <w:pPr>
        <w:pStyle w:val="NormalHanging12a"/>
      </w:pPr>
      <w:r w:rsidRPr="00B87D68">
        <w:t>–</w:t>
      </w:r>
      <w:r w:rsidRPr="00B87D68">
        <w:tab/>
        <w:t>având în vedere propunerea de rezoluție a Comisiei pentru mediu, sănătate publică și siguranță alimentară,</w:t>
      </w:r>
    </w:p>
    <w:p w:rsidR="00A75318" w:rsidRPr="00B87D68" w:rsidRDefault="00A75318" w:rsidP="00A75318">
      <w:pPr>
        <w:pStyle w:val="NormalHanging12a"/>
      </w:pPr>
      <w:r w:rsidRPr="00B87D68">
        <w:t>A.</w:t>
      </w:r>
      <w:r w:rsidRPr="00B87D68">
        <w:tab/>
        <w:t>întrucât, la 6 octombrie 2022, Bayer Agriculture BV, cu sediul în Belgia, a prezentat Comisiei, în numele Bayer CropScience LP, cu sediul în Statele Unite ale Americii, o cerere de reînnoire a Deciziilor de punere în aplicare 2013/649/UE</w:t>
      </w:r>
      <w:r w:rsidRPr="00B87D68">
        <w:rPr>
          <w:rStyle w:val="FootnoteReference"/>
        </w:rPr>
        <w:footnoteReference w:id="6"/>
      </w:r>
      <w:r w:rsidRPr="00B87D68">
        <w:t xml:space="preserve"> și (UE) 2017/1207</w:t>
      </w:r>
      <w:r w:rsidRPr="00B87D68">
        <w:rPr>
          <w:rStyle w:val="FootnoteReference"/>
        </w:rPr>
        <w:footnoteReference w:id="7"/>
      </w:r>
      <w:r w:rsidRPr="00B87D68">
        <w:t>; întrucât, în conformitate cu articolul 11 alineatul (4) din Regulamentul (CE) nr. 1829/2003, perioada de autorizare a polenului modificat genetic fabricat din porumb modificat genetic MON 810 („porumb modificat genetic”) pentru utilizare ca produs alimentar care face obiectul Deciziei de punere în aplicare 2013/649/UE a fost prelungită automat până la luarea unei decizii cu privire la cererea de reînnoire;</w:t>
      </w:r>
    </w:p>
    <w:p w:rsidR="00A75318" w:rsidRPr="00B87D68" w:rsidRDefault="00A75318" w:rsidP="00A75318">
      <w:pPr>
        <w:pStyle w:val="NormalHanging12a"/>
      </w:pPr>
      <w:r w:rsidRPr="00B87D68">
        <w:t>B.</w:t>
      </w:r>
      <w:r w:rsidRPr="00B87D68">
        <w:tab/>
        <w:t xml:space="preserve">întrucât, la 30 noiembrie 2023, EFSA a adoptat un aviz favorabil, care a fost publicat la 19 ianuarie 2024; </w:t>
      </w:r>
    </w:p>
    <w:p w:rsidR="00A75318" w:rsidRPr="00B87D68" w:rsidRDefault="00A75318" w:rsidP="00A75318">
      <w:pPr>
        <w:pStyle w:val="NormalHanging12a"/>
      </w:pPr>
      <w:r w:rsidRPr="00B87D68">
        <w:t>C.</w:t>
      </w:r>
      <w:r w:rsidRPr="00B87D68">
        <w:tab/>
        <w:t>întrucât porumbul modificat genetic a fost modificat pentru a produce insecticide („toxine Bt”);</w:t>
      </w:r>
    </w:p>
    <w:p w:rsidR="00A75318" w:rsidRPr="00B87D68" w:rsidRDefault="00A75318" w:rsidP="00A75318">
      <w:pPr>
        <w:pStyle w:val="NormalHanging12a"/>
        <w:rPr>
          <w:b/>
          <w:i/>
        </w:rPr>
      </w:pPr>
      <w:r w:rsidRPr="00B87D68">
        <w:rPr>
          <w:b/>
          <w:i/>
        </w:rPr>
        <w:t>Chestiuni controversate privind toxinele Bt</w:t>
      </w:r>
    </w:p>
    <w:p w:rsidR="00A75318" w:rsidRPr="00B87D68" w:rsidRDefault="00A75318" w:rsidP="00A75318">
      <w:pPr>
        <w:pStyle w:val="NormalHanging12a"/>
      </w:pPr>
      <w:r w:rsidRPr="00B87D68">
        <w:t>D.</w:t>
      </w:r>
      <w:r w:rsidRPr="00B87D68">
        <w:tab/>
        <w:t>întrucât mai multe studii arată că au fost observate efecte secundare care pot afecta sistemul imunitar uman după expunerea la toxinele Bt și că anumite toxine Bt pot avea proprietăți adjuvante</w:t>
      </w:r>
      <w:r w:rsidRPr="00B87D68">
        <w:rPr>
          <w:rStyle w:val="FootnoteReference"/>
        </w:rPr>
        <w:footnoteReference w:id="8"/>
      </w:r>
      <w:r w:rsidRPr="00B87D68">
        <w:t xml:space="preserve">, ceea ce înseamnă că pot amplifica caracterul alergen al altor </w:t>
      </w:r>
      <w:r w:rsidRPr="00B87D68">
        <w:lastRenderedPageBreak/>
        <w:t>proteine cu care intră în contact;</w:t>
      </w:r>
    </w:p>
    <w:p w:rsidR="00A75318" w:rsidRPr="00B87D68" w:rsidRDefault="00A75318" w:rsidP="00A75318">
      <w:pPr>
        <w:pStyle w:val="NormalHanging12a"/>
        <w:rPr>
          <w:b/>
          <w:i/>
        </w:rPr>
      </w:pPr>
      <w:r w:rsidRPr="00B87D68">
        <w:rPr>
          <w:b/>
          <w:i/>
        </w:rPr>
        <w:t>Culturile Bt: efecte asupra organismelor nevizate</w:t>
      </w:r>
    </w:p>
    <w:p w:rsidR="00A75318" w:rsidRPr="00B87D68" w:rsidRDefault="00A75318" w:rsidP="00A75318">
      <w:pPr>
        <w:pStyle w:val="NormalHanging12a"/>
        <w:rPr>
          <w:b/>
          <w:i/>
        </w:rPr>
      </w:pPr>
      <w:r w:rsidRPr="00B87D68">
        <w:t>E.</w:t>
      </w:r>
      <w:r w:rsidRPr="00B87D68">
        <w:tab/>
        <w:t>întrucât, spre deosebire de utilizarea insecticidelor, unde expunerea are loc în momentul pulverizării și, ulterior, pentru o perioadă limitată, utilizarea culturilor modificate genetic Bt conduce la expunerea continuă a organismelor vizate și a celor nevizate la toxinele Bt;</w:t>
      </w:r>
    </w:p>
    <w:p w:rsidR="00A75318" w:rsidRPr="00B87D68" w:rsidRDefault="00A75318" w:rsidP="00A75318">
      <w:pPr>
        <w:pStyle w:val="NormalHanging12a"/>
      </w:pPr>
      <w:r w:rsidRPr="00B87D68">
        <w:t>F.</w:t>
      </w:r>
      <w:r w:rsidRPr="00B87D68">
        <w:tab/>
        <w:t>întrucât presupunerea că toxinele Bt prezintă un singur model de acțiune specific și care vizează ținta nu mai poate fi considerată corectă, iar efectele asupra organismelor nevizate nu pot fi excluse; întrucât se semnalează faptul că din ce în ce mai multe organisme nevizate sunt afectate în numeroase moduri; întrucât 39 de publicații evaluate inter pares în care se raportează efecte adverse semnificative ale toxinelor Bt asupra multor specii nevizate sunt menționate într-un articol de sinteză recent</w:t>
      </w:r>
      <w:r w:rsidRPr="00B87D68">
        <w:rPr>
          <w:rStyle w:val="FootnoteReference"/>
        </w:rPr>
        <w:footnoteReference w:id="9"/>
      </w:r>
      <w:r w:rsidRPr="00B87D68">
        <w:t>;</w:t>
      </w:r>
    </w:p>
    <w:p w:rsidR="00A75318" w:rsidRPr="00B87D68" w:rsidRDefault="00A75318" w:rsidP="00A75318">
      <w:pPr>
        <w:pStyle w:val="NormalHanging12a"/>
        <w:rPr>
          <w:b/>
          <w:i/>
        </w:rPr>
      </w:pPr>
      <w:r w:rsidRPr="00B87D68">
        <w:rPr>
          <w:b/>
          <w:i/>
        </w:rPr>
        <w:t>Observațiile statelor membre</w:t>
      </w:r>
    </w:p>
    <w:p w:rsidR="00A75318" w:rsidRPr="00B87D68" w:rsidRDefault="00A75318" w:rsidP="00A75318">
      <w:pPr>
        <w:pStyle w:val="NormalHanging12a"/>
      </w:pPr>
      <w:r w:rsidRPr="00B87D68">
        <w:t>G.</w:t>
      </w:r>
      <w:r w:rsidRPr="00B87D68">
        <w:tab/>
        <w:t>întrucât statele membre au prezentat la EFSA numeroase observații critice în cursul perioadei de consultare de trei luni</w:t>
      </w:r>
      <w:r w:rsidRPr="00B87D68">
        <w:rPr>
          <w:rStyle w:val="FootnoteReference"/>
        </w:rPr>
        <w:footnoteReference w:id="10"/>
      </w:r>
      <w:r w:rsidRPr="00B87D68">
        <w:t xml:space="preserve">, inclusiv aceea că datele privind compoziția porumbului modificat genetic ar trebui verificate și reanalizate și că analiza ar trebui să îndeplinească cerințele actuale ale EFSA, printre altele testele de echivalență, și că analiza literaturii de specialitate nu a inclus studii privind evoluția Cry1Ab în mediu sau efectele potențiale ale reziduurilor de culturi de Bt asupra organismelor nevizate, ceea ce este problematic deoarece publicațiile indică faptul că o trecere din furajele cu porumb modificat genetic în gunoiul de grajd poate duce la expunerea organismelor din sol la Cry1Ab și că acest lucru poate declanșa efecte negative asupra organismelor din sol, cu consecințe asupra biodiversității și a serviciilor ecosistemice; </w:t>
      </w:r>
    </w:p>
    <w:p w:rsidR="00A75318" w:rsidRPr="00B87D68" w:rsidRDefault="00A75318" w:rsidP="00A75318">
      <w:pPr>
        <w:pStyle w:val="NormalHanging12a"/>
      </w:pPr>
      <w:r w:rsidRPr="00B87D68">
        <w:t>H.</w:t>
      </w:r>
      <w:r w:rsidRPr="00B87D68">
        <w:tab/>
        <w:t>întrucât Regulamentul (CE) nr. 1829/2003 prevede că produsele alimentare sau furajele modificate genetic nu trebuie să aibă efecte adverse asupra sănătății umane, a sănătății animale sau a mediului și că, atunci când își redactează decizia, Comisia trebuie să țină seama de toate dispozițiile pertinente din dreptul Uniunii și de alți factori legitimi relevanți pentru subiectul în cauză; întrucât acești factori legitimi ar trebui să includă obligațiile Uniunii în temeiul obiectivelor de dezvoltare durabilă („ODD”) ale ONU și al Convenției ONU privind diversitatea biologică („CBD a ONU”);</w:t>
      </w:r>
    </w:p>
    <w:p w:rsidR="00A75318" w:rsidRPr="00B87D68" w:rsidRDefault="00A75318" w:rsidP="00A75318">
      <w:pPr>
        <w:pStyle w:val="NormalHanging12a"/>
        <w:rPr>
          <w:b/>
          <w:i/>
        </w:rPr>
      </w:pPr>
      <w:r w:rsidRPr="00B87D68">
        <w:rPr>
          <w:b/>
          <w:i/>
        </w:rPr>
        <w:t>Reducerea dependenței de furajele importate</w:t>
      </w:r>
    </w:p>
    <w:p w:rsidR="00A75318" w:rsidRPr="00B87D68" w:rsidRDefault="00A75318" w:rsidP="00A75318">
      <w:pPr>
        <w:pStyle w:val="NormalHanging12a"/>
      </w:pPr>
      <w:r w:rsidRPr="00B87D68">
        <w:t>I.</w:t>
      </w:r>
      <w:r w:rsidRPr="00B87D68">
        <w:tab/>
        <w:t xml:space="preserve">întrucât unul dintre învățămintele desprinse în urma crizei provocate de pandemia de COVID-19 și a războiului în curs din Ucraina a fost că Uniunea trebuie să pună capăt dependenței de unele materii critice; întrucât, în scrisoarea de misiune adresată </w:t>
      </w:r>
      <w:r w:rsidRPr="00B87D68">
        <w:lastRenderedPageBreak/>
        <w:t>comisarului desemnat Christophe Hansen, Președinta Comisiei, Ursula von der Leyen, îi solicită acestuia să analizeze cum pot fi reduse importurile de produse critice</w:t>
      </w:r>
      <w:r w:rsidRPr="00B87D68">
        <w:rPr>
          <w:rStyle w:val="FootnoteReference"/>
        </w:rPr>
        <w:footnoteReference w:id="11"/>
      </w:r>
      <w:r w:rsidRPr="00B87D68">
        <w:t xml:space="preserve">; </w:t>
      </w:r>
    </w:p>
    <w:p w:rsidR="00A75318" w:rsidRPr="00B87D68" w:rsidRDefault="00A75318" w:rsidP="00A75318">
      <w:pPr>
        <w:pStyle w:val="NormalHanging12a"/>
        <w:rPr>
          <w:b/>
          <w:i/>
        </w:rPr>
      </w:pPr>
      <w:r w:rsidRPr="00B87D68">
        <w:rPr>
          <w:b/>
          <w:i/>
        </w:rPr>
        <w:t>Un proces decizional nedemocratic</w:t>
      </w:r>
    </w:p>
    <w:p w:rsidR="00A75318" w:rsidRPr="00B87D68" w:rsidRDefault="00A75318" w:rsidP="00A75318">
      <w:pPr>
        <w:pStyle w:val="NormalHanging12a"/>
        <w:rPr>
          <w:b/>
          <w:i/>
        </w:rPr>
      </w:pPr>
      <w:r w:rsidRPr="00B87D68">
        <w:t>J.</w:t>
      </w:r>
      <w:r w:rsidRPr="00B87D68">
        <w:tab/>
      </w:r>
      <w:r w:rsidRPr="00B87D68">
        <w:rPr>
          <w:shd w:val="clear" w:color="auto" w:fill="FFFFFF"/>
        </w:rPr>
        <w:t>întrucât, în urma votului din 26 aprilie 2024 al Comitetului permanent pentru plante, animale, produse alimentare și hrană pentru animale, menționat la articolul 35 din Regulamentul (CE) nr. 1829/2003, nu a fost emis niciun aviz, ceea ce înseamnă că autorizarea nu a fost susținută de o majoritate calificată a statelor membre; întrucât nici Comitetul de apel nu a emis un aviz în urma votului din 29 mai 2024;</w:t>
      </w:r>
    </w:p>
    <w:p w:rsidR="00A75318" w:rsidRPr="00B87D68" w:rsidRDefault="00A75318" w:rsidP="00A75318">
      <w:pPr>
        <w:pStyle w:val="NormalHanging12a"/>
      </w:pPr>
      <w:r w:rsidRPr="00B87D68">
        <w:t>K.</w:t>
      </w:r>
      <w:r w:rsidRPr="00B87D68">
        <w:tab/>
        <w:t>întrucât în cea de a opta legislatură, Parlamentul a adoptat în total 36 de rezoluții prin care se opune introducerii pe piață a unor OMG-uri pentru alimente și furaje (33 de rezoluții) și cultivării de OMG-uri în Uniune (trei rezoluții); întrucât în cea de a noua legislatură, Parlamentul a adoptat 38 de obiecții față de introducerea pe piață a OMG-urilor;</w:t>
      </w:r>
    </w:p>
    <w:p w:rsidR="00A75318" w:rsidRPr="00B87D68" w:rsidRDefault="00A75318" w:rsidP="00A75318">
      <w:pPr>
        <w:pStyle w:val="NormalHanging12a"/>
      </w:pPr>
      <w:r w:rsidRPr="00B87D68">
        <w:t>L.</w:t>
      </w:r>
      <w:r w:rsidRPr="00B87D68">
        <w:tab/>
        <w:t>întrucât, deși ea însăși recunoaște deficitul democratic, lipsa de susținere din partea statelor membre și obiecțiile Parlamentului, Comisia continuă să autorizeze OMG-uri;</w:t>
      </w:r>
    </w:p>
    <w:p w:rsidR="00A75318" w:rsidRPr="00B87D68" w:rsidRDefault="00A75318" w:rsidP="00A75318">
      <w:pPr>
        <w:pStyle w:val="NormalHanging12a"/>
      </w:pPr>
      <w:r w:rsidRPr="00B87D68">
        <w:t>M.</w:t>
      </w:r>
      <w:r w:rsidRPr="00B87D68">
        <w:tab/>
        <w:t>întrucât nu este necesar să se modifice legislația pentru a permite Comisiei să refuze autorizarea OMG-urilor atunci când autorizarea nu este susținută de o majoritate calificată a statelor membre în Comitetul de apel</w:t>
      </w:r>
      <w:r w:rsidRPr="00B87D68">
        <w:rPr>
          <w:rStyle w:val="FootnoteReference"/>
        </w:rPr>
        <w:footnoteReference w:id="12"/>
      </w:r>
      <w:r w:rsidRPr="00B87D68">
        <w:t>;</w:t>
      </w:r>
    </w:p>
    <w:p w:rsidR="00A75318" w:rsidRPr="00B87D68" w:rsidRDefault="00A75318" w:rsidP="00A75318">
      <w:pPr>
        <w:pStyle w:val="NormalHanging12a"/>
      </w:pPr>
      <w:r w:rsidRPr="00B87D68">
        <w:t>N.</w:t>
      </w:r>
      <w:r w:rsidRPr="00B87D68">
        <w:tab/>
        <w:t>întrucât, la 2 iulie 2024, Comisia a reînnoit autorizația de introducere pe piață a porumbului modificat genetic,</w:t>
      </w:r>
    </w:p>
    <w:p w:rsidR="00A75318" w:rsidRPr="00B87D68" w:rsidRDefault="00A75318" w:rsidP="00A75318">
      <w:pPr>
        <w:pStyle w:val="NormalHanging12a"/>
      </w:pPr>
      <w:r w:rsidRPr="00B87D68">
        <w:t>1.</w:t>
      </w:r>
      <w:r w:rsidRPr="00B87D68">
        <w:tab/>
        <w:t>consideră că Decizia de punere în aplicare (UE) 2024/1828 depășește competențele de executare prevăzute de Regulamentul (CE) nr. 1829/2003;</w:t>
      </w:r>
    </w:p>
    <w:p w:rsidR="00A75318" w:rsidRPr="00B87D68" w:rsidRDefault="00A75318" w:rsidP="00A75318">
      <w:pPr>
        <w:pStyle w:val="NormalHanging12a"/>
      </w:pPr>
      <w:r w:rsidRPr="00B87D68">
        <w:t>2.</w:t>
      </w:r>
      <w:r w:rsidRPr="00B87D68">
        <w:tab/>
        <w:t>consideră că Decizia de punere în aplicare (UE) 2024/1828 nu este compatibilă cu dreptul Uniunii, deoarece nu este compatibilă cu obiectivul Regulamentului (CE) nr. 1829/2003, care, în conformitate cu principiile generale prevăzute de Regulamentul (CE) nr. 178/2002 al Parlamentului European și al Consiliului</w:t>
      </w:r>
      <w:r w:rsidRPr="00B87D68">
        <w:rPr>
          <w:rStyle w:val="FootnoteReference"/>
        </w:rPr>
        <w:footnoteReference w:id="13"/>
      </w:r>
      <w:r w:rsidRPr="00B87D68">
        <w:t>, este acela de a pune bazele asigurării unui nivel ridicat de protecție a vieții și sănătății umane, de sănătate și calitate a vieții animalelor și de protecție a intereselor de mediu și ale consumatorilor în cazul produselor alimentare și furajelor modificate genetic, asigurând, totodată, funcționarea eficientă a pieței interne;</w:t>
      </w:r>
    </w:p>
    <w:p w:rsidR="00A75318" w:rsidRPr="00B87D68" w:rsidRDefault="00A75318" w:rsidP="00A75318">
      <w:pPr>
        <w:pStyle w:val="NormalHanging12a"/>
      </w:pPr>
      <w:r w:rsidRPr="00B87D68">
        <w:t>3.</w:t>
      </w:r>
      <w:r w:rsidRPr="00B87D68">
        <w:tab/>
        <w:t>invită Comisia să abroge Decizia de punere în aplicare (UE) 2024/1828;</w:t>
      </w:r>
    </w:p>
    <w:p w:rsidR="00A75318" w:rsidRPr="00B87D68" w:rsidRDefault="00A75318" w:rsidP="00A75318">
      <w:pPr>
        <w:pStyle w:val="NormalHanging12a"/>
      </w:pPr>
      <w:r w:rsidRPr="00B87D68">
        <w:t>4.</w:t>
      </w:r>
      <w:r w:rsidRPr="00B87D68">
        <w:tab/>
        <w:t xml:space="preserve">salută faptul că în scrisoarea sa din 11 septembrie 2020 adresată deputaților, Comisia a </w:t>
      </w:r>
      <w:r w:rsidRPr="00B87D68">
        <w:lastRenderedPageBreak/>
        <w:t>recunoscut în sfârșit necesitatea de a ține seama de sustenabilitate în deciziile de autorizare a OMG-urilor</w:t>
      </w:r>
      <w:r w:rsidRPr="00B87D68">
        <w:rPr>
          <w:rStyle w:val="FootnoteReference"/>
        </w:rPr>
        <w:footnoteReference w:id="14"/>
      </w:r>
      <w:r w:rsidRPr="00B87D68">
        <w:t>; își exprimă, cu toate acestea, dezamăgirea profundă deoarece, de atunci, Comisia a continuat să autorizeze importul de OMG-uri în Uniune, în pofida obiecțiilor continue formulate de Parlament și a faptului că o majoritate a statelor membre au votat împotrivă;</w:t>
      </w:r>
    </w:p>
    <w:p w:rsidR="00A75318" w:rsidRPr="00B87D68" w:rsidRDefault="00A75318" w:rsidP="00A75318">
      <w:pPr>
        <w:pStyle w:val="NormalHanging12a"/>
      </w:pPr>
      <w:r w:rsidRPr="00B87D68">
        <w:t>5.</w:t>
      </w:r>
      <w:r w:rsidRPr="00B87D68">
        <w:tab/>
        <w:t>îndeamnă din nou Comisia să țină seama de obligațiile Uniunii în temeiul acordurilor internaționale, precum Acordul de la Paris privind schimbările climatice, CBD a ONU și ODD ale ONU; solicită din nou ca proiectele de acte de punere în aplicare să fie însoțite de o expunere de motive în care să se explice modul în care acestea respectă principiul de „a nu cauza prejudicii”</w:t>
      </w:r>
      <w:r w:rsidRPr="00B87D68">
        <w:rPr>
          <w:rStyle w:val="FootnoteReference"/>
        </w:rPr>
        <w:footnoteReference w:id="15"/>
      </w:r>
      <w:r w:rsidRPr="00B87D68">
        <w:t xml:space="preserve">; </w:t>
      </w:r>
    </w:p>
    <w:p w:rsidR="00B87D68" w:rsidRPr="00B87D68" w:rsidRDefault="00A75318" w:rsidP="00B87D68">
      <w:pPr>
        <w:pStyle w:val="NormalHanging12a"/>
      </w:pPr>
      <w:r w:rsidRPr="00B87D68">
        <w:t>6.</w:t>
      </w:r>
      <w:r w:rsidRPr="00B87D68">
        <w:tab/>
        <w:t>încredințează Președintei sarcina de a transmite prezenta rezoluție Consiliului și Comisiei, precum și guvernelor și parlamentelor statelor membre.</w:t>
      </w:r>
    </w:p>
    <w:p w:rsidR="00E365E1" w:rsidRPr="00B87D68" w:rsidRDefault="00E365E1" w:rsidP="00D023EC"/>
    <w:sectPr w:rsidR="00E365E1" w:rsidRPr="00B87D68" w:rsidSect="00B87D6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3EC" w:rsidRPr="00B87D68" w:rsidRDefault="00D023EC">
      <w:r w:rsidRPr="00B87D68">
        <w:separator/>
      </w:r>
    </w:p>
  </w:endnote>
  <w:endnote w:type="continuationSeparator" w:id="0">
    <w:p w:rsidR="00D023EC" w:rsidRPr="00B87D68" w:rsidRDefault="00D023EC">
      <w:r w:rsidRPr="00B87D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7D6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7D6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7D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3EC" w:rsidRPr="00B87D68" w:rsidRDefault="00D023EC">
      <w:r w:rsidRPr="00B87D68">
        <w:separator/>
      </w:r>
    </w:p>
  </w:footnote>
  <w:footnote w:type="continuationSeparator" w:id="0">
    <w:p w:rsidR="00D023EC" w:rsidRPr="00B87D68" w:rsidRDefault="00D023EC">
      <w:r w:rsidRPr="00B87D68">
        <w:continuationSeparator/>
      </w:r>
    </w:p>
  </w:footnote>
  <w:footnote w:id="1">
    <w:p w:rsidR="00A75318" w:rsidRPr="00B87D68" w:rsidRDefault="00A75318" w:rsidP="00B87D68">
      <w:pPr>
        <w:pStyle w:val="FootnoteText"/>
        <w:ind w:left="567" w:hanging="567"/>
        <w:rPr>
          <w:sz w:val="24"/>
          <w:lang w:val="ro-RO"/>
        </w:rPr>
      </w:pPr>
      <w:r w:rsidRPr="00B87D68">
        <w:rPr>
          <w:rStyle w:val="FootnoteReference"/>
          <w:sz w:val="24"/>
          <w:lang w:val="ro-RO"/>
        </w:rPr>
        <w:footnoteRef/>
      </w:r>
      <w:r w:rsidR="00B87D68" w:rsidRPr="00B87D68">
        <w:rPr>
          <w:sz w:val="24"/>
          <w:lang w:val="ro-RO"/>
        </w:rPr>
        <w:t xml:space="preserve"> </w:t>
      </w:r>
      <w:r w:rsidR="00B87D68" w:rsidRPr="00B87D68">
        <w:rPr>
          <w:sz w:val="24"/>
          <w:lang w:val="ro-RO"/>
        </w:rPr>
        <w:tab/>
      </w:r>
      <w:r w:rsidRPr="00B87D68">
        <w:rPr>
          <w:sz w:val="24"/>
          <w:lang w:val="ro-RO"/>
        </w:rPr>
        <w:t xml:space="preserve">JO L, 2024/1828, 4.7.2024, ELI: </w:t>
      </w:r>
      <w:hyperlink r:id="rId1" w:tooltip="Asigură accesul la acest document prin ELI URI corespunzător." w:history="1">
        <w:r w:rsidRPr="00B87D68">
          <w:rPr>
            <w:rStyle w:val="Hyperlink"/>
            <w:color w:val="337AB7"/>
            <w:sz w:val="24"/>
            <w:shd w:val="clear" w:color="auto" w:fill="FFFFFF"/>
            <w:lang w:val="ro-RO"/>
          </w:rPr>
          <w:t>http://data.europa.eu/eli/dec_impl/2024/1828/oj</w:t>
        </w:r>
      </w:hyperlink>
      <w:r w:rsidRPr="00B87D68">
        <w:rPr>
          <w:sz w:val="24"/>
          <w:lang w:val="ro-RO"/>
        </w:rPr>
        <w:t>.</w:t>
      </w:r>
    </w:p>
  </w:footnote>
  <w:footnote w:id="2">
    <w:p w:rsidR="00A75318" w:rsidRPr="00B87D68" w:rsidRDefault="00A75318" w:rsidP="00B87D68">
      <w:pPr>
        <w:pStyle w:val="FootnoteText"/>
        <w:ind w:left="567" w:hanging="567"/>
        <w:rPr>
          <w:sz w:val="24"/>
          <w:lang w:val="ro-RO"/>
        </w:rPr>
      </w:pPr>
      <w:r w:rsidRPr="00B87D68">
        <w:rPr>
          <w:rStyle w:val="FootnoteReference"/>
          <w:sz w:val="24"/>
          <w:lang w:val="ro-RO"/>
        </w:rPr>
        <w:footnoteRef/>
      </w:r>
      <w:r w:rsidR="00B87D68" w:rsidRPr="00B87D68">
        <w:rPr>
          <w:sz w:val="24"/>
          <w:lang w:val="ro-RO"/>
        </w:rPr>
        <w:t xml:space="preserve"> </w:t>
      </w:r>
      <w:r w:rsidR="00B87D68" w:rsidRPr="00B87D68">
        <w:rPr>
          <w:sz w:val="24"/>
          <w:lang w:val="ro-RO"/>
        </w:rPr>
        <w:tab/>
      </w:r>
      <w:r w:rsidRPr="00B87D68">
        <w:rPr>
          <w:sz w:val="24"/>
          <w:lang w:val="ro-RO"/>
        </w:rPr>
        <w:t xml:space="preserve">JO L 268, 18.10.2003, p. 1, ELI: </w:t>
      </w:r>
      <w:hyperlink r:id="rId2" w:tooltip="Asigură accesul la acest document prin ELI URI corespunzător." w:history="1">
        <w:r w:rsidRPr="00B87D68">
          <w:rPr>
            <w:rStyle w:val="Hyperlink"/>
            <w:color w:val="337AB7"/>
            <w:sz w:val="24"/>
            <w:shd w:val="clear" w:color="auto" w:fill="FFFFFF"/>
            <w:lang w:val="ro-RO"/>
          </w:rPr>
          <w:t>http://data.europa.eu/eli/reg/2003/1829/oj</w:t>
        </w:r>
      </w:hyperlink>
      <w:r w:rsidRPr="00B87D68">
        <w:rPr>
          <w:sz w:val="24"/>
          <w:lang w:val="ro-RO"/>
        </w:rPr>
        <w:t>.</w:t>
      </w:r>
    </w:p>
  </w:footnote>
  <w:footnote w:id="3">
    <w:p w:rsidR="00A75318" w:rsidRPr="00B87D68" w:rsidRDefault="00A75318" w:rsidP="00B87D68">
      <w:pPr>
        <w:pStyle w:val="FootnoteText"/>
        <w:ind w:left="567" w:hanging="567"/>
        <w:rPr>
          <w:sz w:val="24"/>
          <w:lang w:val="ro-RO"/>
        </w:rPr>
      </w:pPr>
      <w:r w:rsidRPr="00B87D68">
        <w:rPr>
          <w:rStyle w:val="FootnoteReference"/>
          <w:sz w:val="24"/>
          <w:lang w:val="ro-RO"/>
        </w:rPr>
        <w:footnoteRef/>
      </w:r>
      <w:r w:rsidR="00B87D68" w:rsidRPr="00B87D68">
        <w:rPr>
          <w:sz w:val="24"/>
          <w:lang w:val="ro-RO"/>
        </w:rPr>
        <w:t xml:space="preserve"> </w:t>
      </w:r>
      <w:r w:rsidR="00B87D68" w:rsidRPr="00B87D68">
        <w:rPr>
          <w:sz w:val="24"/>
          <w:lang w:val="ro-RO"/>
        </w:rPr>
        <w:tab/>
      </w:r>
      <w:r w:rsidRPr="00B87D68">
        <w:rPr>
          <w:sz w:val="24"/>
          <w:lang w:val="ro-RO"/>
        </w:rPr>
        <w:t xml:space="preserve">JO L 55, 28.2.2011, p. 13, ELI: </w:t>
      </w:r>
      <w:hyperlink r:id="rId3" w:tooltip="Asigură accesul la acest document prin ELI URI corespunzător." w:history="1">
        <w:r w:rsidRPr="00B87D68">
          <w:rPr>
            <w:rStyle w:val="Hyperlink"/>
            <w:color w:val="337AB7"/>
            <w:sz w:val="24"/>
            <w:shd w:val="clear" w:color="auto" w:fill="FFFFFF"/>
            <w:lang w:val="ro-RO"/>
          </w:rPr>
          <w:t>http://data.europa.eu/eli/reg/2011/182/oj</w:t>
        </w:r>
      </w:hyperlink>
      <w:r w:rsidRPr="00B87D68">
        <w:rPr>
          <w:sz w:val="24"/>
          <w:lang w:val="ro-RO"/>
        </w:rPr>
        <w:t>.</w:t>
      </w:r>
    </w:p>
  </w:footnote>
  <w:footnote w:id="4">
    <w:p w:rsidR="00A75318" w:rsidRPr="00B87D68" w:rsidRDefault="00A75318" w:rsidP="00B87D68">
      <w:pPr>
        <w:pStyle w:val="FootnoteText"/>
        <w:ind w:left="567" w:hanging="567"/>
        <w:rPr>
          <w:sz w:val="24"/>
          <w:lang w:val="ro-RO"/>
        </w:rPr>
      </w:pPr>
      <w:r w:rsidRPr="00B87D68">
        <w:rPr>
          <w:rStyle w:val="FootnoteReference"/>
          <w:sz w:val="24"/>
          <w:lang w:val="ro-RO"/>
        </w:rPr>
        <w:footnoteRef/>
      </w:r>
      <w:r w:rsidR="00B87D68" w:rsidRPr="00B87D68">
        <w:rPr>
          <w:sz w:val="24"/>
          <w:lang w:val="ro-RO"/>
        </w:rPr>
        <w:t xml:space="preserve"> </w:t>
      </w:r>
      <w:r w:rsidR="00B87D68" w:rsidRPr="00B87D68">
        <w:rPr>
          <w:sz w:val="24"/>
          <w:lang w:val="ro-RO"/>
        </w:rPr>
        <w:tab/>
      </w:r>
      <w:r w:rsidRPr="00B87D68">
        <w:rPr>
          <w:sz w:val="24"/>
          <w:lang w:val="ro-RO"/>
        </w:rPr>
        <w:t xml:space="preserve">Avizul științific al Grupului EFSA pentru organisme modificate genetic privind evaluarea porumbului modificat genetic MON 810 în vederea reînnoirii autorizației în temeiul Regulamentului (CE) nr. 1829/2003 (dosar GMFF-2022-9450), EFSA Journal, 2024;22(1):8489, </w:t>
      </w:r>
      <w:hyperlink r:id="rId4" w:history="1">
        <w:r w:rsidRPr="00B87D68">
          <w:rPr>
            <w:rStyle w:val="Hyperlink"/>
            <w:sz w:val="24"/>
            <w:lang w:val="ro-RO"/>
          </w:rPr>
          <w:t>https://doi.org/10.2903/j.efsa.2024.8489</w:t>
        </w:r>
      </w:hyperlink>
      <w:r w:rsidRPr="00B87D68">
        <w:rPr>
          <w:sz w:val="24"/>
          <w:lang w:val="ro-RO"/>
        </w:rPr>
        <w:t>.</w:t>
      </w:r>
    </w:p>
  </w:footnote>
  <w:footnote w:id="5">
    <w:p w:rsidR="00A75318" w:rsidRPr="00B87D68" w:rsidRDefault="00A75318" w:rsidP="00B87D68">
      <w:pPr>
        <w:pStyle w:val="FootnoteText"/>
        <w:ind w:left="567" w:hanging="567"/>
        <w:rPr>
          <w:sz w:val="24"/>
          <w:lang w:val="ro-RO"/>
        </w:rPr>
      </w:pPr>
      <w:r w:rsidRPr="00B87D68">
        <w:rPr>
          <w:rStyle w:val="FootnoteReference"/>
          <w:sz w:val="24"/>
          <w:lang w:val="ro-RO"/>
        </w:rPr>
        <w:footnoteRef/>
      </w:r>
      <w:r w:rsidR="00B87D68" w:rsidRPr="00B87D68">
        <w:rPr>
          <w:sz w:val="24"/>
          <w:lang w:val="ro-RO"/>
        </w:rPr>
        <w:t xml:space="preserve"> </w:t>
      </w:r>
      <w:r w:rsidR="00B87D68" w:rsidRPr="00B87D68">
        <w:rPr>
          <w:sz w:val="24"/>
          <w:lang w:val="ro-RO"/>
        </w:rPr>
        <w:tab/>
      </w:r>
      <w:r w:rsidRPr="00B87D68">
        <w:rPr>
          <w:sz w:val="24"/>
          <w:lang w:val="ro-RO"/>
        </w:rPr>
        <w:t>În cea de a opta legislatură, Parlamentul a adoptat 36 de rezoluții, iar în cea de a noua legislatură Parlamentul a adoptat 38 de rezoluții în care se opune autorizării unor OMG-uri.</w:t>
      </w:r>
      <w:r w:rsidRPr="00B87D68">
        <w:rPr>
          <w:color w:val="000000" w:themeColor="text1"/>
          <w:sz w:val="24"/>
          <w:lang w:val="ro-RO"/>
        </w:rPr>
        <w:t xml:space="preserve"> </w:t>
      </w:r>
    </w:p>
  </w:footnote>
  <w:footnote w:id="6">
    <w:p w:rsidR="00A75318" w:rsidRPr="00B87D68" w:rsidRDefault="00A75318" w:rsidP="00B87D68">
      <w:pPr>
        <w:pStyle w:val="FootnoteText"/>
        <w:ind w:left="567" w:hanging="567"/>
        <w:rPr>
          <w:sz w:val="24"/>
          <w:lang w:val="ro-RO"/>
        </w:rPr>
      </w:pPr>
      <w:r w:rsidRPr="00B87D68">
        <w:rPr>
          <w:rStyle w:val="FootnoteReference"/>
          <w:sz w:val="24"/>
          <w:lang w:val="ro-RO"/>
        </w:rPr>
        <w:footnoteRef/>
      </w:r>
      <w:r w:rsidR="00B87D68" w:rsidRPr="00B87D68">
        <w:rPr>
          <w:sz w:val="24"/>
          <w:lang w:val="ro-RO"/>
        </w:rPr>
        <w:t xml:space="preserve"> </w:t>
      </w:r>
      <w:r w:rsidR="00B87D68" w:rsidRPr="00B87D68">
        <w:rPr>
          <w:sz w:val="24"/>
          <w:lang w:val="ro-RO"/>
        </w:rPr>
        <w:tab/>
      </w:r>
      <w:r w:rsidRPr="00B87D68">
        <w:rPr>
          <w:sz w:val="24"/>
          <w:lang w:val="ro-RO"/>
        </w:rPr>
        <w:t xml:space="preserve">Decizia de punere în aplicare 2013/649/UE a Comisiei din 6 noiembrie 2013 de autorizare a introducerii pe piață a polenului provenit de la porumb MON 810 (MON-ØØ81Ø-6), în temeiul Regulamentului (CE) nr. 1829/2003 al Parlamentului European și al Consiliului (JO L 302, 13.11.2013, p. 44, ELI:  </w:t>
      </w:r>
      <w:hyperlink r:id="rId5" w:tooltip="Asigură accesul la acest document prin ELI URI corespunzător." w:history="1">
        <w:r w:rsidRPr="00B87D68">
          <w:rPr>
            <w:rStyle w:val="Hyperlink"/>
            <w:color w:val="337AB7"/>
            <w:sz w:val="24"/>
            <w:shd w:val="clear" w:color="auto" w:fill="FFFFFF"/>
            <w:lang w:val="ro-RO"/>
          </w:rPr>
          <w:t>http://data.europa.eu/eli/dec_impl/2013/649/oj</w:t>
        </w:r>
      </w:hyperlink>
      <w:r w:rsidRPr="00B87D68">
        <w:rPr>
          <w:sz w:val="24"/>
          <w:lang w:val="ro-RO"/>
        </w:rPr>
        <w:t>).</w:t>
      </w:r>
    </w:p>
  </w:footnote>
  <w:footnote w:id="7">
    <w:p w:rsidR="00A75318" w:rsidRPr="00B87D68" w:rsidRDefault="00A75318" w:rsidP="00B87D68">
      <w:pPr>
        <w:pStyle w:val="FootnoteText"/>
        <w:ind w:left="567" w:hanging="567"/>
        <w:rPr>
          <w:sz w:val="24"/>
          <w:lang w:val="ro-RO"/>
        </w:rPr>
      </w:pPr>
      <w:r w:rsidRPr="00B87D68">
        <w:rPr>
          <w:rStyle w:val="FootnoteReference"/>
          <w:sz w:val="24"/>
          <w:lang w:val="ro-RO"/>
        </w:rPr>
        <w:footnoteRef/>
      </w:r>
      <w:r w:rsidR="00B87D68" w:rsidRPr="00B87D68">
        <w:rPr>
          <w:sz w:val="24"/>
          <w:lang w:val="ro-RO"/>
        </w:rPr>
        <w:t xml:space="preserve"> </w:t>
      </w:r>
      <w:r w:rsidR="00B87D68" w:rsidRPr="00B87D68">
        <w:rPr>
          <w:sz w:val="24"/>
          <w:lang w:val="ro-RO"/>
        </w:rPr>
        <w:tab/>
      </w:r>
      <w:r w:rsidRPr="00B87D68">
        <w:rPr>
          <w:sz w:val="24"/>
          <w:lang w:val="ro-RO"/>
        </w:rPr>
        <w:t xml:space="preserve">Decizia de punere în aplicare (UE) 2017/1207 a Comisiei din 4 iulie 2017 de reînnoire a autorizației de introducere pe piață a produselor din porumb modificat genetic MON 810 (MON-ØØ81Ø-6), în temeiul Regulamentului (CE) nr. 1829/2003 al Parlamentului European și al Consiliului (JO L 173, 6.7.2017, p. 18, ELI:  </w:t>
      </w:r>
      <w:hyperlink r:id="rId6" w:tooltip="Asigură accesul la acest document prin ELI URI corespunzător." w:history="1">
        <w:r w:rsidRPr="00B87D68">
          <w:rPr>
            <w:rStyle w:val="Hyperlink"/>
            <w:color w:val="337AB7"/>
            <w:sz w:val="24"/>
            <w:shd w:val="clear" w:color="auto" w:fill="FFFFFF"/>
            <w:lang w:val="ro-RO"/>
          </w:rPr>
          <w:t>http://data.europa.eu/eli/dec_impl/2017/1207/oj</w:t>
        </w:r>
      </w:hyperlink>
      <w:r w:rsidRPr="00B87D68">
        <w:rPr>
          <w:sz w:val="24"/>
          <w:lang w:val="ro-RO"/>
        </w:rPr>
        <w:t>).</w:t>
      </w:r>
    </w:p>
  </w:footnote>
  <w:footnote w:id="8">
    <w:p w:rsidR="00A75318" w:rsidRPr="00B87D68" w:rsidRDefault="00A75318" w:rsidP="00B87D68">
      <w:pPr>
        <w:pStyle w:val="FootnoteText"/>
        <w:ind w:left="567" w:hanging="567"/>
        <w:rPr>
          <w:sz w:val="24"/>
          <w:lang w:val="ro-RO"/>
        </w:rPr>
      </w:pPr>
      <w:r w:rsidRPr="00B87D68">
        <w:rPr>
          <w:rStyle w:val="FootnoteReference"/>
          <w:sz w:val="24"/>
          <w:lang w:val="ro-RO"/>
        </w:rPr>
        <w:footnoteRef/>
      </w:r>
      <w:r w:rsidR="00B87D68" w:rsidRPr="00B87D68">
        <w:rPr>
          <w:sz w:val="24"/>
          <w:lang w:val="ro-RO"/>
        </w:rPr>
        <w:t xml:space="preserve"> </w:t>
      </w:r>
      <w:r w:rsidR="00B87D68" w:rsidRPr="00B87D68">
        <w:rPr>
          <w:sz w:val="24"/>
          <w:lang w:val="ro-RO"/>
        </w:rPr>
        <w:tab/>
      </w:r>
      <w:r w:rsidRPr="00B87D68">
        <w:rPr>
          <w:sz w:val="24"/>
          <w:lang w:val="ro-RO"/>
        </w:rPr>
        <w:t>Pentru o evaluare, a se vedea Rubio-Infante, N., Moreno-Fierros, L., „An overview of the safety and biological effects of </w:t>
      </w:r>
      <w:r w:rsidRPr="00B87D68">
        <w:rPr>
          <w:i/>
          <w:iCs/>
          <w:sz w:val="24"/>
          <w:lang w:val="ro-RO"/>
        </w:rPr>
        <w:t>Bacillus thuringiensis</w:t>
      </w:r>
      <w:r w:rsidRPr="00B87D68">
        <w:rPr>
          <w:sz w:val="24"/>
          <w:lang w:val="ro-RO"/>
        </w:rPr>
        <w:t xml:space="preserve"> Cry toxins in mammals”, Journal of Applied Toxicology, mai 2016, 36,5, p. 630-648, </w:t>
      </w:r>
      <w:hyperlink r:id="rId7" w:history="1">
        <w:r w:rsidRPr="00B87D68">
          <w:rPr>
            <w:rStyle w:val="Hyperlink"/>
            <w:sz w:val="24"/>
            <w:lang w:val="ro-RO"/>
          </w:rPr>
          <w:t>https://onlinelibrary.wiley.com/doi/full/10.1002/jat.3252</w:t>
        </w:r>
      </w:hyperlink>
      <w:r w:rsidRPr="00B87D68">
        <w:rPr>
          <w:rStyle w:val="Hyperlink"/>
          <w:sz w:val="24"/>
          <w:lang w:val="ro-RO"/>
        </w:rPr>
        <w:t>.</w:t>
      </w:r>
    </w:p>
  </w:footnote>
  <w:footnote w:id="9">
    <w:p w:rsidR="00A75318" w:rsidRPr="00B87D68" w:rsidRDefault="00A75318" w:rsidP="00B87D68">
      <w:pPr>
        <w:pStyle w:val="FootnoteText"/>
        <w:ind w:left="567" w:hanging="567"/>
        <w:rPr>
          <w:sz w:val="24"/>
          <w:lang w:val="ro-RO"/>
        </w:rPr>
      </w:pPr>
      <w:r w:rsidRPr="00B87D68">
        <w:rPr>
          <w:rStyle w:val="FootnoteReference"/>
          <w:sz w:val="24"/>
          <w:lang w:val="ro-RO"/>
        </w:rPr>
        <w:footnoteRef/>
      </w:r>
      <w:r w:rsidR="00B87D68" w:rsidRPr="00B87D68">
        <w:rPr>
          <w:sz w:val="24"/>
          <w:lang w:val="ro-RO"/>
        </w:rPr>
        <w:t xml:space="preserve"> </w:t>
      </w:r>
      <w:r w:rsidR="00B87D68" w:rsidRPr="00B87D68">
        <w:rPr>
          <w:sz w:val="24"/>
          <w:lang w:val="ro-RO"/>
        </w:rPr>
        <w:tab/>
      </w:r>
      <w:r w:rsidRPr="00B87D68">
        <w:rPr>
          <w:sz w:val="24"/>
          <w:lang w:val="ro-RO"/>
        </w:rPr>
        <w:t xml:space="preserve">Hilbeck, A., Defarge, N., Lebrecht, T., Bøhn, T., „Insecticidal Bt crops. EFSA’s risk assessment approach for GM Bt plants fails by design”, RAGES, 2020, p. 4, </w:t>
      </w:r>
      <w:hyperlink r:id="rId8" w:history="1">
        <w:r w:rsidRPr="00B87D68">
          <w:rPr>
            <w:rStyle w:val="Hyperlink"/>
            <w:sz w:val="24"/>
            <w:lang w:val="ro-RO"/>
          </w:rPr>
          <w:t>https://www.testbiotech.org/wp-content/uploads/2023/12/RAGES_report-Insecticidal-Bt-plants.pdf</w:t>
        </w:r>
      </w:hyperlink>
      <w:r w:rsidRPr="00B87D68">
        <w:rPr>
          <w:rStyle w:val="Hyperlink"/>
          <w:sz w:val="24"/>
          <w:lang w:val="ro-RO"/>
        </w:rPr>
        <w:t xml:space="preserve">; </w:t>
      </w:r>
      <w:r w:rsidRPr="00B87D68">
        <w:rPr>
          <w:sz w:val="24"/>
          <w:lang w:val="ro-RO"/>
        </w:rPr>
        <w:t>A se vedea, de exemplu, Hilbeck, A., Otto, M., „Specificity and combinatorial effects of </w:t>
      </w:r>
      <w:r w:rsidRPr="00B87D68">
        <w:rPr>
          <w:i/>
          <w:iCs/>
          <w:sz w:val="24"/>
          <w:lang w:val="ro-RO"/>
        </w:rPr>
        <w:t>Bacillus thuringiensis</w:t>
      </w:r>
      <w:r w:rsidRPr="00B87D68">
        <w:rPr>
          <w:sz w:val="24"/>
          <w:lang w:val="ro-RO"/>
        </w:rPr>
        <w:t xml:space="preserve"> Cry toxins in the context of GMO environmental risk assessment”, Frontiers in Environmental Science 2015, 3:71, </w:t>
      </w:r>
      <w:hyperlink r:id="rId9" w:history="1">
        <w:r w:rsidRPr="00B87D68">
          <w:rPr>
            <w:rStyle w:val="Hyperlink"/>
            <w:sz w:val="24"/>
            <w:lang w:val="ro-RO"/>
          </w:rPr>
          <w:t>https://doi.org/10.3389/fenvs.2015.00071</w:t>
        </w:r>
      </w:hyperlink>
      <w:r w:rsidRPr="00B87D68">
        <w:rPr>
          <w:sz w:val="24"/>
          <w:lang w:val="ro-RO"/>
        </w:rPr>
        <w:t>.</w:t>
      </w:r>
    </w:p>
  </w:footnote>
  <w:footnote w:id="10">
    <w:p w:rsidR="00A75318" w:rsidRPr="00B87D68" w:rsidRDefault="00A75318" w:rsidP="00B87D68">
      <w:pPr>
        <w:pStyle w:val="FootnoteText"/>
        <w:ind w:left="567" w:hanging="567"/>
        <w:rPr>
          <w:sz w:val="24"/>
          <w:lang w:val="ro-RO"/>
        </w:rPr>
      </w:pPr>
      <w:r w:rsidRPr="00B87D68">
        <w:rPr>
          <w:rStyle w:val="FootnoteReference"/>
          <w:sz w:val="24"/>
          <w:lang w:val="ro-RO"/>
        </w:rPr>
        <w:footnoteRef/>
      </w:r>
      <w:r w:rsidR="00B87D68" w:rsidRPr="00B87D68">
        <w:rPr>
          <w:sz w:val="24"/>
          <w:lang w:val="ro-RO"/>
        </w:rPr>
        <w:t xml:space="preserve"> </w:t>
      </w:r>
      <w:r w:rsidR="00B87D68" w:rsidRPr="00B87D68">
        <w:rPr>
          <w:sz w:val="24"/>
          <w:lang w:val="ro-RO"/>
        </w:rPr>
        <w:tab/>
      </w:r>
      <w:hyperlink r:id="rId10" w:history="1">
        <w:r w:rsidRPr="00B87D68">
          <w:rPr>
            <w:rStyle w:val="Hyperlink"/>
            <w:sz w:val="24"/>
            <w:lang w:val="ro-RO"/>
          </w:rPr>
          <w:t>https://efsa.onlinelibrary.wiley.com/action/downloadSupplement?doi=10.2903%‌2Fj.efsa.2024.8489&amp;file=efs28489-sup-0008-Annex_8.pdf</w:t>
        </w:r>
      </w:hyperlink>
      <w:r w:rsidRPr="00B87D68">
        <w:rPr>
          <w:rStyle w:val="Hyperlink"/>
          <w:sz w:val="24"/>
          <w:lang w:val="ro-RO"/>
        </w:rPr>
        <w:t>.</w:t>
      </w:r>
    </w:p>
  </w:footnote>
  <w:footnote w:id="11">
    <w:p w:rsidR="00A75318" w:rsidRPr="00B87D68" w:rsidRDefault="00A75318" w:rsidP="00B87D68">
      <w:pPr>
        <w:pStyle w:val="FootnoteText"/>
        <w:ind w:left="567" w:hanging="567"/>
        <w:rPr>
          <w:sz w:val="24"/>
          <w:lang w:val="ro-RO"/>
        </w:rPr>
      </w:pPr>
      <w:r w:rsidRPr="00B87D68">
        <w:rPr>
          <w:rStyle w:val="FootnoteReference"/>
          <w:sz w:val="24"/>
          <w:lang w:val="ro-RO"/>
        </w:rPr>
        <w:footnoteRef/>
      </w:r>
      <w:r w:rsidR="00B87D68" w:rsidRPr="00B87D68">
        <w:rPr>
          <w:sz w:val="24"/>
          <w:lang w:val="ro-RO"/>
        </w:rPr>
        <w:t xml:space="preserve"> </w:t>
      </w:r>
      <w:r w:rsidR="00B87D68" w:rsidRPr="00B87D68">
        <w:rPr>
          <w:sz w:val="24"/>
          <w:lang w:val="ro-RO"/>
        </w:rPr>
        <w:tab/>
      </w:r>
      <w:hyperlink r:id="rId11" w:history="1">
        <w:r w:rsidRPr="00B87D68">
          <w:rPr>
            <w:rStyle w:val="Hyperlink"/>
            <w:sz w:val="24"/>
            <w:lang w:val="ro-RO"/>
          </w:rPr>
          <w:t>https://commission.europa.eu/document/2c64e540-c07a-4376-a1da-368d289f4afe_en</w:t>
        </w:r>
      </w:hyperlink>
    </w:p>
  </w:footnote>
  <w:footnote w:id="12">
    <w:p w:rsidR="00A75318" w:rsidRPr="00B87D68" w:rsidRDefault="00A75318" w:rsidP="00B87D68">
      <w:pPr>
        <w:pStyle w:val="FootnoteText"/>
        <w:ind w:left="567" w:hanging="567"/>
        <w:rPr>
          <w:sz w:val="24"/>
          <w:lang w:val="ro-RO"/>
        </w:rPr>
      </w:pPr>
      <w:r w:rsidRPr="00B87D68">
        <w:rPr>
          <w:rStyle w:val="FootnoteReference"/>
          <w:sz w:val="24"/>
          <w:lang w:val="ro-RO"/>
        </w:rPr>
        <w:footnoteRef/>
      </w:r>
      <w:r w:rsidR="00B87D68" w:rsidRPr="00B87D68">
        <w:rPr>
          <w:sz w:val="24"/>
          <w:lang w:val="ro-RO"/>
        </w:rPr>
        <w:t xml:space="preserve"> </w:t>
      </w:r>
      <w:r w:rsidR="00B87D68" w:rsidRPr="00B87D68">
        <w:rPr>
          <w:sz w:val="24"/>
          <w:lang w:val="ro-RO"/>
        </w:rPr>
        <w:tab/>
      </w:r>
      <w:r w:rsidRPr="00B87D68">
        <w:rPr>
          <w:sz w:val="24"/>
          <w:lang w:val="ro-RO"/>
        </w:rPr>
        <w:t>Comisia „poate”, și nu „trebuie”, să acorde o autorizație dacă nu există o majoritate calificată a statelor membre în Comitetul de apel care să susțină o decizie favorabilă, în conformitate cu articolul 6 alineatul (3) din Regulamentul (UE) nr. 182/2011.</w:t>
      </w:r>
    </w:p>
  </w:footnote>
  <w:footnote w:id="13">
    <w:p w:rsidR="00A75318" w:rsidRPr="00B87D68" w:rsidRDefault="00A75318" w:rsidP="00B87D68">
      <w:pPr>
        <w:pStyle w:val="FootnoteText"/>
        <w:ind w:left="567" w:hanging="567"/>
        <w:rPr>
          <w:sz w:val="24"/>
          <w:lang w:val="ro-RO"/>
        </w:rPr>
      </w:pPr>
      <w:r w:rsidRPr="00B87D68">
        <w:rPr>
          <w:rStyle w:val="FootnoteReference"/>
          <w:sz w:val="24"/>
          <w:lang w:val="ro-RO"/>
        </w:rPr>
        <w:footnoteRef/>
      </w:r>
      <w:r w:rsidR="00B87D68" w:rsidRPr="00B87D68">
        <w:rPr>
          <w:sz w:val="24"/>
          <w:lang w:val="ro-RO"/>
        </w:rPr>
        <w:t xml:space="preserve"> </w:t>
      </w:r>
      <w:r w:rsidR="00B87D68" w:rsidRPr="00B87D68">
        <w:rPr>
          <w:sz w:val="24"/>
          <w:lang w:val="ro-RO"/>
        </w:rPr>
        <w:tab/>
      </w:r>
      <w:r w:rsidRPr="00B87D68">
        <w:rPr>
          <w:sz w:val="24"/>
          <w:lang w:val="ro-RO"/>
        </w:rPr>
        <w:t xml:space="preserve">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1, ELI: </w:t>
      </w:r>
      <w:hyperlink r:id="rId12" w:tooltip="Asigură accesul la acest document prin ELI URI corespunzător." w:history="1">
        <w:r w:rsidRPr="00B87D68">
          <w:rPr>
            <w:rStyle w:val="Hyperlink"/>
            <w:color w:val="337AB7"/>
            <w:sz w:val="24"/>
            <w:shd w:val="clear" w:color="auto" w:fill="FFFFFF"/>
            <w:lang w:val="ro-RO"/>
          </w:rPr>
          <w:t>http://data.europa.eu/eli/reg/2002/178/oj</w:t>
        </w:r>
      </w:hyperlink>
      <w:r w:rsidRPr="00B87D68">
        <w:rPr>
          <w:sz w:val="24"/>
          <w:lang w:val="ro-RO"/>
        </w:rPr>
        <w:t>).</w:t>
      </w:r>
    </w:p>
  </w:footnote>
  <w:footnote w:id="14">
    <w:p w:rsidR="00A75318" w:rsidRPr="00B87D68" w:rsidRDefault="00A75318" w:rsidP="00B87D68">
      <w:pPr>
        <w:pStyle w:val="FootnoteText"/>
        <w:ind w:left="567" w:hanging="567"/>
        <w:rPr>
          <w:sz w:val="24"/>
          <w:lang w:val="ro-RO"/>
        </w:rPr>
      </w:pPr>
      <w:r w:rsidRPr="00B87D68">
        <w:rPr>
          <w:rStyle w:val="FootnoteReference"/>
          <w:sz w:val="24"/>
          <w:lang w:val="ro-RO"/>
        </w:rPr>
        <w:footnoteRef/>
      </w:r>
      <w:r w:rsidR="00B87D68" w:rsidRPr="00B87D68">
        <w:rPr>
          <w:sz w:val="24"/>
          <w:lang w:val="ro-RO"/>
        </w:rPr>
        <w:t xml:space="preserve"> </w:t>
      </w:r>
      <w:r w:rsidR="00B87D68" w:rsidRPr="00B87D68">
        <w:rPr>
          <w:sz w:val="24"/>
          <w:lang w:val="ro-RO"/>
        </w:rPr>
        <w:tab/>
      </w:r>
      <w:hyperlink r:id="rId13" w:history="1">
        <w:r w:rsidRPr="00B87D68">
          <w:rPr>
            <w:rStyle w:val="Hyperlink"/>
            <w:sz w:val="24"/>
            <w:lang w:val="ro-RO"/>
          </w:rPr>
          <w:t>https://tillymetz.lu/wp-content/uploads/2020/09/Co-signed-letter-MEP-Metz.pdf</w:t>
        </w:r>
      </w:hyperlink>
      <w:r w:rsidRPr="00B87D68">
        <w:rPr>
          <w:rStyle w:val="Hyperlink"/>
          <w:sz w:val="24"/>
          <w:lang w:val="ro-RO"/>
        </w:rPr>
        <w:t>.</w:t>
      </w:r>
    </w:p>
  </w:footnote>
  <w:footnote w:id="15">
    <w:p w:rsidR="00A75318" w:rsidRPr="00B87D68" w:rsidRDefault="00A75318" w:rsidP="00B87D68">
      <w:pPr>
        <w:pStyle w:val="FootnoteText"/>
        <w:ind w:left="567" w:hanging="567"/>
        <w:rPr>
          <w:sz w:val="24"/>
          <w:lang w:val="ro-RO"/>
        </w:rPr>
      </w:pPr>
      <w:r w:rsidRPr="00B87D68">
        <w:rPr>
          <w:rStyle w:val="FootnoteReference"/>
          <w:sz w:val="24"/>
          <w:lang w:val="ro-RO"/>
        </w:rPr>
        <w:footnoteRef/>
      </w:r>
      <w:r w:rsidR="00B87D68" w:rsidRPr="00B87D68">
        <w:rPr>
          <w:sz w:val="24"/>
          <w:lang w:val="ro-RO"/>
        </w:rPr>
        <w:t xml:space="preserve"> </w:t>
      </w:r>
      <w:r w:rsidR="00B87D68" w:rsidRPr="00B87D68">
        <w:rPr>
          <w:sz w:val="24"/>
          <w:lang w:val="ro-RO"/>
        </w:rPr>
        <w:tab/>
      </w:r>
      <w:r w:rsidRPr="00B87D68">
        <w:rPr>
          <w:sz w:val="24"/>
          <w:lang w:val="ro-RO"/>
        </w:rPr>
        <w:t>Rezoluția Parlamentului European din 15 ianuarie 2020 referitoare la Pactul ecologic european (JO C 270, 7.7.2021, p. 2), punctul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7D6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7D6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7D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4"/>
    <w:docVar w:name="dvlangue" w:val="RO"/>
    <w:docVar w:name="dvnumam" w:val="0"/>
    <w:docVar w:name="dvpe" w:val="763.280"/>
    <w:docVar w:name="dvtitre" w:val="Rezoluția Parlamentului European din 26 noiembrie 2024 referitoare la Decizia de punere în aplicare (UE) 2024/1828 a Comisiei din 2 iulie 2024 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2024/2840(RSP))"/>
  </w:docVars>
  <w:rsids>
    <w:rsidRoot w:val="00D023E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6A70"/>
    <w:rsid w:val="00653EB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5318"/>
    <w:rsid w:val="00A778C7"/>
    <w:rsid w:val="00AB441E"/>
    <w:rsid w:val="00AB6293"/>
    <w:rsid w:val="00AE0928"/>
    <w:rsid w:val="00AF3B82"/>
    <w:rsid w:val="00B12E95"/>
    <w:rsid w:val="00B22876"/>
    <w:rsid w:val="00B46A81"/>
    <w:rsid w:val="00B558F0"/>
    <w:rsid w:val="00B87D68"/>
    <w:rsid w:val="00BD48FE"/>
    <w:rsid w:val="00BD7BD8"/>
    <w:rsid w:val="00BE6ADC"/>
    <w:rsid w:val="00C05BFE"/>
    <w:rsid w:val="00C23CD4"/>
    <w:rsid w:val="00C61C0C"/>
    <w:rsid w:val="00C941CB"/>
    <w:rsid w:val="00CC2357"/>
    <w:rsid w:val="00CF071A"/>
    <w:rsid w:val="00D023EC"/>
    <w:rsid w:val="00D058B8"/>
    <w:rsid w:val="00D56C11"/>
    <w:rsid w:val="00D834A0"/>
    <w:rsid w:val="00D872DF"/>
    <w:rsid w:val="00D91E21"/>
    <w:rsid w:val="00DA7FCD"/>
    <w:rsid w:val="00E365E1"/>
    <w:rsid w:val="00E820A4"/>
    <w:rsid w:val="00EB006A"/>
    <w:rsid w:val="00EB4772"/>
    <w:rsid w:val="00ED169E"/>
    <w:rsid w:val="00ED31F7"/>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7AF7965-A395-4994-B526-5126B13C0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75318"/>
    <w:pPr>
      <w:spacing w:before="480" w:after="240"/>
    </w:pPr>
  </w:style>
  <w:style w:type="paragraph" w:customStyle="1" w:styleId="NormalHanging12a">
    <w:name w:val="NormalHanging12a"/>
    <w:basedOn w:val="Normal"/>
    <w:rsid w:val="00A75318"/>
    <w:pPr>
      <w:spacing w:after="240"/>
      <w:ind w:left="567" w:hanging="567"/>
    </w:pPr>
  </w:style>
  <w:style w:type="character" w:styleId="Hyperlink">
    <w:name w:val="Hyperlink"/>
    <w:basedOn w:val="DefaultParagraphFont"/>
    <w:uiPriority w:val="99"/>
    <w:rsid w:val="00A75318"/>
    <w:rPr>
      <w:color w:val="0563C1" w:themeColor="hyperlink"/>
      <w:u w:val="single"/>
    </w:rPr>
  </w:style>
  <w:style w:type="paragraph" w:styleId="BalloonText">
    <w:name w:val="Balloon Text"/>
    <w:basedOn w:val="Normal"/>
    <w:link w:val="BalloonTextChar"/>
    <w:rsid w:val="00653EB7"/>
    <w:rPr>
      <w:rFonts w:ascii="Segoe UI" w:hAnsi="Segoe UI" w:cs="Segoe UI"/>
      <w:sz w:val="18"/>
      <w:szCs w:val="18"/>
    </w:rPr>
  </w:style>
  <w:style w:type="character" w:customStyle="1" w:styleId="BalloonTextChar">
    <w:name w:val="Balloon Text Char"/>
    <w:basedOn w:val="DefaultParagraphFont"/>
    <w:link w:val="BalloonText"/>
    <w:rsid w:val="00653EB7"/>
    <w:rPr>
      <w:rFonts w:ascii="Segoe UI" w:hAnsi="Segoe UI" w:cs="Segoe UI"/>
      <w:sz w:val="18"/>
      <w:szCs w:val="18"/>
      <w:lang w:val="ro-RO"/>
    </w:rPr>
  </w:style>
  <w:style w:type="character" w:styleId="FollowedHyperlink">
    <w:name w:val="FollowedHyperlink"/>
    <w:basedOn w:val="DefaultParagraphFont"/>
    <w:rsid w:val="00626A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tillymetz.lu/wp-content/uploads/2020/09/Co-signed-letter-MEP-Metz.pdf" TargetMode="External"/><Relationship Id="rId3" Type="http://schemas.openxmlformats.org/officeDocument/2006/relationships/hyperlink" Target="http://data.europa.eu/eli/reg/2011/182/oj" TargetMode="External"/><Relationship Id="rId7" Type="http://schemas.openxmlformats.org/officeDocument/2006/relationships/hyperlink" Target="https://onlinelibrary.wiley.com/doi/full/10.1002/jat.3252" TargetMode="External"/><Relationship Id="rId12" Type="http://schemas.openxmlformats.org/officeDocument/2006/relationships/hyperlink" Target="http://data.europa.eu/eli/reg/2002/178/oj"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1828/oj" TargetMode="External"/><Relationship Id="rId6" Type="http://schemas.openxmlformats.org/officeDocument/2006/relationships/hyperlink" Target="http://data.europa.eu/eli/dec_impl/2017/1207/oj" TargetMode="External"/><Relationship Id="rId11" Type="http://schemas.openxmlformats.org/officeDocument/2006/relationships/hyperlink" Target="https://commission.europa.eu/document/2c64e540-c07a-4376-a1da-368d289f4afe_en" TargetMode="External"/><Relationship Id="rId5" Type="http://schemas.openxmlformats.org/officeDocument/2006/relationships/hyperlink" Target="http://data.europa.eu/eli/dec_impl/2013/649/oj" TargetMode="External"/><Relationship Id="rId10" Type="http://schemas.openxmlformats.org/officeDocument/2006/relationships/hyperlink" Target="https://efsa.onlinelibrary.wiley.com/action/downloadSupplement?doi=10.2903/j.efsa.2024.8489&amp;file=efs28489-sup-0008-Annex_8.pdf" TargetMode="External"/><Relationship Id="rId4" Type="http://schemas.openxmlformats.org/officeDocument/2006/relationships/hyperlink" Target="https://doi.org/10.2903/j.efsa.2024.8489" TargetMode="External"/><Relationship Id="rId9"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D4549-2E26-4D00-9AFF-74E55FA45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1452</Words>
  <Characters>8212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3</cp:revision>
  <cp:lastPrinted>2004-11-19T15:42:00Z</cp:lastPrinted>
  <dcterms:created xsi:type="dcterms:W3CDTF">2024-11-26T14:02:00Z</dcterms:created>
  <dcterms:modified xsi:type="dcterms:W3CDTF">2025-01-08T10:18:00Z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B10-0146/2024</vt:lpwstr>
  </property>
  <property fmtid="{D5CDD505-2E9C-101B-9397-08002B2CF9AE}" pid="4" name="&lt;Type&gt;">
    <vt:lpwstr>RR</vt:lpwstr>
  </property>
</Properties>
</file>