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374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5374D" w:rsidRDefault="00284BE9" w:rsidP="0010095E">
            <w:pPr>
              <w:pStyle w:val="EPName"/>
            </w:pPr>
            <w:r w:rsidRPr="00D5374D">
              <w:t>Európsky parlament</w:t>
            </w:r>
          </w:p>
          <w:p w:rsidR="00751A4A" w:rsidRPr="00D5374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374D">
              <w:t>2024</w:t>
            </w:r>
            <w:r w:rsidR="00817416" w:rsidRPr="00D5374D">
              <w:t>-202</w:t>
            </w:r>
            <w:r w:rsidRPr="00D5374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5374D" w:rsidRDefault="00187494" w:rsidP="0010095E">
            <w:pPr>
              <w:pStyle w:val="EPLogo"/>
            </w:pPr>
            <w:r w:rsidRPr="00D5374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5374D" w:rsidRDefault="00D058B8" w:rsidP="004C5D52">
      <w:pPr>
        <w:pStyle w:val="LineTop"/>
      </w:pPr>
    </w:p>
    <w:p w:rsidR="00680577" w:rsidRPr="00D5374D" w:rsidRDefault="00284BE9" w:rsidP="00680577">
      <w:pPr>
        <w:pStyle w:val="EPBodyTA1"/>
      </w:pPr>
      <w:r w:rsidRPr="00D5374D">
        <w:t>PRIJATÉ TEXTY</w:t>
      </w:r>
    </w:p>
    <w:p w:rsidR="00D058B8" w:rsidRPr="00D5374D" w:rsidRDefault="00D058B8" w:rsidP="00D058B8">
      <w:pPr>
        <w:pStyle w:val="LineBottom"/>
      </w:pPr>
    </w:p>
    <w:p w:rsidR="00284BE9" w:rsidRPr="00D5374D" w:rsidRDefault="00284BE9" w:rsidP="00284BE9">
      <w:pPr>
        <w:pStyle w:val="ATHeading1"/>
      </w:pPr>
      <w:bookmarkStart w:id="0" w:name="TANumber"/>
      <w:r w:rsidRPr="00D5374D">
        <w:t>P10_TA(2024)00</w:t>
      </w:r>
      <w:r w:rsidR="00D5374D" w:rsidRPr="00D5374D">
        <w:t>41</w:t>
      </w:r>
      <w:bookmarkEnd w:id="0"/>
    </w:p>
    <w:p w:rsidR="00284BE9" w:rsidRPr="00D5374D" w:rsidRDefault="00284BE9" w:rsidP="00284BE9">
      <w:pPr>
        <w:pStyle w:val="ATHeading2"/>
      </w:pPr>
      <w:bookmarkStart w:id="1" w:name="title"/>
      <w:r w:rsidRPr="00D5374D">
        <w:t>Geneticky modifikovaná kukurica MON 810</w:t>
      </w:r>
      <w:bookmarkEnd w:id="1"/>
    </w:p>
    <w:p w:rsidR="00284BE9" w:rsidRPr="00D5374D" w:rsidRDefault="00284BE9" w:rsidP="00284BE9">
      <w:pPr>
        <w:rPr>
          <w:i/>
          <w:vanish/>
        </w:rPr>
      </w:pPr>
      <w:r w:rsidRPr="00D5374D">
        <w:rPr>
          <w:i/>
        </w:rPr>
        <w:fldChar w:fldCharType="begin"/>
      </w:r>
      <w:r w:rsidRPr="00D5374D">
        <w:rPr>
          <w:i/>
        </w:rPr>
        <w:instrText xml:space="preserve"> TC"(</w:instrText>
      </w:r>
      <w:bookmarkStart w:id="2" w:name="DocNumber"/>
      <w:r w:rsidRPr="00D5374D">
        <w:rPr>
          <w:i/>
        </w:rPr>
        <w:instrText>B10-0146/2024</w:instrText>
      </w:r>
      <w:bookmarkEnd w:id="2"/>
      <w:r w:rsidRPr="00D5374D">
        <w:rPr>
          <w:i/>
        </w:rPr>
        <w:instrText xml:space="preserve">)"\l3 \n&gt; \* MERGEFORMAT </w:instrText>
      </w:r>
      <w:r w:rsidRPr="00D5374D">
        <w:rPr>
          <w:i/>
        </w:rPr>
        <w:fldChar w:fldCharType="end"/>
      </w:r>
    </w:p>
    <w:p w:rsidR="00284BE9" w:rsidRPr="00D5374D" w:rsidRDefault="00284BE9" w:rsidP="00284BE9">
      <w:pPr>
        <w:rPr>
          <w:vanish/>
        </w:rPr>
      </w:pPr>
      <w:bookmarkStart w:id="3" w:name="PE"/>
      <w:r w:rsidRPr="00D5374D">
        <w:rPr>
          <w:vanish/>
        </w:rPr>
        <w:t>PE763.280</w:t>
      </w:r>
      <w:bookmarkEnd w:id="3"/>
    </w:p>
    <w:p w:rsidR="00284BE9" w:rsidRPr="00D5374D" w:rsidRDefault="00284BE9" w:rsidP="00284BE9">
      <w:pPr>
        <w:pStyle w:val="ATHeading3"/>
      </w:pPr>
      <w:bookmarkStart w:id="4" w:name="Sujet"/>
      <w:r w:rsidRPr="00D5374D">
        <w:t>Uznesenie Európskeho parlamentu z</w:t>
      </w:r>
      <w:r w:rsidR="002C012D" w:rsidRPr="00D5374D">
        <w:t> 26</w:t>
      </w:r>
      <w:r w:rsidRPr="00D5374D">
        <w:t>. novembra 2024 o vykonávacom rozhodnutí Komisie (EÚ) 2024/1828, ktorým sa podľa nariadenia Európskeho parlamentu a Rady (ES) č. 1829/2003 obnovuje povolenie umiestňovať na trh krmivá, ktoré obsahujú geneticky modifikovanú kukuricu MON 810 alebo sú z nej zložené, a potraviny a krmivá vyrobené z geneticky modifikovanej kukurice MON 810 a ktorým sa zrušuje vykonávacie rozhodnutie Komisie (EÚ) 2017/1207</w:t>
      </w:r>
      <w:bookmarkEnd w:id="4"/>
      <w:r w:rsidRPr="00D5374D">
        <w:t xml:space="preserve"> </w:t>
      </w:r>
      <w:bookmarkStart w:id="5" w:name="References"/>
      <w:r w:rsidRPr="00D5374D">
        <w:t>(2024/2840(RSP))</w:t>
      </w:r>
      <w:bookmarkEnd w:id="5"/>
    </w:p>
    <w:p w:rsidR="00BA5B45" w:rsidRPr="00D5374D" w:rsidRDefault="00BA5B45" w:rsidP="00BA5B45">
      <w:pPr>
        <w:pStyle w:val="EPComma"/>
      </w:pPr>
      <w:bookmarkStart w:id="6" w:name="TextBodyBegin"/>
      <w:bookmarkEnd w:id="6"/>
      <w:r w:rsidRPr="00D5374D">
        <w:rPr>
          <w:i/>
          <w:iCs/>
        </w:rPr>
        <w:t>Európsky parlament</w:t>
      </w:r>
      <w:r w:rsidRPr="00D5374D">
        <w:t>,</w:t>
      </w:r>
    </w:p>
    <w:p w:rsidR="00BA5B45" w:rsidRPr="00D5374D" w:rsidRDefault="00BA5B45" w:rsidP="00BA5B45">
      <w:pPr>
        <w:pStyle w:val="NormalHanging12a"/>
      </w:pPr>
      <w:r w:rsidRPr="00D5374D">
        <w:t>–</w:t>
      </w:r>
      <w:r w:rsidRPr="00D5374D">
        <w:tab/>
        <w:t>so zreteľom na vykonávacie rozhodnutie Komisie (EÚ) 2024/1828, ktorým sa podľa nariadenia Európskeho parlamentu a Rady (ES) č. 1829/2003 obnovuje povolenie umiestňovať na trh krmivá, ktoré obsahujú geneticky modifikovanú kukuricu MON 810 alebo sú z nej zložené, a potraviny a krmivá vyrobené z geneticky modifikovanej kukurice MON 810 a ktorým sa zrušuje vykonávacie rozhodnutie Komisie (EÚ) 2017/1207</w:t>
      </w:r>
      <w:r w:rsidRPr="00D5374D">
        <w:rPr>
          <w:rStyle w:val="FootnoteReference"/>
        </w:rPr>
        <w:footnoteReference w:id="1"/>
      </w:r>
      <w:r w:rsidRPr="00D5374D">
        <w:t>,</w:t>
      </w:r>
    </w:p>
    <w:p w:rsidR="00BA5B45" w:rsidRPr="00D5374D" w:rsidRDefault="00BA5B45" w:rsidP="00BA5B45">
      <w:pPr>
        <w:pStyle w:val="NormalHanging12a"/>
      </w:pPr>
      <w:r w:rsidRPr="00D5374D">
        <w:t>–</w:t>
      </w:r>
      <w:r w:rsidRPr="00D5374D">
        <w:tab/>
        <w:t>so zreteľom na nariadenie Európskeho parlamentu a Rady (ES) č. 1829/2003 z 22. septembra 2003 o geneticky modifikovaných potravinách a krmivách</w:t>
      </w:r>
      <w:r w:rsidRPr="00D5374D">
        <w:rPr>
          <w:rStyle w:val="FootnoteReference"/>
        </w:rPr>
        <w:footnoteReference w:id="2"/>
      </w:r>
      <w:r w:rsidRPr="00D5374D">
        <w:t>, a najmä na jeho článok 11 ods. 3 a článok 23 ods. 3,</w:t>
      </w:r>
    </w:p>
    <w:p w:rsidR="00BA5B45" w:rsidRPr="00D5374D" w:rsidRDefault="00BA5B45" w:rsidP="00BA5B45">
      <w:pPr>
        <w:pStyle w:val="NormalHanging12a"/>
      </w:pPr>
      <w:r w:rsidRPr="00D5374D">
        <w:t>–</w:t>
      </w:r>
      <w:r w:rsidRPr="00D5374D">
        <w:tab/>
        <w:t>so zreteľom na hlasovanie</w:t>
      </w:r>
      <w:r w:rsidRPr="00D5374D">
        <w:rPr>
          <w:shd w:val="clear" w:color="auto" w:fill="FFFFFF"/>
        </w:rPr>
        <w:t xml:space="preserve"> Stáleho výboru pre rastliny, zvieratá, potraviny a krmivá, ktorý je uvedený v článku 35 nariadenia (ES) č. 1829/2003, z 26. apríla 2024, počas ktorého nebolo prijaté žiadne stanovisko, a na hlasovanie odvolacieho výboru z 29. mája 2024, počas ktorého opätovne nebolo prijaté</w:t>
      </w:r>
      <w:r w:rsidRPr="00D5374D">
        <w:t xml:space="preserve"> žiadne stanovisko,</w:t>
      </w:r>
    </w:p>
    <w:p w:rsidR="00BA5B45" w:rsidRPr="00D5374D" w:rsidRDefault="00BA5B45" w:rsidP="00BA5B45">
      <w:pPr>
        <w:pStyle w:val="NormalHanging12a"/>
      </w:pPr>
      <w:r w:rsidRPr="00D5374D">
        <w:t>–</w:t>
      </w:r>
      <w:r w:rsidRPr="00D5374D">
        <w:tab/>
        <w:t>so zreteľom na článok 11 nariadenia Európskeho parlamentu a Rady (EÚ) č. 182/2011 zo 16. februára 2011, ktorým sa ustanovujú pravidlá a všeobecné zásady mechanizmu, na základe ktorého členské štáty kontrolujú vykonávanie vykonávacích právomocí Komisie</w:t>
      </w:r>
      <w:r w:rsidRPr="00D5374D">
        <w:rPr>
          <w:rStyle w:val="FootnoteReference"/>
        </w:rPr>
        <w:footnoteReference w:id="3"/>
      </w:r>
      <w:r w:rsidRPr="00D5374D">
        <w:t>,</w:t>
      </w:r>
    </w:p>
    <w:p w:rsidR="00BA5B45" w:rsidRPr="00D5374D" w:rsidRDefault="00BA5B45" w:rsidP="00BA5B45">
      <w:pPr>
        <w:pStyle w:val="NormalHanging12a"/>
      </w:pPr>
      <w:r w:rsidRPr="00D5374D">
        <w:t>–</w:t>
      </w:r>
      <w:r w:rsidRPr="00D5374D">
        <w:tab/>
        <w:t xml:space="preserve">so zreteľom na stanovisko, ktoré prijal Európsky úrad pre bezpečnosť potravín (EFSA) </w:t>
      </w:r>
      <w:r w:rsidRPr="00D5374D">
        <w:lastRenderedPageBreak/>
        <w:t>30. novembra 2023 a ktoré bolo uverejnené 19. januára 2024</w:t>
      </w:r>
      <w:r w:rsidRPr="00D5374D">
        <w:rPr>
          <w:rStyle w:val="FootnoteReference"/>
        </w:rPr>
        <w:footnoteReference w:id="4"/>
      </w:r>
      <w:r w:rsidRPr="00D5374D">
        <w:t>,</w:t>
      </w:r>
    </w:p>
    <w:p w:rsidR="00BA5B45" w:rsidRPr="00D5374D" w:rsidRDefault="00BA5B45" w:rsidP="00BA5B45">
      <w:pPr>
        <w:pStyle w:val="NormalHanging12a"/>
        <w:rPr>
          <w:szCs w:val="24"/>
          <w:shd w:val="clear" w:color="auto" w:fill="FFFFFF"/>
        </w:rPr>
      </w:pPr>
      <w:r w:rsidRPr="00D5374D">
        <w:t>–</w:t>
      </w:r>
      <w:r w:rsidRPr="00D5374D">
        <w:tab/>
      </w:r>
      <w:r w:rsidRPr="00D5374D">
        <w:rPr>
          <w:shd w:val="clear" w:color="auto" w:fill="FFFFFF"/>
        </w:rPr>
        <w:t>so zreteľom na svoje predchádzajúce uznesenia, v ktorých namieta proti povoľovaniu geneticky modifikovaných organizmov (GMO)</w:t>
      </w:r>
      <w:r w:rsidRPr="00D5374D">
        <w:rPr>
          <w:szCs w:val="24"/>
          <w:shd w:val="clear" w:color="auto" w:fill="FFFFFF"/>
          <w:vertAlign w:val="superscript"/>
        </w:rPr>
        <w:footnoteReference w:id="5"/>
      </w:r>
      <w:r w:rsidRPr="00D5374D">
        <w:rPr>
          <w:shd w:val="clear" w:color="auto" w:fill="FFFFFF"/>
        </w:rPr>
        <w:t>,</w:t>
      </w:r>
    </w:p>
    <w:p w:rsidR="00BA5B45" w:rsidRPr="00D5374D" w:rsidRDefault="00BA5B45" w:rsidP="00BA5B45">
      <w:pPr>
        <w:pStyle w:val="NormalHanging12a"/>
      </w:pPr>
      <w:r w:rsidRPr="00D5374D">
        <w:t>–</w:t>
      </w:r>
      <w:r w:rsidRPr="00D5374D">
        <w:tab/>
        <w:t>so zreteľom na článok 115 ods. 2 a 3 rokovacieho poriadku,</w:t>
      </w:r>
    </w:p>
    <w:p w:rsidR="00BA5B45" w:rsidRPr="00D5374D" w:rsidRDefault="00BA5B45" w:rsidP="00BA5B45">
      <w:pPr>
        <w:pStyle w:val="NormalHanging12a"/>
      </w:pPr>
      <w:r w:rsidRPr="00D5374D">
        <w:t>–</w:t>
      </w:r>
      <w:r w:rsidRPr="00D5374D">
        <w:tab/>
        <w:t>so zreteľom na návrh uznesenia Výboru pre životné prostredie, verejné zdravie a bezpečnosť potravín,</w:t>
      </w:r>
    </w:p>
    <w:p w:rsidR="00BA5B45" w:rsidRPr="00D5374D" w:rsidRDefault="00BA5B45" w:rsidP="00BA5B45">
      <w:pPr>
        <w:pStyle w:val="NormalHanging12a"/>
      </w:pPr>
      <w:r w:rsidRPr="00D5374D">
        <w:t>A.</w:t>
      </w:r>
      <w:r w:rsidRPr="00D5374D">
        <w:tab/>
        <w:t>keďže spoločnosť Bayer Agriculture BV so sídlom v Belgicku predložila Komisii 6. októbra 2022 v mene spoločnosti Bayer CropScience LP so sídlom v Spojených štátoch amerických žiadosť o obnovenie vykonávacích rozhodnutí Komisie 2013/649/EÚ</w:t>
      </w:r>
      <w:r w:rsidRPr="00D5374D">
        <w:rPr>
          <w:rStyle w:val="FootnoteReference"/>
        </w:rPr>
        <w:footnoteReference w:id="6"/>
      </w:r>
      <w:r w:rsidRPr="00D5374D">
        <w:t xml:space="preserve"> a (EÚ) 2017/1207</w:t>
      </w:r>
      <w:r w:rsidRPr="00D5374D">
        <w:rPr>
          <w:rStyle w:val="FootnoteReference"/>
        </w:rPr>
        <w:footnoteReference w:id="7"/>
      </w:r>
      <w:r w:rsidRPr="00D5374D">
        <w:t>. keďže v súlade s článkom 11 ods. 4 nariadenia (ES) č. 1829/2003 sa obdobie povolenia geneticky modifikovaného peľu vyrobeného z geneticky modifikovanej kukurice MON 810 na použitie v potravinách, na ktoré sa vzťahuje vykonávacie rozhodnutie 2013/649/EÚ, automaticky predĺžilo, kým sa neprijme rozhodnutie o žiadosti o obnovenie;</w:t>
      </w:r>
    </w:p>
    <w:p w:rsidR="00BA5B45" w:rsidRPr="00D5374D" w:rsidRDefault="00BA5B45" w:rsidP="00BA5B45">
      <w:pPr>
        <w:pStyle w:val="NormalHanging12a"/>
      </w:pPr>
      <w:r w:rsidRPr="00D5374D">
        <w:t>B.</w:t>
      </w:r>
      <w:r w:rsidRPr="00D5374D">
        <w:tab/>
        <w:t xml:space="preserve">keďže úrad EFSA vydal 30. novembra 2023 kladné stanovisko, ktoré bolo uverejnené 19. januára 2024; </w:t>
      </w:r>
    </w:p>
    <w:p w:rsidR="00BA5B45" w:rsidRPr="00D5374D" w:rsidRDefault="00BA5B45" w:rsidP="00BA5B45">
      <w:pPr>
        <w:pStyle w:val="NormalHanging12a"/>
      </w:pPr>
      <w:r w:rsidRPr="00D5374D">
        <w:t>C.</w:t>
      </w:r>
      <w:r w:rsidRPr="00D5374D">
        <w:tab/>
        <w:t>keďže geneticky modifikovaná kukurica bola upravená tak, aby produkovala insekticídy (Bt toxíny);</w:t>
      </w:r>
    </w:p>
    <w:p w:rsidR="00BA5B45" w:rsidRPr="00D5374D" w:rsidRDefault="00BA5B45" w:rsidP="00BA5B45">
      <w:pPr>
        <w:pStyle w:val="NormalHanging12a"/>
        <w:rPr>
          <w:b/>
          <w:i/>
        </w:rPr>
      </w:pPr>
      <w:r w:rsidRPr="00D5374D">
        <w:rPr>
          <w:b/>
          <w:i/>
        </w:rPr>
        <w:t>Nevyriešené otázky týkajúce sa Bt toxínov</w:t>
      </w:r>
    </w:p>
    <w:p w:rsidR="00BA5B45" w:rsidRPr="00D5374D" w:rsidRDefault="00BA5B45" w:rsidP="00BA5B45">
      <w:pPr>
        <w:pStyle w:val="NormalHanging12a"/>
      </w:pPr>
      <w:r w:rsidRPr="00D5374D">
        <w:t>D.</w:t>
      </w:r>
      <w:r w:rsidRPr="00D5374D">
        <w:tab/>
        <w:t>keďže z viacerých štúdií vyplýva, že boli pozorované vedľajšie účinky, ktoré môžu mať po expozícii Bt toxínom vplyv na ľudský imunitný systém, a že niektoré Bt toxíny môžu mať adjuvantné vlastnosti</w:t>
      </w:r>
      <w:r w:rsidRPr="00D5374D">
        <w:rPr>
          <w:rStyle w:val="FootnoteReference"/>
        </w:rPr>
        <w:footnoteReference w:id="8"/>
      </w:r>
      <w:r w:rsidRPr="00D5374D">
        <w:t>, čo znamená, že môžu zvyšovať alergénnosť iných proteínov, s ktorými prichádzajú do kontaktu;</w:t>
      </w:r>
    </w:p>
    <w:p w:rsidR="00BA5B45" w:rsidRPr="00D5374D" w:rsidRDefault="00BA5B45" w:rsidP="00BA5B45">
      <w:pPr>
        <w:pStyle w:val="NormalHanging12a"/>
        <w:rPr>
          <w:b/>
          <w:i/>
        </w:rPr>
      </w:pPr>
      <w:r w:rsidRPr="00D5374D">
        <w:rPr>
          <w:b/>
          <w:i/>
        </w:rPr>
        <w:lastRenderedPageBreak/>
        <w:t>Bt plodiny: účinky na necieľové organizmy</w:t>
      </w:r>
    </w:p>
    <w:p w:rsidR="00BA5B45" w:rsidRPr="00D5374D" w:rsidRDefault="00BA5B45" w:rsidP="00BA5B45">
      <w:pPr>
        <w:pStyle w:val="NormalHanging12a"/>
        <w:rPr>
          <w:b/>
          <w:i/>
        </w:rPr>
      </w:pPr>
      <w:r w:rsidRPr="00D5374D">
        <w:t>E.</w:t>
      </w:r>
      <w:r w:rsidRPr="00D5374D">
        <w:tab/>
        <w:t>keďže na rozdiel od používania insekticídov, pri ktorých dochádza k expozícii počas postreku a krátky čas po ňom, vedie používanie geneticky modifikovaných Bt plodín k trvalej expozícii cieľových aj necieľových organizmov Bt toxínom;</w:t>
      </w:r>
    </w:p>
    <w:p w:rsidR="00BA5B45" w:rsidRPr="00D5374D" w:rsidRDefault="00BA5B45" w:rsidP="00BA5B45">
      <w:pPr>
        <w:pStyle w:val="NormalHanging12a"/>
      </w:pPr>
      <w:r w:rsidRPr="00D5374D">
        <w:t>F.</w:t>
      </w:r>
      <w:r w:rsidRPr="00D5374D">
        <w:tab/>
        <w:t>keďže predpoklad, že Bt toxíny vykazujú jediný špecifický spôsob cieľového pôsobenia, už nemožno považovať za správny a účinky na necieľové organizmy nemožno vylúčiť; keďže je zdokumentované mnohoraké postihnutie čoraz väčšieho počtu necieľových organizmov; keďže v nedávnom prehľade sa nachádza 39 recenzovaných publikácií, v ktorých sa uvádzajú závažné nepriaznivé účinky Bt toxínov na mnoho necieľových druhov</w:t>
      </w:r>
      <w:r w:rsidRPr="00D5374D">
        <w:rPr>
          <w:rStyle w:val="FootnoteReference"/>
        </w:rPr>
        <w:footnoteReference w:id="9"/>
      </w:r>
      <w:r w:rsidRPr="00D5374D">
        <w:t>;</w:t>
      </w:r>
    </w:p>
    <w:p w:rsidR="00BA5B45" w:rsidRPr="00D5374D" w:rsidRDefault="00BA5B45" w:rsidP="00BA5B45">
      <w:pPr>
        <w:pStyle w:val="NormalHanging12a"/>
        <w:rPr>
          <w:b/>
          <w:i/>
        </w:rPr>
      </w:pPr>
      <w:r w:rsidRPr="00D5374D">
        <w:rPr>
          <w:b/>
          <w:i/>
        </w:rPr>
        <w:t>Pripomienky členských štátov</w:t>
      </w:r>
    </w:p>
    <w:p w:rsidR="00BA5B45" w:rsidRPr="00D5374D" w:rsidRDefault="00BA5B45" w:rsidP="00BA5B45">
      <w:pPr>
        <w:pStyle w:val="NormalHanging12a"/>
      </w:pPr>
      <w:r w:rsidRPr="00D5374D">
        <w:t>G.</w:t>
      </w:r>
      <w:r w:rsidRPr="00D5374D">
        <w:tab/>
        <w:t>keďže členské štáty predložili úradu EFSA počas trojmesačného konzultačného obdobia mnoho kritických pripomienok</w:t>
      </w:r>
      <w:r w:rsidRPr="00D5374D">
        <w:rPr>
          <w:rStyle w:val="FootnoteReference"/>
        </w:rPr>
        <w:footnoteReference w:id="10"/>
      </w:r>
      <w:r w:rsidRPr="00D5374D">
        <w:t xml:space="preserve"> vrátane toho, že údaje o zložení geneticky modifikovanej kukurice by sa mali skontrolovať a opätovne analyzovať a že analýza by mala spĺňať súčasné požiadavky úradu EFSA, okrem iného na testovanie zhody, a že prehľad literatúry nezahŕňa štúdie o osude Cry1Ab v životnom prostredí alebo o možných účinkoch rezíduí Bt-plodín na necieľové organizmy, čo je problematické, pretože z publikácií vyplýva, že prenos z geneticky modifikovanej kukurice na hnoj môže viesť k expozícii pôdnych organizmov toxínu Cry1Ab a že to môže vyvolať negatívne účinky na pôdne organizmy s dôsledkami na biodiverzitu a ekosystémové služby; </w:t>
      </w:r>
    </w:p>
    <w:p w:rsidR="00BA5B45" w:rsidRPr="00D5374D" w:rsidRDefault="00BA5B45" w:rsidP="00BA5B45">
      <w:pPr>
        <w:pStyle w:val="NormalHanging12a"/>
      </w:pPr>
      <w:r w:rsidRPr="00D5374D">
        <w:t>H.</w:t>
      </w:r>
      <w:r w:rsidRPr="00D5374D">
        <w:tab/>
        <w:t>keďže v nariadení (ES) č. 1829/2003 sa uvádza, že geneticky modifikované potraviny alebo krmivá nesmú mať nepriaznivé účinky na ľudské zdravie, zdravie zvierat alebo na životné prostredie, a vyžaduje sa, aby Komisia pri príprave svojho rozhodnutia vzala do úvahy všetky relevantné ustanovenia práva Únie a iné oprávnené skutočnosti, ktoré sú podstatné na prerokovanie záležitosti; keďže medzi tieto legitímne faktory by mali patriť záväzky Únie v rámci cieľov OSN v oblasti udržateľného rozvoja a Dohovoru OSN o biologickej diverzite;</w:t>
      </w:r>
    </w:p>
    <w:p w:rsidR="00BA5B45" w:rsidRPr="00D5374D" w:rsidRDefault="00BA5B45" w:rsidP="00BA5B45">
      <w:pPr>
        <w:pStyle w:val="NormalHanging12a"/>
        <w:rPr>
          <w:b/>
          <w:i/>
        </w:rPr>
      </w:pPr>
      <w:r w:rsidRPr="00D5374D">
        <w:rPr>
          <w:b/>
          <w:i/>
        </w:rPr>
        <w:t>Zníženie závislosti od dovážaných krmív</w:t>
      </w:r>
    </w:p>
    <w:p w:rsidR="00BA5B45" w:rsidRPr="00D5374D" w:rsidRDefault="00BA5B45" w:rsidP="00BA5B45">
      <w:pPr>
        <w:pStyle w:val="NormalHanging12a"/>
      </w:pPr>
      <w:r w:rsidRPr="00D5374D">
        <w:t>I.</w:t>
      </w:r>
      <w:r w:rsidRPr="00D5374D">
        <w:tab/>
        <w:t xml:space="preserve">keďže jedným z ponaučení z krízy spôsobenej ochorením COVID-19 a prebiehajúcej vojny na Ukrajine je potreba ukončiť závislosť Únie od niektorých kritických </w:t>
      </w:r>
      <w:r w:rsidRPr="00D5374D">
        <w:lastRenderedPageBreak/>
        <w:t>materiálov; keďže v poverovacom liste dezignovanému komisárovi Christophovi Hansenovi ho predsedníčka Komisie Ursula von der Leyenová žiada o to, aby preskúmal spôsoby, ako znížiť dovoz kritických komodít</w:t>
      </w:r>
      <w:r w:rsidRPr="00D5374D">
        <w:rPr>
          <w:rStyle w:val="FootnoteReference"/>
        </w:rPr>
        <w:footnoteReference w:id="11"/>
      </w:r>
      <w:r w:rsidRPr="00D5374D">
        <w:t xml:space="preserve">; </w:t>
      </w:r>
    </w:p>
    <w:p w:rsidR="00BA5B45" w:rsidRPr="00D5374D" w:rsidRDefault="00BA5B45" w:rsidP="00BA5B45">
      <w:pPr>
        <w:pStyle w:val="NormalHanging12a"/>
        <w:rPr>
          <w:b/>
          <w:i/>
        </w:rPr>
      </w:pPr>
      <w:r w:rsidRPr="00D5374D">
        <w:rPr>
          <w:b/>
          <w:i/>
        </w:rPr>
        <w:t>Nedemokratické rozhodovanie</w:t>
      </w:r>
    </w:p>
    <w:p w:rsidR="00BA5B45" w:rsidRPr="00D5374D" w:rsidRDefault="00BA5B45" w:rsidP="00BA5B45">
      <w:pPr>
        <w:pStyle w:val="NormalHanging12a"/>
        <w:rPr>
          <w:b/>
          <w:i/>
        </w:rPr>
      </w:pPr>
      <w:r w:rsidRPr="00D5374D">
        <w:t>J.</w:t>
      </w:r>
      <w:r w:rsidRPr="00D5374D">
        <w:tab/>
      </w:r>
      <w:r w:rsidRPr="00D5374D">
        <w:rPr>
          <w:shd w:val="clear" w:color="auto" w:fill="FFFFFF"/>
        </w:rPr>
        <w:t>keďže Stály výbor pre potravinový reťazec a zdravie zvierat uvedený v článku 35 nariadenia (ES) č. 1829/2003 pri hlasovaní 26. apríla 2024 nezaujal žiadne stanovisko, čo znamená, že povolenie nepodporila kvalifikovaná väčšina členských štátov; keďže odvolací výbor na základe hlasovania 29. mája 2024 znovu nevydal stanovisko;</w:t>
      </w:r>
    </w:p>
    <w:p w:rsidR="00BA5B45" w:rsidRPr="00D5374D" w:rsidRDefault="00BA5B45" w:rsidP="00BA5B45">
      <w:pPr>
        <w:pStyle w:val="NormalHanging12a"/>
      </w:pPr>
      <w:r w:rsidRPr="00D5374D">
        <w:t>K.</w:t>
      </w:r>
      <w:r w:rsidRPr="00D5374D">
        <w:tab/>
        <w:t>keďže Európsky parlament vo svojom ôsmom volebnom období prijal celkovo 36 uznesení, v ktorých namietal proti tomu, aby sa GMO uvádzali na trh na použitie v potravinách a krmivách (33 uznesení) a aby sa GMO v Únii pestovali (tri uznesenia); keďže v deviatom volebnom období Európsky parlament prijal 38 námietok proti uvedeniu GMO na trh;</w:t>
      </w:r>
    </w:p>
    <w:p w:rsidR="00BA5B45" w:rsidRPr="00D5374D" w:rsidRDefault="00BA5B45" w:rsidP="00BA5B45">
      <w:pPr>
        <w:pStyle w:val="NormalHanging12a"/>
      </w:pPr>
      <w:r w:rsidRPr="00D5374D">
        <w:t>L.</w:t>
      </w:r>
      <w:r w:rsidRPr="00D5374D">
        <w:tab/>
        <w:t>keďže Komisia naďalej povoľuje GMO, hoci si sama uvedomuje nedostatky z hľadiska demokracie, nízku podporu členských štátov a námietky Európskeho parlamentu;</w:t>
      </w:r>
    </w:p>
    <w:p w:rsidR="00BA5B45" w:rsidRPr="00D5374D" w:rsidRDefault="00BA5B45" w:rsidP="00BA5B45">
      <w:pPr>
        <w:pStyle w:val="NormalHanging12a"/>
      </w:pPr>
      <w:r w:rsidRPr="00D5374D">
        <w:t>M.</w:t>
      </w:r>
      <w:r w:rsidRPr="00D5374D">
        <w:tab/>
        <w:t>keďže nie je potrebná žiadna zmena právnych predpisov, aby Komisia nemala možnosť povoľovať GMO, ak sa v odvolacom výbore nedosiahne kvalifikovaná väčšina členských štátov v prospech povolenia</w:t>
      </w:r>
      <w:r w:rsidRPr="00D5374D">
        <w:rPr>
          <w:rStyle w:val="FootnoteReference"/>
        </w:rPr>
        <w:footnoteReference w:id="12"/>
      </w:r>
      <w:r w:rsidRPr="00D5374D">
        <w:t>;</w:t>
      </w:r>
    </w:p>
    <w:p w:rsidR="00BA5B45" w:rsidRPr="00D5374D" w:rsidRDefault="00BA5B45" w:rsidP="00BA5B45">
      <w:pPr>
        <w:pStyle w:val="NormalHanging12a"/>
      </w:pPr>
      <w:r w:rsidRPr="00D5374D">
        <w:t>N.</w:t>
      </w:r>
      <w:r w:rsidRPr="00D5374D">
        <w:tab/>
        <w:t>keďže Komisia 2. júla 2024 obnovila povolenie na uvedenie geneticky modifikovanej kukurice na trh;</w:t>
      </w:r>
    </w:p>
    <w:p w:rsidR="00BA5B45" w:rsidRPr="00D5374D" w:rsidRDefault="00BA5B45" w:rsidP="00BA5B45">
      <w:pPr>
        <w:pStyle w:val="NormalHanging12a"/>
      </w:pPr>
      <w:r w:rsidRPr="00D5374D">
        <w:t>1.</w:t>
      </w:r>
      <w:r w:rsidRPr="00D5374D">
        <w:tab/>
        <w:t>domnieva sa, že vykonávacie rozhodnutie (EÚ) 2024/1828 prekračuje rámec vykonávacích právomocí, kt</w:t>
      </w:r>
      <w:r w:rsidR="00512A79">
        <w:t>oré sú stanovené v nariadení (ES</w:t>
      </w:r>
      <w:bookmarkStart w:id="7" w:name="_GoBack"/>
      <w:bookmarkEnd w:id="7"/>
      <w:r w:rsidRPr="00D5374D">
        <w:t>) č. 1829/2003;</w:t>
      </w:r>
    </w:p>
    <w:p w:rsidR="00BA5B45" w:rsidRPr="00D5374D" w:rsidRDefault="00BA5B45" w:rsidP="00BA5B45">
      <w:pPr>
        <w:pStyle w:val="NormalHanging12a"/>
      </w:pPr>
      <w:r w:rsidRPr="00D5374D">
        <w:t>2.</w:t>
      </w:r>
      <w:r w:rsidRPr="00D5374D">
        <w:tab/>
        <w:t>domnieva sa, že vykonávacie rozhodnutie (EÚ) 2024/1828 nie je v súlade s právom Únie, pretože nie je zlučiteľné s cieľom nariadenia (ES) č. 1829/2003, ktorým je podľa všeobecných zásad uvedených v nariadení Európskeho parlamentu a Rady (ES) č. 178/2002</w:t>
      </w:r>
      <w:r w:rsidRPr="00D5374D">
        <w:rPr>
          <w:rStyle w:val="FootnoteReference"/>
        </w:rPr>
        <w:footnoteReference w:id="13"/>
      </w:r>
      <w:r w:rsidRPr="00D5374D">
        <w:t xml:space="preserve"> poskytovať základ na zabezpečenie vysokej miery ochrany ľudského života a zdravia, zdravia a dobrých životných podmienok zvierat, životného prostredia a záujmov spotrebiteľov v súvislosti s geneticky modifikovanými potravinami a krmivami, a súčasne zabezpečovať efektívne fungovanie vnútorného trhu;</w:t>
      </w:r>
    </w:p>
    <w:p w:rsidR="00BA5B45" w:rsidRPr="00D5374D" w:rsidRDefault="00BA5B45" w:rsidP="00BA5B45">
      <w:pPr>
        <w:pStyle w:val="NormalHanging12a"/>
      </w:pPr>
      <w:r w:rsidRPr="00D5374D">
        <w:t>3.</w:t>
      </w:r>
      <w:r w:rsidRPr="00D5374D">
        <w:tab/>
        <w:t>žiada Komisiu, aby zrušila vykonávacie rozhodnutie (EÚ) 2024/1828;</w:t>
      </w:r>
    </w:p>
    <w:p w:rsidR="00BA5B45" w:rsidRPr="00D5374D" w:rsidRDefault="00BA5B45" w:rsidP="00BA5B45">
      <w:pPr>
        <w:pStyle w:val="NormalHanging12a"/>
      </w:pPr>
      <w:r w:rsidRPr="00D5374D">
        <w:t>4.</w:t>
      </w:r>
      <w:r w:rsidRPr="00D5374D">
        <w:tab/>
        <w:t xml:space="preserve">víta skutočnosť, že Komisia v liste z 11. septembra 2020 adresovanom poslancom konečne uznala, že pri rozhodovaní o povoleniach pre GMO treba zohľadňovať otázku </w:t>
      </w:r>
      <w:r w:rsidRPr="00D5374D">
        <w:lastRenderedPageBreak/>
        <w:t>udržateľnosti</w:t>
      </w:r>
      <w:r w:rsidRPr="00D5374D">
        <w:rPr>
          <w:rStyle w:val="FootnoteReference"/>
        </w:rPr>
        <w:footnoteReference w:id="14"/>
      </w:r>
      <w:r w:rsidRPr="00D5374D">
        <w:t>; vyjadruje však hlboké sklamanie nad tým, že Komisia naďalej povoľuje dovoz GMO do Únie napriek neprestajným námietkam Európskeho parlamentu a väčšiny členských štátov hlasujúcich proti;</w:t>
      </w:r>
    </w:p>
    <w:p w:rsidR="00BA5B45" w:rsidRPr="00D5374D" w:rsidRDefault="00BA5B45" w:rsidP="00BA5B45">
      <w:pPr>
        <w:pStyle w:val="NormalHanging12a"/>
      </w:pPr>
      <w:r w:rsidRPr="00D5374D">
        <w:t>5.</w:t>
      </w:r>
      <w:r w:rsidRPr="00D5374D">
        <w:tab/>
        <w:t>opätovne naliehavo vyzýva Komisiu, aby zohľadnila záväzky Únie vyplývajúce z medzinárodných dohôd, ako sú Parížska dohoda o zmene klímy, Dohovor OSN o biologickej diverzite a ciele OSN v oblasti udržateľného rozvoja; opakuje svoju výzvu, aby bola k návrhom vykonávacích aktov priložená dôvodová správa, v ktorej sa vysvetlí, ako sa v nich dodržiava zásada „nespôsobovať škodu“</w:t>
      </w:r>
      <w:r w:rsidRPr="00D5374D">
        <w:rPr>
          <w:rStyle w:val="FootnoteReference"/>
        </w:rPr>
        <w:footnoteReference w:id="15"/>
      </w:r>
      <w:r w:rsidRPr="00D5374D">
        <w:t xml:space="preserve">; </w:t>
      </w:r>
    </w:p>
    <w:p w:rsidR="008D532D" w:rsidRPr="00D5374D" w:rsidRDefault="00BA5B45" w:rsidP="008D532D">
      <w:pPr>
        <w:pStyle w:val="NormalHanging12a"/>
      </w:pPr>
      <w:r w:rsidRPr="00D5374D">
        <w:t>6.</w:t>
      </w:r>
      <w:r w:rsidRPr="00D5374D">
        <w:tab/>
        <w:t>poveruje svoju predsedníčku, aby postúpila toto uznesenie Rade, Komisii a vládam a parlamentom členských štátov.</w:t>
      </w:r>
    </w:p>
    <w:sectPr w:rsidR="008D532D" w:rsidRPr="00D5374D" w:rsidSect="008D53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BE9" w:rsidRPr="008D532D" w:rsidRDefault="00284BE9">
      <w:r w:rsidRPr="008D532D">
        <w:separator/>
      </w:r>
    </w:p>
  </w:endnote>
  <w:endnote w:type="continuationSeparator" w:id="0">
    <w:p w:rsidR="00284BE9" w:rsidRPr="008D532D" w:rsidRDefault="00284BE9">
      <w:r w:rsidRPr="008D53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53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53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53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BE9" w:rsidRPr="008D532D" w:rsidRDefault="00284BE9">
      <w:r w:rsidRPr="008D532D">
        <w:separator/>
      </w:r>
    </w:p>
  </w:footnote>
  <w:footnote w:type="continuationSeparator" w:id="0">
    <w:p w:rsidR="00284BE9" w:rsidRPr="008D532D" w:rsidRDefault="00284BE9">
      <w:r w:rsidRPr="008D532D">
        <w:continuationSeparator/>
      </w:r>
    </w:p>
  </w:footnote>
  <w:footnote w:id="1">
    <w:p w:rsidR="00BA5B45" w:rsidRPr="008D532D" w:rsidRDefault="00BA5B45" w:rsidP="008D532D">
      <w:pPr>
        <w:pStyle w:val="FootnoteText"/>
        <w:ind w:left="567" w:hanging="567"/>
        <w:rPr>
          <w:sz w:val="24"/>
          <w:lang w:val="sk-SK"/>
        </w:rPr>
      </w:pPr>
      <w:r w:rsidRPr="008D532D">
        <w:rPr>
          <w:rStyle w:val="FootnoteReference"/>
          <w:sz w:val="24"/>
          <w:lang w:val="sk-SK"/>
        </w:rPr>
        <w:footnoteRef/>
      </w:r>
      <w:r w:rsidR="008D532D" w:rsidRPr="008D532D">
        <w:rPr>
          <w:sz w:val="24"/>
          <w:lang w:val="sk-SK"/>
        </w:rPr>
        <w:t xml:space="preserve"> </w:t>
      </w:r>
      <w:r w:rsidR="008D532D" w:rsidRPr="008D532D">
        <w:rPr>
          <w:sz w:val="24"/>
          <w:lang w:val="sk-SK"/>
        </w:rPr>
        <w:tab/>
      </w:r>
      <w:r w:rsidRPr="008D532D">
        <w:rPr>
          <w:sz w:val="24"/>
          <w:lang w:val="sk-SK"/>
        </w:rPr>
        <w:t xml:space="preserve">Ú. v. EÚ L, 2024/1828, 4.7.2024, ELI: </w:t>
      </w:r>
      <w:hyperlink r:id="rId1" w:tooltip="Umožňuje prístup k tomuto dokumentu prostredníctvom jednotného identifikátora zdroja ELI." w:history="1">
        <w:r w:rsidRPr="008D532D">
          <w:rPr>
            <w:rStyle w:val="Hyperlink"/>
            <w:color w:val="337AB7"/>
            <w:sz w:val="24"/>
            <w:shd w:val="clear" w:color="auto" w:fill="FFFFFF"/>
            <w:lang w:val="sk-SK"/>
          </w:rPr>
          <w:t>http://data.europa.eu/eli/dec_impl/2024/1828/oj</w:t>
        </w:r>
      </w:hyperlink>
      <w:r w:rsidRPr="008D532D">
        <w:rPr>
          <w:sz w:val="24"/>
          <w:lang w:val="sk-SK"/>
        </w:rPr>
        <w:t>.</w:t>
      </w:r>
    </w:p>
  </w:footnote>
  <w:footnote w:id="2">
    <w:p w:rsidR="00BA5B45" w:rsidRPr="008D532D" w:rsidRDefault="00BA5B45" w:rsidP="008D532D">
      <w:pPr>
        <w:pStyle w:val="FootnoteText"/>
        <w:ind w:left="567" w:hanging="567"/>
        <w:rPr>
          <w:sz w:val="24"/>
          <w:lang w:val="sk-SK"/>
        </w:rPr>
      </w:pPr>
      <w:r w:rsidRPr="008D532D">
        <w:rPr>
          <w:rStyle w:val="FootnoteReference"/>
          <w:sz w:val="24"/>
          <w:lang w:val="sk-SK"/>
        </w:rPr>
        <w:footnoteRef/>
      </w:r>
      <w:r w:rsidR="008D532D" w:rsidRPr="008D532D">
        <w:rPr>
          <w:sz w:val="24"/>
          <w:lang w:val="sk-SK"/>
        </w:rPr>
        <w:t xml:space="preserve"> </w:t>
      </w:r>
      <w:r w:rsidR="008D532D" w:rsidRPr="008D532D">
        <w:rPr>
          <w:sz w:val="24"/>
          <w:lang w:val="sk-SK"/>
        </w:rPr>
        <w:tab/>
      </w:r>
      <w:r w:rsidRPr="008D532D">
        <w:rPr>
          <w:sz w:val="24"/>
          <w:lang w:val="sk-SK"/>
        </w:rPr>
        <w:t>Ú. v. EÚ L 268, 18.10.2003, s. </w:t>
      </w:r>
      <w:r w:rsidRPr="008D532D">
        <w:rPr>
          <w:sz w:val="24"/>
          <w:lang w:val="sk-SK"/>
        </w:rPr>
        <w:t xml:space="preserve">1, ELI: </w:t>
      </w:r>
      <w:hyperlink r:id="rId2" w:tooltip="Umožňuje prístup k tomuto dokumentu prostredníctvom jednotného identifikátora zdroja ELI." w:history="1">
        <w:r w:rsidRPr="008D532D">
          <w:rPr>
            <w:rStyle w:val="Hyperlink"/>
            <w:color w:val="337AB7"/>
            <w:sz w:val="24"/>
            <w:shd w:val="clear" w:color="auto" w:fill="FFFFFF"/>
            <w:lang w:val="sk-SK"/>
          </w:rPr>
          <w:t>http://data.europa.eu/eli/reg/2003/1829/oj</w:t>
        </w:r>
      </w:hyperlink>
      <w:r w:rsidRPr="008D532D">
        <w:rPr>
          <w:sz w:val="24"/>
          <w:lang w:val="sk-SK"/>
        </w:rPr>
        <w:t>.</w:t>
      </w:r>
    </w:p>
  </w:footnote>
  <w:footnote w:id="3">
    <w:p w:rsidR="00BA5B45" w:rsidRPr="008D532D" w:rsidRDefault="00BA5B45" w:rsidP="008D532D">
      <w:pPr>
        <w:pStyle w:val="FootnoteText"/>
        <w:ind w:left="567" w:hanging="567"/>
        <w:rPr>
          <w:sz w:val="24"/>
          <w:lang w:val="sk-SK"/>
        </w:rPr>
      </w:pPr>
      <w:r w:rsidRPr="008D532D">
        <w:rPr>
          <w:rStyle w:val="FootnoteReference"/>
          <w:sz w:val="24"/>
          <w:lang w:val="sk-SK"/>
        </w:rPr>
        <w:footnoteRef/>
      </w:r>
      <w:r w:rsidR="008D532D" w:rsidRPr="008D532D">
        <w:rPr>
          <w:sz w:val="24"/>
          <w:lang w:val="sk-SK"/>
        </w:rPr>
        <w:t xml:space="preserve"> </w:t>
      </w:r>
      <w:r w:rsidR="008D532D" w:rsidRPr="008D532D">
        <w:rPr>
          <w:sz w:val="24"/>
          <w:lang w:val="sk-SK"/>
        </w:rPr>
        <w:tab/>
      </w:r>
      <w:r w:rsidRPr="008D532D">
        <w:rPr>
          <w:sz w:val="24"/>
          <w:lang w:val="sk-SK"/>
        </w:rPr>
        <w:t xml:space="preserve">Ú. v. </w:t>
      </w:r>
      <w:r w:rsidRPr="008D532D">
        <w:rPr>
          <w:sz w:val="24"/>
          <w:lang w:val="sk-SK"/>
        </w:rPr>
        <w:t>EÚ L 55, 28.2.20</w:t>
      </w:r>
      <w:r w:rsidR="00512A79">
        <w:rPr>
          <w:sz w:val="24"/>
          <w:lang w:val="sk-SK"/>
        </w:rPr>
        <w:t>11</w:t>
      </w:r>
      <w:r w:rsidRPr="008D532D">
        <w:rPr>
          <w:sz w:val="24"/>
          <w:lang w:val="sk-SK"/>
        </w:rPr>
        <w:t xml:space="preserve">, s. 13, ELI: </w:t>
      </w:r>
      <w:hyperlink r:id="rId3" w:tooltip="Umožňuje prístup k tomuto dokumentu prostredníctvom jednotného identifikátora zdroja ELI." w:history="1">
        <w:r w:rsidRPr="008D532D">
          <w:rPr>
            <w:rStyle w:val="Hyperlink"/>
            <w:color w:val="337AB7"/>
            <w:sz w:val="24"/>
            <w:shd w:val="clear" w:color="auto" w:fill="FFFFFF"/>
            <w:lang w:val="sk-SK"/>
          </w:rPr>
          <w:t>http://data.europa.eu/eli/reg/2011/182/oj</w:t>
        </w:r>
      </w:hyperlink>
      <w:r w:rsidRPr="008D532D">
        <w:rPr>
          <w:sz w:val="24"/>
          <w:lang w:val="sk-SK"/>
        </w:rPr>
        <w:t>.</w:t>
      </w:r>
    </w:p>
  </w:footnote>
  <w:footnote w:id="4">
    <w:p w:rsidR="00BA5B45" w:rsidRPr="008D532D" w:rsidRDefault="00BA5B45" w:rsidP="008D532D">
      <w:pPr>
        <w:pStyle w:val="FootnoteText"/>
        <w:ind w:left="567" w:hanging="567"/>
        <w:rPr>
          <w:sz w:val="24"/>
          <w:lang w:val="sk-SK"/>
        </w:rPr>
      </w:pPr>
      <w:r w:rsidRPr="008D532D">
        <w:rPr>
          <w:rStyle w:val="FootnoteReference"/>
          <w:sz w:val="24"/>
          <w:lang w:val="sk-SK"/>
        </w:rPr>
        <w:footnoteRef/>
      </w:r>
      <w:r w:rsidR="008D532D" w:rsidRPr="008D532D">
        <w:rPr>
          <w:sz w:val="24"/>
          <w:lang w:val="sk-SK"/>
        </w:rPr>
        <w:t xml:space="preserve"> </w:t>
      </w:r>
      <w:r w:rsidR="008D532D" w:rsidRPr="008D532D">
        <w:rPr>
          <w:sz w:val="24"/>
          <w:lang w:val="sk-SK"/>
        </w:rPr>
        <w:tab/>
      </w:r>
      <w:r w:rsidRPr="008D532D">
        <w:rPr>
          <w:sz w:val="24"/>
          <w:lang w:val="sk-SK"/>
        </w:rPr>
        <w:t xml:space="preserve">Vedecké stanovisko pracovnej skupiny EFSA pre geneticky modifikované organizmy k posúdeniu geneticky modifikovanej kukurice MON 810 na účely obnovenia povolenia v zmysle nariadenia (ES) č. </w:t>
      </w:r>
      <w:r w:rsidRPr="008D532D">
        <w:rPr>
          <w:sz w:val="24"/>
          <w:lang w:val="sk-SK"/>
        </w:rPr>
        <w:t xml:space="preserve">1829/2003) (spis GMFF-2022-9450), Vestník EFSA, 2024;22(1):8489, </w:t>
      </w:r>
      <w:hyperlink r:id="rId4" w:history="1">
        <w:r w:rsidRPr="008D532D">
          <w:rPr>
            <w:rStyle w:val="Hyperlink"/>
            <w:sz w:val="24"/>
            <w:lang w:val="sk-SK"/>
          </w:rPr>
          <w:t>https://doi.org/10.2903/j.efsa.2024.8489</w:t>
        </w:r>
      </w:hyperlink>
      <w:r w:rsidRPr="008D532D">
        <w:rPr>
          <w:sz w:val="24"/>
          <w:lang w:val="sk-SK"/>
        </w:rPr>
        <w:t>.</w:t>
      </w:r>
    </w:p>
  </w:footnote>
  <w:footnote w:id="5">
    <w:p w:rsidR="00BA5B45" w:rsidRPr="008D532D" w:rsidRDefault="00BA5B45" w:rsidP="008D532D">
      <w:pPr>
        <w:pStyle w:val="FootnoteText"/>
        <w:ind w:left="567" w:hanging="567"/>
        <w:rPr>
          <w:sz w:val="24"/>
          <w:lang w:val="sk-SK"/>
        </w:rPr>
      </w:pPr>
      <w:r w:rsidRPr="008D532D">
        <w:rPr>
          <w:rStyle w:val="FootnoteReference"/>
          <w:sz w:val="24"/>
          <w:lang w:val="sk-SK"/>
        </w:rPr>
        <w:footnoteRef/>
      </w:r>
      <w:r w:rsidR="008D532D" w:rsidRPr="008D532D">
        <w:rPr>
          <w:color w:val="000000" w:themeColor="text1"/>
          <w:sz w:val="24"/>
          <w:lang w:val="sk-SK"/>
        </w:rPr>
        <w:t xml:space="preserve"> </w:t>
      </w:r>
      <w:r w:rsidR="008D532D" w:rsidRPr="008D532D">
        <w:rPr>
          <w:color w:val="000000" w:themeColor="text1"/>
          <w:sz w:val="24"/>
          <w:lang w:val="sk-SK"/>
        </w:rPr>
        <w:tab/>
      </w:r>
      <w:r w:rsidR="00BA240F" w:rsidRPr="00D5374D">
        <w:rPr>
          <w:sz w:val="24"/>
          <w:szCs w:val="24"/>
          <w:lang w:val="sk-SK"/>
        </w:rPr>
        <w:t xml:space="preserve">Európsky </w:t>
      </w:r>
      <w:r w:rsidR="00BA240F" w:rsidRPr="00D5374D">
        <w:rPr>
          <w:color w:val="000000" w:themeColor="text1"/>
          <w:sz w:val="24"/>
          <w:szCs w:val="24"/>
          <w:lang w:val="sk-SK"/>
        </w:rPr>
        <w:t>p</w:t>
      </w:r>
      <w:r w:rsidRPr="00D5374D">
        <w:rPr>
          <w:color w:val="000000" w:themeColor="text1"/>
          <w:sz w:val="24"/>
          <w:szCs w:val="24"/>
          <w:lang w:val="sk-SK"/>
        </w:rPr>
        <w:t>arlament prijal</w:t>
      </w:r>
      <w:r w:rsidRPr="008D532D">
        <w:rPr>
          <w:color w:val="000000" w:themeColor="text1"/>
          <w:sz w:val="24"/>
          <w:lang w:val="sk-SK"/>
        </w:rPr>
        <w:t xml:space="preserve"> vo svojom ôsmom volebnom období 36 uznesení a v deviatom volebnom období 38 uznesení, v ktorých namieta proti povoľovaniu GMO. </w:t>
      </w:r>
    </w:p>
  </w:footnote>
  <w:footnote w:id="6">
    <w:p w:rsidR="00BA5B45" w:rsidRPr="008D532D" w:rsidRDefault="00BA5B45" w:rsidP="008D532D">
      <w:pPr>
        <w:pStyle w:val="FootnoteText"/>
        <w:ind w:left="567" w:hanging="567"/>
        <w:rPr>
          <w:sz w:val="24"/>
          <w:lang w:val="sk-SK"/>
        </w:rPr>
      </w:pPr>
      <w:r w:rsidRPr="008D532D">
        <w:rPr>
          <w:rStyle w:val="FootnoteReference"/>
          <w:sz w:val="24"/>
          <w:lang w:val="sk-SK"/>
        </w:rPr>
        <w:footnoteRef/>
      </w:r>
      <w:r w:rsidR="008D532D" w:rsidRPr="008D532D">
        <w:rPr>
          <w:sz w:val="24"/>
          <w:lang w:val="sk-SK"/>
        </w:rPr>
        <w:t xml:space="preserve"> </w:t>
      </w:r>
      <w:r w:rsidR="008D532D" w:rsidRPr="008D532D">
        <w:rPr>
          <w:sz w:val="24"/>
          <w:lang w:val="sk-SK"/>
        </w:rPr>
        <w:tab/>
      </w:r>
      <w:r w:rsidRPr="008D532D">
        <w:rPr>
          <w:sz w:val="24"/>
          <w:lang w:val="sk-SK"/>
        </w:rPr>
        <w:t>Vykonávacie rozhodnutie Komisie 2013/649/EÚ zo 6. novembra 2013, ktorým sa podľa nariadenia Európskeho parlamentu a Rady (ES) č. 1829/2003 povoľuje uvádzať na trh peľ vyprodukovaný z kukurice MON 810 (MON-ØØ81Ø-6) (Ú. v. EÚ L 302, 13.11.2013, s. </w:t>
      </w:r>
      <w:r w:rsidRPr="008D532D">
        <w:rPr>
          <w:sz w:val="24"/>
          <w:lang w:val="sk-SK"/>
        </w:rPr>
        <w:t xml:space="preserve">44, ELI: </w:t>
      </w:r>
      <w:hyperlink r:id="rId5" w:tooltip="Umožňuje prístup k tomuto dokumentu prostredníctvom jednotného identifikátora zdroja ELI." w:history="1">
        <w:r w:rsidRPr="008D532D">
          <w:rPr>
            <w:rStyle w:val="Hyperlink"/>
            <w:color w:val="337AB7"/>
            <w:sz w:val="24"/>
            <w:shd w:val="clear" w:color="auto" w:fill="FFFFFF"/>
            <w:lang w:val="sk-SK"/>
          </w:rPr>
          <w:t>http://data.europa.eu/eli/dec_impl/2013/649/oj</w:t>
        </w:r>
      </w:hyperlink>
      <w:r w:rsidRPr="008D532D">
        <w:rPr>
          <w:sz w:val="24"/>
          <w:lang w:val="sk-SK"/>
        </w:rPr>
        <w:t>).</w:t>
      </w:r>
    </w:p>
  </w:footnote>
  <w:footnote w:id="7">
    <w:p w:rsidR="00BA5B45" w:rsidRPr="008D532D" w:rsidRDefault="00BA5B45" w:rsidP="008D532D">
      <w:pPr>
        <w:pStyle w:val="FootnoteText"/>
        <w:ind w:left="567" w:hanging="567"/>
        <w:rPr>
          <w:sz w:val="24"/>
          <w:lang w:val="sk-SK"/>
        </w:rPr>
      </w:pPr>
      <w:r w:rsidRPr="008D532D">
        <w:rPr>
          <w:rStyle w:val="FootnoteReference"/>
          <w:sz w:val="24"/>
          <w:lang w:val="sk-SK"/>
        </w:rPr>
        <w:footnoteRef/>
      </w:r>
      <w:r w:rsidR="008D532D" w:rsidRPr="008D532D">
        <w:rPr>
          <w:sz w:val="24"/>
          <w:lang w:val="sk-SK"/>
        </w:rPr>
        <w:t xml:space="preserve"> </w:t>
      </w:r>
      <w:r w:rsidR="008D532D" w:rsidRPr="008D532D">
        <w:rPr>
          <w:sz w:val="24"/>
          <w:lang w:val="sk-SK"/>
        </w:rPr>
        <w:tab/>
      </w:r>
      <w:r w:rsidRPr="008D532D">
        <w:rPr>
          <w:sz w:val="24"/>
          <w:lang w:val="sk-SK"/>
        </w:rPr>
        <w:t>Vykonávacie rozhodnutie Komisie (EÚ) 2017/1207 zo 4. júla 2017, ktorým sa obnovuje povolenie na umiestnenie výrobkov z geneticky modifikovanej kukurice MON 810 (MON-ØØ81Ø-6) na trh podľa nariadenia Európskeho parlamentu a Rady (ES) č. 1829/2003 (Ú. v. EÚ L 173, 6.7.2017, s. </w:t>
      </w:r>
      <w:r w:rsidRPr="008D532D">
        <w:rPr>
          <w:sz w:val="24"/>
          <w:lang w:val="sk-SK"/>
        </w:rPr>
        <w:t xml:space="preserve">18, ELI: </w:t>
      </w:r>
      <w:hyperlink r:id="rId6" w:tooltip="Umožňuje prístup k tomuto dokumentu prostredníctvom jednotného identifikátora zdroja ELI." w:history="1">
        <w:r w:rsidRPr="008D532D">
          <w:rPr>
            <w:rStyle w:val="Hyperlink"/>
            <w:color w:val="337AB7"/>
            <w:sz w:val="24"/>
            <w:shd w:val="clear" w:color="auto" w:fill="FFFFFF"/>
            <w:lang w:val="sk-SK"/>
          </w:rPr>
          <w:t>http://data.europa.eu/eli/dec_impl/2017/1207/oj</w:t>
        </w:r>
      </w:hyperlink>
      <w:r w:rsidRPr="008D532D">
        <w:rPr>
          <w:sz w:val="24"/>
          <w:lang w:val="sk-SK"/>
        </w:rPr>
        <w:t>).</w:t>
      </w:r>
    </w:p>
  </w:footnote>
  <w:footnote w:id="8">
    <w:p w:rsidR="00BA5B45" w:rsidRPr="008D532D" w:rsidRDefault="00BA5B45" w:rsidP="008D532D">
      <w:pPr>
        <w:pStyle w:val="FootnoteText"/>
        <w:ind w:left="567" w:hanging="567"/>
        <w:rPr>
          <w:sz w:val="24"/>
          <w:lang w:val="sk-SK"/>
        </w:rPr>
      </w:pPr>
      <w:r w:rsidRPr="008D532D">
        <w:rPr>
          <w:rStyle w:val="FootnoteReference"/>
          <w:sz w:val="24"/>
          <w:lang w:val="sk-SK"/>
        </w:rPr>
        <w:footnoteRef/>
      </w:r>
      <w:r w:rsidR="008D532D" w:rsidRPr="008D532D">
        <w:rPr>
          <w:sz w:val="24"/>
          <w:lang w:val="sk-SK"/>
        </w:rPr>
        <w:t xml:space="preserve"> </w:t>
      </w:r>
      <w:r w:rsidR="008D532D" w:rsidRPr="008D532D">
        <w:rPr>
          <w:sz w:val="24"/>
          <w:lang w:val="sk-SK"/>
        </w:rPr>
        <w:tab/>
      </w:r>
      <w:r w:rsidRPr="008D532D">
        <w:rPr>
          <w:sz w:val="24"/>
          <w:lang w:val="sk-SK"/>
        </w:rPr>
        <w:t xml:space="preserve">Pozri preskúmanie Rubio-Infante, N., Moreno-Fierros, L., </w:t>
      </w:r>
      <w:r w:rsidRPr="008D532D">
        <w:rPr>
          <w:i/>
          <w:sz w:val="24"/>
          <w:lang w:val="sk-SK"/>
        </w:rPr>
        <w:t>An overview of the safety and biological effects of Bacillus thuringiensis Cry toxins in mammals</w:t>
      </w:r>
      <w:r w:rsidRPr="008D532D">
        <w:rPr>
          <w:sz w:val="24"/>
          <w:lang w:val="sk-SK"/>
        </w:rPr>
        <w:t xml:space="preserve"> (Prehľad o bezpečnosti a biologických účinkoch Cry toxínov Bacillus thuringiensis u cicavcov), Journal of Applied Toxicology, máj 2016, 36, 5, s. </w:t>
      </w:r>
      <w:r w:rsidRPr="008D532D">
        <w:rPr>
          <w:sz w:val="24"/>
          <w:lang w:val="sk-SK"/>
        </w:rPr>
        <w:t xml:space="preserve">630 – 648, </w:t>
      </w:r>
      <w:hyperlink r:id="rId7" w:history="1">
        <w:r w:rsidRPr="008D532D">
          <w:rPr>
            <w:rStyle w:val="Hyperlink"/>
            <w:sz w:val="24"/>
            <w:lang w:val="sk-SK"/>
          </w:rPr>
          <w:t>https://onlinelibrary.wiley.com/doi/full/10.1002/jat.3252</w:t>
        </w:r>
      </w:hyperlink>
      <w:r w:rsidRPr="008D532D">
        <w:rPr>
          <w:rStyle w:val="Hyperlink"/>
          <w:sz w:val="24"/>
          <w:lang w:val="sk-SK"/>
        </w:rPr>
        <w:t>.</w:t>
      </w:r>
    </w:p>
  </w:footnote>
  <w:footnote w:id="9">
    <w:p w:rsidR="00BA5B45" w:rsidRPr="008D532D" w:rsidRDefault="00BA5B45" w:rsidP="008D532D">
      <w:pPr>
        <w:pStyle w:val="FootnoteText"/>
        <w:ind w:left="567" w:hanging="567"/>
        <w:rPr>
          <w:sz w:val="24"/>
          <w:lang w:val="sk-SK"/>
        </w:rPr>
      </w:pPr>
      <w:r w:rsidRPr="008D532D">
        <w:rPr>
          <w:rStyle w:val="FootnoteReference"/>
          <w:sz w:val="24"/>
          <w:lang w:val="sk-SK"/>
        </w:rPr>
        <w:footnoteRef/>
      </w:r>
      <w:r w:rsidR="008D532D" w:rsidRPr="008D532D">
        <w:rPr>
          <w:sz w:val="24"/>
          <w:lang w:val="sk-SK"/>
        </w:rPr>
        <w:t xml:space="preserve"> </w:t>
      </w:r>
      <w:r w:rsidR="008D532D" w:rsidRPr="008D532D">
        <w:rPr>
          <w:sz w:val="24"/>
          <w:lang w:val="sk-SK"/>
        </w:rPr>
        <w:tab/>
      </w:r>
      <w:r w:rsidRPr="008D532D">
        <w:rPr>
          <w:sz w:val="24"/>
          <w:lang w:val="sk-SK"/>
        </w:rPr>
        <w:t>Hilbeck, A., Defarge, N., Lebrecht, T., Bøhn, T., „</w:t>
      </w:r>
      <w:r w:rsidRPr="008D532D">
        <w:rPr>
          <w:i/>
          <w:iCs/>
          <w:sz w:val="24"/>
          <w:lang w:val="sk-SK"/>
        </w:rPr>
        <w:t>Insecticidal Bt crops</w:t>
      </w:r>
      <w:r w:rsidRPr="008D532D">
        <w:rPr>
          <w:sz w:val="24"/>
          <w:lang w:val="sk-SK"/>
        </w:rPr>
        <w:t xml:space="preserve">. </w:t>
      </w:r>
      <w:r w:rsidRPr="008D532D">
        <w:rPr>
          <w:i/>
          <w:iCs/>
          <w:sz w:val="24"/>
          <w:lang w:val="sk-SK"/>
        </w:rPr>
        <w:t>EFSA’s risk assessment approach for GM Bt plants fails by design</w:t>
      </w:r>
      <w:r w:rsidRPr="008D532D">
        <w:rPr>
          <w:sz w:val="24"/>
          <w:lang w:val="sk-SK"/>
        </w:rPr>
        <w:t xml:space="preserve"> (Insekticídne Bt plodiny. Prístup úradu EFSA k posudzovaniu rizík v prípade geneticky modifikovaných Bt rastlín zlyháva už ako koncept), RAGES 2020, s. </w:t>
      </w:r>
      <w:r w:rsidRPr="008D532D">
        <w:rPr>
          <w:sz w:val="24"/>
          <w:lang w:val="sk-SK"/>
        </w:rPr>
        <w:t xml:space="preserve">4, </w:t>
      </w:r>
      <w:hyperlink r:id="rId8" w:history="1">
        <w:r w:rsidRPr="008D532D">
          <w:rPr>
            <w:rStyle w:val="Hyperlink"/>
            <w:sz w:val="24"/>
            <w:lang w:val="sk-SK"/>
          </w:rPr>
          <w:t>https://www.testbiotech.org/wp-content/uploads/2023/12/RAGES_report-Insecticidal-Bt-plants.pdf</w:t>
        </w:r>
      </w:hyperlink>
      <w:r w:rsidRPr="008D532D">
        <w:rPr>
          <w:rStyle w:val="Hyperlink"/>
          <w:sz w:val="24"/>
          <w:lang w:val="sk-SK"/>
        </w:rPr>
        <w:t xml:space="preserve">; </w:t>
      </w:r>
      <w:r w:rsidRPr="008D532D">
        <w:rPr>
          <w:sz w:val="24"/>
          <w:lang w:val="sk-SK"/>
        </w:rPr>
        <w:t xml:space="preserve">Pozri napríklad Hilbeck, A., Otto, M., </w:t>
      </w:r>
      <w:r w:rsidRPr="008D532D">
        <w:rPr>
          <w:i/>
          <w:iCs/>
          <w:sz w:val="24"/>
          <w:lang w:val="sk-SK"/>
        </w:rPr>
        <w:t>Specificity and combinatorial effects of Bacillus thuringiensis Cry toxins in the context of GMO environmental risk assessment</w:t>
      </w:r>
      <w:r w:rsidRPr="008D532D">
        <w:rPr>
          <w:sz w:val="24"/>
          <w:lang w:val="sk-SK"/>
        </w:rPr>
        <w:t xml:space="preserve"> (Špecificita a kombinované účinky Cry toxínov Bacillus thuringiensis v kontexte posúdenia rizika geneticky modifikovaných organizmov pre životné prostredie), Frontiers in Environmental Science 2015, 3:71, </w:t>
      </w:r>
      <w:hyperlink r:id="rId9" w:history="1">
        <w:r w:rsidRPr="008D532D">
          <w:rPr>
            <w:rStyle w:val="Hyperlink"/>
            <w:sz w:val="24"/>
            <w:lang w:val="sk-SK"/>
          </w:rPr>
          <w:t>https://doi.org/10.3389/fenvs.2015.00071</w:t>
        </w:r>
      </w:hyperlink>
      <w:r w:rsidRPr="008D532D">
        <w:rPr>
          <w:sz w:val="24"/>
          <w:lang w:val="sk-SK"/>
        </w:rPr>
        <w:t>.</w:t>
      </w:r>
    </w:p>
  </w:footnote>
  <w:footnote w:id="10">
    <w:p w:rsidR="00BA5B45" w:rsidRPr="008D532D" w:rsidRDefault="00BA5B45" w:rsidP="008D532D">
      <w:pPr>
        <w:pStyle w:val="FootnoteText"/>
        <w:ind w:left="567" w:hanging="567"/>
        <w:rPr>
          <w:sz w:val="24"/>
          <w:lang w:val="sk-SK"/>
        </w:rPr>
      </w:pPr>
      <w:r w:rsidRPr="008D532D">
        <w:rPr>
          <w:rStyle w:val="FootnoteReference"/>
          <w:sz w:val="24"/>
          <w:lang w:val="sk-SK"/>
        </w:rPr>
        <w:footnoteRef/>
      </w:r>
      <w:r w:rsidR="008D532D" w:rsidRPr="008D532D">
        <w:rPr>
          <w:sz w:val="24"/>
          <w:lang w:val="sk-SK"/>
        </w:rPr>
        <w:t xml:space="preserve"> </w:t>
      </w:r>
      <w:r w:rsidR="008D532D" w:rsidRPr="008D532D">
        <w:rPr>
          <w:sz w:val="24"/>
          <w:lang w:val="sk-SK"/>
        </w:rPr>
        <w:tab/>
      </w:r>
      <w:hyperlink r:id="rId10" w:history="1">
        <w:r w:rsidR="00EC54E7" w:rsidRPr="0034750D">
          <w:rPr>
            <w:rStyle w:val="Hyperlink"/>
            <w:sz w:val="24"/>
            <w:lang w:val="sk-SK"/>
          </w:rPr>
          <w:t>https://efsa.onlinelibrary.wiley.com/action/downloadSupplement?doi=10.2903%‌2Fj.efsa.2024.8489&amp;file=efs28489-sup-0008-Annex_8.pdf</w:t>
        </w:r>
      </w:hyperlink>
      <w:r w:rsidRPr="008D532D">
        <w:rPr>
          <w:rStyle w:val="Hyperlink"/>
          <w:sz w:val="24"/>
          <w:lang w:val="sk-SK"/>
        </w:rPr>
        <w:t>.</w:t>
      </w:r>
    </w:p>
  </w:footnote>
  <w:footnote w:id="11">
    <w:p w:rsidR="00BA5B45" w:rsidRPr="008D532D" w:rsidRDefault="00BA5B45" w:rsidP="008D532D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8D532D">
        <w:rPr>
          <w:rStyle w:val="FootnoteReference"/>
          <w:sz w:val="24"/>
          <w:lang w:val="sk-SK"/>
        </w:rPr>
        <w:footnoteRef/>
      </w:r>
      <w:r w:rsidR="008D532D" w:rsidRPr="008D532D">
        <w:rPr>
          <w:sz w:val="24"/>
          <w:lang w:val="sk-SK"/>
        </w:rPr>
        <w:t xml:space="preserve"> </w:t>
      </w:r>
      <w:r w:rsidR="008D532D" w:rsidRPr="008D532D">
        <w:rPr>
          <w:sz w:val="24"/>
          <w:lang w:val="sk-SK"/>
        </w:rPr>
        <w:tab/>
      </w:r>
      <w:hyperlink r:id="rId11" w:history="1">
        <w:r w:rsidRPr="008D532D">
          <w:rPr>
            <w:rStyle w:val="Hyperlink"/>
            <w:sz w:val="24"/>
            <w:lang w:val="sk-SK"/>
          </w:rPr>
          <w:t>https://commission.europa.eu/document/2c64e540-c07a-4376-a1da-368d289f4afe_en</w:t>
        </w:r>
      </w:hyperlink>
    </w:p>
    <w:p w:rsidR="00BA5B45" w:rsidRPr="008D532D" w:rsidRDefault="008D532D" w:rsidP="008D532D">
      <w:pPr>
        <w:pStyle w:val="FootnoteText"/>
        <w:ind w:left="567" w:hanging="567"/>
        <w:rPr>
          <w:sz w:val="24"/>
          <w:lang w:val="sk-SK"/>
        </w:rPr>
      </w:pPr>
      <w:r w:rsidRPr="008D532D">
        <w:rPr>
          <w:sz w:val="24"/>
          <w:lang w:val="sk-SK"/>
        </w:rPr>
        <w:t xml:space="preserve"> </w:t>
      </w:r>
      <w:r w:rsidRPr="008D532D">
        <w:rPr>
          <w:sz w:val="24"/>
          <w:lang w:val="sk-SK"/>
        </w:rPr>
        <w:tab/>
      </w:r>
    </w:p>
  </w:footnote>
  <w:footnote w:id="12">
    <w:p w:rsidR="00BA5B45" w:rsidRPr="008D532D" w:rsidRDefault="00BA5B45" w:rsidP="008D532D">
      <w:pPr>
        <w:pStyle w:val="FootnoteText"/>
        <w:ind w:left="567" w:hanging="567"/>
        <w:rPr>
          <w:sz w:val="24"/>
          <w:lang w:val="sk-SK"/>
        </w:rPr>
      </w:pPr>
      <w:r w:rsidRPr="008D532D">
        <w:rPr>
          <w:rStyle w:val="FootnoteReference"/>
          <w:sz w:val="24"/>
          <w:lang w:val="sk-SK"/>
        </w:rPr>
        <w:footnoteRef/>
      </w:r>
      <w:r w:rsidR="008D532D" w:rsidRPr="008D532D">
        <w:rPr>
          <w:sz w:val="24"/>
          <w:lang w:val="sk-SK"/>
        </w:rPr>
        <w:t xml:space="preserve"> </w:t>
      </w:r>
      <w:r w:rsidR="008D532D" w:rsidRPr="008D532D">
        <w:rPr>
          <w:sz w:val="24"/>
          <w:lang w:val="sk-SK"/>
        </w:rPr>
        <w:tab/>
      </w:r>
      <w:r w:rsidRPr="008D532D">
        <w:rPr>
          <w:sz w:val="24"/>
          <w:lang w:val="sk-SK"/>
        </w:rPr>
        <w:t>Ak udelenie povolenia v odvolacom výbore neschváli kvalifikovaná väčšina členských štátov, Komisia podľa článku 6 ods. 3 nariadenia (EÚ) č. 182/2011 môže, ale nemusí dané povolenie udeliť.</w:t>
      </w:r>
    </w:p>
  </w:footnote>
  <w:footnote w:id="13">
    <w:p w:rsidR="00BA5B45" w:rsidRPr="008D532D" w:rsidRDefault="00BA5B45" w:rsidP="008D532D">
      <w:pPr>
        <w:pStyle w:val="FootnoteText"/>
        <w:ind w:left="567" w:hanging="567"/>
        <w:rPr>
          <w:sz w:val="24"/>
          <w:lang w:val="sk-SK"/>
        </w:rPr>
      </w:pPr>
      <w:r w:rsidRPr="008D532D">
        <w:rPr>
          <w:rStyle w:val="FootnoteReference"/>
          <w:sz w:val="24"/>
          <w:lang w:val="sk-SK"/>
        </w:rPr>
        <w:footnoteRef/>
      </w:r>
      <w:r w:rsidR="008D532D" w:rsidRPr="008D532D">
        <w:rPr>
          <w:sz w:val="24"/>
          <w:lang w:val="sk-SK"/>
        </w:rPr>
        <w:t xml:space="preserve"> </w:t>
      </w:r>
      <w:r w:rsidR="008D532D" w:rsidRPr="008D532D">
        <w:rPr>
          <w:sz w:val="24"/>
          <w:lang w:val="sk-SK"/>
        </w:rPr>
        <w:tab/>
      </w:r>
      <w:r w:rsidRPr="008D532D">
        <w:rPr>
          <w:sz w:val="24"/>
          <w:lang w:val="sk-SK"/>
        </w:rPr>
        <w:t>Nariadenie Európskeho parlamentu a Rady (ES) č. 178/2002 z 28. januára 2002, ktorým sa ustanovujú všeobecné zásady a požiadavky potravinového práva, zriaďuje Európsky úrad pre bezpečnosť potravín a stanovujú postupy v záležitostiach bezpečnosti potravín (Ú. v. ES L 31, 1.2.2002, s. </w:t>
      </w:r>
      <w:r w:rsidRPr="008D532D">
        <w:rPr>
          <w:sz w:val="24"/>
          <w:lang w:val="sk-SK"/>
        </w:rPr>
        <w:t xml:space="preserve">1, ELI: </w:t>
      </w:r>
      <w:hyperlink r:id="rId12" w:tooltip="Umožňuje prístup k tomuto dokumentu prostredníctvom jednotného identifikátora zdroja ELI." w:history="1">
        <w:r w:rsidRPr="008D532D">
          <w:rPr>
            <w:rStyle w:val="Hyperlink"/>
            <w:color w:val="337AB7"/>
            <w:sz w:val="24"/>
            <w:shd w:val="clear" w:color="auto" w:fill="FFFFFF"/>
            <w:lang w:val="sk-SK"/>
          </w:rPr>
          <w:t>http://data.europa.eu/eli/reg/2002/178/oj</w:t>
        </w:r>
      </w:hyperlink>
      <w:r w:rsidRPr="008D532D">
        <w:rPr>
          <w:sz w:val="24"/>
          <w:lang w:val="sk-SK"/>
        </w:rPr>
        <w:t>).</w:t>
      </w:r>
    </w:p>
  </w:footnote>
  <w:footnote w:id="14">
    <w:p w:rsidR="00BA5B45" w:rsidRPr="008D532D" w:rsidRDefault="00BA5B45" w:rsidP="008D532D">
      <w:pPr>
        <w:pStyle w:val="FootnoteText"/>
        <w:ind w:left="567" w:hanging="567"/>
        <w:rPr>
          <w:sz w:val="24"/>
          <w:lang w:val="sk-SK"/>
        </w:rPr>
      </w:pPr>
      <w:r w:rsidRPr="008D532D">
        <w:rPr>
          <w:rStyle w:val="FootnoteReference"/>
          <w:sz w:val="24"/>
          <w:lang w:val="sk-SK"/>
        </w:rPr>
        <w:footnoteRef/>
      </w:r>
      <w:r w:rsidR="008D532D" w:rsidRPr="008D532D">
        <w:rPr>
          <w:sz w:val="24"/>
          <w:lang w:val="sk-SK"/>
        </w:rPr>
        <w:t xml:space="preserve"> </w:t>
      </w:r>
      <w:r w:rsidR="008D532D" w:rsidRPr="008D532D">
        <w:rPr>
          <w:sz w:val="24"/>
          <w:lang w:val="sk-SK"/>
        </w:rPr>
        <w:tab/>
      </w:r>
      <w:hyperlink r:id="rId13" w:history="1">
        <w:r w:rsidRPr="008D532D">
          <w:rPr>
            <w:rStyle w:val="Hyperlink"/>
            <w:sz w:val="24"/>
            <w:lang w:val="sk-SK"/>
          </w:rPr>
          <w:t>https://tillymetz.lu/wp-content/uploads/2020/09/Co-signed-letter-MEP-Metz.pdf</w:t>
        </w:r>
      </w:hyperlink>
      <w:r w:rsidRPr="008D532D">
        <w:rPr>
          <w:rStyle w:val="Hyperlink"/>
          <w:sz w:val="24"/>
          <w:lang w:val="sk-SK"/>
        </w:rPr>
        <w:t>.</w:t>
      </w:r>
    </w:p>
  </w:footnote>
  <w:footnote w:id="15">
    <w:p w:rsidR="00BA5B45" w:rsidRPr="008D532D" w:rsidRDefault="00BA5B45" w:rsidP="008D532D">
      <w:pPr>
        <w:pStyle w:val="FootnoteText"/>
        <w:ind w:left="567" w:hanging="567"/>
        <w:rPr>
          <w:sz w:val="24"/>
          <w:lang w:val="sk-SK"/>
        </w:rPr>
      </w:pPr>
      <w:r w:rsidRPr="008D532D">
        <w:rPr>
          <w:rStyle w:val="FootnoteReference"/>
          <w:sz w:val="24"/>
          <w:lang w:val="sk-SK"/>
        </w:rPr>
        <w:footnoteRef/>
      </w:r>
      <w:r w:rsidR="008D532D" w:rsidRPr="008D532D">
        <w:rPr>
          <w:sz w:val="24"/>
          <w:lang w:val="sk-SK"/>
        </w:rPr>
        <w:t xml:space="preserve"> </w:t>
      </w:r>
      <w:r w:rsidR="008D532D" w:rsidRPr="008D532D">
        <w:rPr>
          <w:sz w:val="24"/>
          <w:lang w:val="sk-SK"/>
        </w:rPr>
        <w:tab/>
      </w:r>
      <w:r w:rsidRPr="008D532D">
        <w:rPr>
          <w:sz w:val="24"/>
          <w:lang w:val="sk-SK"/>
        </w:rPr>
        <w:t>Uznesenie Európskeho parlamentu z 15. januára 2020 o Európskej zelenej dohode (Ú. v. EÚ C 270, 7.7.2021, s. 2), bod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53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53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53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6/2024"/>
    <w:docVar w:name="dvlangue" w:val="SK"/>
    <w:docVar w:name="dvnumam" w:val="0"/>
    <w:docVar w:name="dvpe" w:val="763.280"/>
    <w:docVar w:name="dvtitre" w:val="Uznesenie Európskeho parlamentu z xx. novembra 2024 o vykonávacom rozhodnutí Komisie (EÚ) 2024/1828, ktorým sa podľa nariadenia Európskeho parlamentu a Rady (ES) č. 1829/2003 obnovuje povolenie umiestňovať na trh krmivá, ktoré obsahujú geneticky modifikovanú kukuricu MON 810 alebo sú z nej zložené, a potraviny a krmivá vyrobené z geneticky modifikovanej kukurice MON 810 a ktorým sa zrušuje vykonávacie rozhodnutie Komisie (EÚ) 2017/1207(2024/2840(RSP))"/>
  </w:docVars>
  <w:rsids>
    <w:rsidRoot w:val="00284BE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4BE9"/>
    <w:rsid w:val="002B18FE"/>
    <w:rsid w:val="002B5493"/>
    <w:rsid w:val="002C012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A79"/>
    <w:rsid w:val="00514517"/>
    <w:rsid w:val="00530886"/>
    <w:rsid w:val="00545827"/>
    <w:rsid w:val="00560270"/>
    <w:rsid w:val="005C2568"/>
    <w:rsid w:val="005F1B17"/>
    <w:rsid w:val="006037C0"/>
    <w:rsid w:val="006631B6"/>
    <w:rsid w:val="00680577"/>
    <w:rsid w:val="006F555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532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240F"/>
    <w:rsid w:val="00BA5B4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374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4E7"/>
    <w:rsid w:val="00ED169E"/>
    <w:rsid w:val="00ED4235"/>
    <w:rsid w:val="00F04346"/>
    <w:rsid w:val="00F075DC"/>
    <w:rsid w:val="00F149E9"/>
    <w:rsid w:val="00F5134D"/>
    <w:rsid w:val="00F6468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99F446"/>
  <w15:chartTrackingRefBased/>
  <w15:docId w15:val="{15970736-ECC7-4B61-8A9F-12ECF921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A5B45"/>
    <w:pPr>
      <w:spacing w:before="480" w:after="240"/>
    </w:pPr>
  </w:style>
  <w:style w:type="paragraph" w:customStyle="1" w:styleId="NormalBold12a">
    <w:name w:val="NormalBold12a"/>
    <w:basedOn w:val="Normal"/>
    <w:rsid w:val="00BA5B45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A5B45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BA5B4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C01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tbiotech.org/wp-content/uploads/2023/12/RAGES_report-Insecticidal-Bt-plants.pdf" TargetMode="External"/><Relationship Id="rId13" Type="http://schemas.openxmlformats.org/officeDocument/2006/relationships/hyperlink" Target="https://tillymetz.lu/wp-content/uploads/2020/09/Co-signed-letter-MEP-Metz.pdf" TargetMode="External"/><Relationship Id="rId3" Type="http://schemas.openxmlformats.org/officeDocument/2006/relationships/hyperlink" Target="https://eur-lex.europa.eu/eli/reg/2011/182/oj?locale=sk" TargetMode="External"/><Relationship Id="rId7" Type="http://schemas.openxmlformats.org/officeDocument/2006/relationships/hyperlink" Target="https://onlinelibrary.wiley.com/doi/full/10.1002/jat.3252" TargetMode="External"/><Relationship Id="rId12" Type="http://schemas.openxmlformats.org/officeDocument/2006/relationships/hyperlink" Target="https://eur-lex.europa.eu/eli/reg/2002/178/oj?eliuri=eli%3Areg%3A2002%3A178%3Aoj&amp;locale=sk" TargetMode="External"/><Relationship Id="rId2" Type="http://schemas.openxmlformats.org/officeDocument/2006/relationships/hyperlink" Target="https://eur-lex.europa.eu/eli/reg/2003/1829/oj" TargetMode="External"/><Relationship Id="rId1" Type="http://schemas.openxmlformats.org/officeDocument/2006/relationships/hyperlink" Target="https://eur-lex.europa.eu/eli/dec_impl/2024/1828/oj" TargetMode="External"/><Relationship Id="rId6" Type="http://schemas.openxmlformats.org/officeDocument/2006/relationships/hyperlink" Target="https://eur-lex.europa.eu/eli/dec_impl/2017/1207/oj" TargetMode="External"/><Relationship Id="rId11" Type="http://schemas.openxmlformats.org/officeDocument/2006/relationships/hyperlink" Target="https://commission.europa.eu/document/2c64e540-c07a-4376-a1da-368d289f4afe_en" TargetMode="External"/><Relationship Id="rId5" Type="http://schemas.openxmlformats.org/officeDocument/2006/relationships/hyperlink" Target="https://eur-lex.europa.eu/eli/dec_impl/2013/649/oj?eliuri=eli%3Adec_impl%3A2013%3A649%3Aoj&amp;locale=sk" TargetMode="External"/><Relationship Id="rId10" Type="http://schemas.openxmlformats.org/officeDocument/2006/relationships/hyperlink" Target="https://efsa.onlinelibrary.wiley.com/action/downloadSupplement?doi=10.2903%25&#8204;2Fj.efsa.2024.8489&amp;file=efs28489-sup-0008-Annex_8.pdf" TargetMode="External"/><Relationship Id="rId4" Type="http://schemas.openxmlformats.org/officeDocument/2006/relationships/hyperlink" Target="https://doi.org/10.2903/j.efsa.2024.8489" TargetMode="External"/><Relationship Id="rId9" Type="http://schemas.openxmlformats.org/officeDocument/2006/relationships/hyperlink" Target="https://doi.org/10.3389/fenvs.2015.000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10441-9DE0-4992-AAB0-B6DD6C92A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1225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2025-01-08T09:02:00Z</dcterms:created>
  <dcterms:modified xsi:type="dcterms:W3CDTF">2025-01-08T09:02:00Z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B10-0146/2024</vt:lpwstr>
  </property>
  <property fmtid="{D5CDD505-2E9C-101B-9397-08002B2CF9AE}" pid="4" name="&lt;Type&gt;">
    <vt:lpwstr>RR</vt:lpwstr>
  </property>
</Properties>
</file>