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D53" w:rsidTr="0010095E">
        <w:trPr>
          <w:trHeight w:hRule="exact" w:val="1418"/>
        </w:trPr>
        <w:tc>
          <w:tcPr>
            <w:tcW w:w="6804" w:type="dxa"/>
            <w:shd w:val="clear" w:color="auto" w:fill="auto"/>
            <w:vAlign w:val="center"/>
          </w:tcPr>
          <w:p w:rsidR="00751A4A" w:rsidRPr="00184D53" w:rsidRDefault="00CB646A" w:rsidP="0010095E">
            <w:pPr>
              <w:pStyle w:val="EPName"/>
            </w:pPr>
            <w:r w:rsidRPr="00184D53">
              <w:t>Evropski parlament</w:t>
            </w:r>
          </w:p>
          <w:p w:rsidR="00751A4A" w:rsidRPr="00184D53" w:rsidRDefault="005F1B17" w:rsidP="005F1B17">
            <w:pPr>
              <w:pStyle w:val="EPTerm"/>
              <w:rPr>
                <w:rStyle w:val="HideTWBExt"/>
                <w:noProof w:val="0"/>
                <w:vanish w:val="0"/>
                <w:color w:val="auto"/>
              </w:rPr>
            </w:pPr>
            <w:r w:rsidRPr="00184D53">
              <w:t>2024</w:t>
            </w:r>
            <w:r w:rsidR="00817416" w:rsidRPr="00184D53">
              <w:t>-202</w:t>
            </w:r>
            <w:r w:rsidRPr="00184D53">
              <w:t>9</w:t>
            </w:r>
          </w:p>
        </w:tc>
        <w:tc>
          <w:tcPr>
            <w:tcW w:w="2268" w:type="dxa"/>
            <w:shd w:val="clear" w:color="auto" w:fill="auto"/>
          </w:tcPr>
          <w:p w:rsidR="00751A4A" w:rsidRPr="00184D53" w:rsidRDefault="00187494" w:rsidP="0010095E">
            <w:pPr>
              <w:pStyle w:val="EPLogo"/>
            </w:pPr>
            <w:r w:rsidRPr="00184D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4D53" w:rsidRDefault="00D058B8" w:rsidP="004C5D52">
      <w:pPr>
        <w:pStyle w:val="LineTop"/>
      </w:pPr>
    </w:p>
    <w:p w:rsidR="00680577" w:rsidRPr="00184D53" w:rsidRDefault="00CB646A" w:rsidP="00680577">
      <w:pPr>
        <w:pStyle w:val="EPBodyTA1"/>
      </w:pPr>
      <w:r w:rsidRPr="00184D53">
        <w:t>SPREJETA BESEDILA</w:t>
      </w:r>
    </w:p>
    <w:p w:rsidR="00D058B8" w:rsidRPr="00184D53" w:rsidRDefault="00D058B8" w:rsidP="00D058B8">
      <w:pPr>
        <w:pStyle w:val="LineBottom"/>
      </w:pPr>
    </w:p>
    <w:p w:rsidR="00CB646A" w:rsidRPr="00184D53" w:rsidRDefault="00CB646A" w:rsidP="00DD0F8E">
      <w:pPr>
        <w:pStyle w:val="ATHeading1"/>
      </w:pPr>
      <w:bookmarkStart w:id="0" w:name="TANumber"/>
      <w:r w:rsidRPr="00184D53">
        <w:t>P10_TA(2024)00</w:t>
      </w:r>
      <w:r w:rsidR="00DD0F8E">
        <w:t>4</w:t>
      </w:r>
      <w:bookmarkEnd w:id="0"/>
      <w:r w:rsidR="00DD0F8E">
        <w:t>1</w:t>
      </w:r>
    </w:p>
    <w:p w:rsidR="00CB646A" w:rsidRPr="00184D53" w:rsidRDefault="00473B45" w:rsidP="00CB646A">
      <w:pPr>
        <w:pStyle w:val="ATHeading2"/>
      </w:pPr>
      <w:bookmarkStart w:id="1" w:name="title"/>
      <w:r w:rsidRPr="00184D53">
        <w:t>G</w:t>
      </w:r>
      <w:r w:rsidR="00CB646A" w:rsidRPr="00184D53">
        <w:t>ensko spremenjena koruza MON 810</w:t>
      </w:r>
      <w:bookmarkEnd w:id="1"/>
    </w:p>
    <w:p w:rsidR="00CB646A" w:rsidRPr="00184D53" w:rsidRDefault="00CB646A" w:rsidP="00CB646A">
      <w:pPr>
        <w:rPr>
          <w:i/>
          <w:vanish/>
        </w:rPr>
      </w:pPr>
      <w:r w:rsidRPr="00184D53">
        <w:rPr>
          <w:i/>
        </w:rPr>
        <w:fldChar w:fldCharType="begin"/>
      </w:r>
      <w:r w:rsidRPr="00184D53">
        <w:rPr>
          <w:i/>
        </w:rPr>
        <w:instrText xml:space="preserve"> TC"(</w:instrText>
      </w:r>
      <w:bookmarkStart w:id="2" w:name="DocNumber"/>
      <w:r w:rsidRPr="00184D53">
        <w:rPr>
          <w:i/>
        </w:rPr>
        <w:instrText>B10-0146/2024</w:instrText>
      </w:r>
      <w:bookmarkEnd w:id="2"/>
      <w:r w:rsidRPr="00184D53">
        <w:rPr>
          <w:i/>
        </w:rPr>
        <w:instrText xml:space="preserve">)"\l3 \n&gt; \* MERGEFORMAT </w:instrText>
      </w:r>
      <w:r w:rsidRPr="00184D53">
        <w:rPr>
          <w:i/>
        </w:rPr>
        <w:fldChar w:fldCharType="end"/>
      </w:r>
    </w:p>
    <w:p w:rsidR="00CB646A" w:rsidRPr="00184D53" w:rsidRDefault="00CB646A" w:rsidP="00CB646A">
      <w:pPr>
        <w:rPr>
          <w:vanish/>
        </w:rPr>
      </w:pPr>
      <w:bookmarkStart w:id="3" w:name="PE"/>
      <w:r w:rsidRPr="00184D53">
        <w:rPr>
          <w:vanish/>
        </w:rPr>
        <w:t>PE763.280</w:t>
      </w:r>
      <w:bookmarkEnd w:id="3"/>
    </w:p>
    <w:p w:rsidR="00CB646A" w:rsidRPr="00184D53" w:rsidRDefault="00CB646A" w:rsidP="00473B45">
      <w:pPr>
        <w:pStyle w:val="ATHeading3"/>
      </w:pPr>
      <w:bookmarkStart w:id="4" w:name="Sujet"/>
      <w:r w:rsidRPr="00184D53">
        <w:t xml:space="preserve">Resolucija Evropskega parlamenta z dne </w:t>
      </w:r>
      <w:r w:rsidR="00473B45" w:rsidRPr="00184D53">
        <w:t>26</w:t>
      </w:r>
      <w:r w:rsidRPr="00184D53">
        <w:t>.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w:t>
      </w:r>
      <w:bookmarkEnd w:id="4"/>
      <w:r w:rsidRPr="00184D53">
        <w:t xml:space="preserve"> </w:t>
      </w:r>
      <w:bookmarkStart w:id="5" w:name="References"/>
      <w:r w:rsidRPr="00184D53">
        <w:t>(2024/2840(RSP))</w:t>
      </w:r>
      <w:bookmarkEnd w:id="5"/>
    </w:p>
    <w:p w:rsidR="00790B79" w:rsidRPr="00184D53" w:rsidRDefault="00790B79" w:rsidP="00790B79">
      <w:pPr>
        <w:pStyle w:val="EPComma"/>
      </w:pPr>
      <w:bookmarkStart w:id="6" w:name="TextBodyBegin"/>
      <w:bookmarkEnd w:id="6"/>
      <w:r w:rsidRPr="00184D53">
        <w:rPr>
          <w:i/>
        </w:rPr>
        <w:t>Evropski parlament</w:t>
      </w:r>
      <w:r w:rsidRPr="00184D53">
        <w:t>,</w:t>
      </w:r>
    </w:p>
    <w:p w:rsidR="00790B79" w:rsidRPr="00184D53" w:rsidRDefault="00790B79" w:rsidP="00184D53">
      <w:pPr>
        <w:pStyle w:val="NormalHanging12a"/>
      </w:pPr>
      <w:r w:rsidRPr="00184D53">
        <w:t>–</w:t>
      </w:r>
      <w:r w:rsidRPr="00184D53">
        <w:tab/>
        <w:t xml:space="preserve">ob upoštevanju Izvedbenega sklepa Komisije (EU) 2024/1828 </w:t>
      </w:r>
      <w:r w:rsidR="00184D53" w:rsidRPr="00184D53">
        <w:t>o obnovitvi odobritve za dajanje na trg krme, ki vsebuje gensko spremenjeno koruzo MON 810 ali je iz nje sestavljena, ter živil in krme, proizvedenih iz nje, v skladu z Uredbo (ES) št. 1829/2003 Evropskega parlamenta in Sveta ter razveljavitvi Izvedbenega sklepa Komisije (EU) 2017/1207</w:t>
      </w:r>
      <w:r w:rsidRPr="00184D53">
        <w:rPr>
          <w:rStyle w:val="FootnoteReference"/>
        </w:rPr>
        <w:footnoteReference w:id="1"/>
      </w:r>
      <w:r w:rsidRPr="00184D53">
        <w:t>,</w:t>
      </w:r>
    </w:p>
    <w:p w:rsidR="00790B79" w:rsidRPr="00184D53" w:rsidRDefault="00790B79" w:rsidP="00184D53">
      <w:pPr>
        <w:pStyle w:val="NormalHanging12a"/>
      </w:pPr>
      <w:r w:rsidRPr="00184D53">
        <w:t>–</w:t>
      </w:r>
      <w:r w:rsidRPr="00184D53">
        <w:tab/>
        <w:t>ob upoštevanju Uredbe (ES) št. 1829/2003 Evropskega parlamenta in Sveta z dne 22. septembra 2003 o gensko spremenjenih živilih in krmi</w:t>
      </w:r>
      <w:r w:rsidRPr="00184D53">
        <w:rPr>
          <w:rStyle w:val="FootnoteReference"/>
        </w:rPr>
        <w:footnoteReference w:id="2"/>
      </w:r>
      <w:r w:rsidR="00184D53" w:rsidRPr="00184D53">
        <w:t xml:space="preserve"> ter</w:t>
      </w:r>
      <w:r w:rsidRPr="00184D53">
        <w:t xml:space="preserve"> zlasti členov 11(3) in 23(3)</w:t>
      </w:r>
      <w:r w:rsidR="00184D53" w:rsidRPr="00184D53">
        <w:t xml:space="preserve"> Uredbe</w:t>
      </w:r>
      <w:r w:rsidRPr="00184D53">
        <w:t>,</w:t>
      </w:r>
    </w:p>
    <w:p w:rsidR="00790B79" w:rsidRPr="00184D53" w:rsidRDefault="00790B79" w:rsidP="00790B79">
      <w:pPr>
        <w:pStyle w:val="NormalHanging12a"/>
      </w:pPr>
      <w:r w:rsidRPr="00184D53">
        <w:t>–</w:t>
      </w:r>
      <w:r w:rsidRPr="00184D53">
        <w:tab/>
      </w:r>
      <w:r w:rsidRPr="00184D53">
        <w:rPr>
          <w:shd w:val="clear" w:color="auto" w:fill="FFFFFF"/>
        </w:rPr>
        <w:t>ob upoštevanju glasovanja Stalnega odbora za rastline, živali, hrano in krmo iz člena 35 Uredbe (ES) št. 1829/2003, ki je potekalo 26. aprila 2024</w:t>
      </w:r>
      <w:r w:rsidRPr="00184D53">
        <w:t xml:space="preserve"> in na podlagi katerega mnenje ni bilo podano, ter glasovanja v odboru za pritožbe 29. maja 2024, na podlagi katerega mnenje prav tako ni bilo podano,</w:t>
      </w:r>
    </w:p>
    <w:p w:rsidR="00790B79" w:rsidRPr="00184D53" w:rsidRDefault="00790B79" w:rsidP="00790B79">
      <w:pPr>
        <w:pStyle w:val="NormalHanging12a"/>
      </w:pPr>
      <w:r w:rsidRPr="00184D53">
        <w:t>–</w:t>
      </w:r>
      <w:r w:rsidRPr="00184D53">
        <w:tab/>
        <w:t>ob upoštevanju člena 11 Uredbe (EU) št. 182/2011 Evropskega parlamenta in Sveta z dne 16. februarja 2011 o določitvi splošnih pravil in načel, na podlagi katerih države članice nadzirajo izvajanje izvedbenih pooblastil Komisije</w:t>
      </w:r>
      <w:r w:rsidRPr="00184D53">
        <w:rPr>
          <w:rStyle w:val="FootnoteReference"/>
        </w:rPr>
        <w:footnoteReference w:id="3"/>
      </w:r>
      <w:r w:rsidRPr="00184D53">
        <w:t>,</w:t>
      </w:r>
    </w:p>
    <w:p w:rsidR="00790B79" w:rsidRPr="00184D53" w:rsidRDefault="00790B79" w:rsidP="00790B79">
      <w:pPr>
        <w:pStyle w:val="NormalHanging12a"/>
      </w:pPr>
      <w:r w:rsidRPr="00184D53">
        <w:t>–</w:t>
      </w:r>
      <w:r w:rsidRPr="00184D53">
        <w:tab/>
        <w:t>ob upoštevanju mnenja, ki ga je Evropska agencija za varnost hrane (EFSA) sprejela 30. novembra 2023 in objavila 19. januarja 2024</w:t>
      </w:r>
      <w:r w:rsidRPr="00184D53">
        <w:rPr>
          <w:rStyle w:val="FootnoteReference"/>
        </w:rPr>
        <w:footnoteReference w:id="4"/>
      </w:r>
      <w:r w:rsidRPr="00184D53">
        <w:t>,</w:t>
      </w:r>
    </w:p>
    <w:p w:rsidR="00790B79" w:rsidRPr="00184D53" w:rsidRDefault="00790B79" w:rsidP="00790B79">
      <w:pPr>
        <w:pStyle w:val="NormalHanging12a"/>
        <w:rPr>
          <w:szCs w:val="24"/>
          <w:shd w:val="clear" w:color="auto" w:fill="FFFFFF"/>
        </w:rPr>
      </w:pPr>
      <w:r w:rsidRPr="00184D53">
        <w:t>–</w:t>
      </w:r>
      <w:r w:rsidRPr="00184D53">
        <w:tab/>
      </w:r>
      <w:r w:rsidRPr="00184D53">
        <w:rPr>
          <w:shd w:val="clear" w:color="auto" w:fill="FFFFFF"/>
        </w:rPr>
        <w:t xml:space="preserve">ob upoštevanju svojih prejšnjih resolucij, s katerimi je nasprotoval odobritvi gensko </w:t>
      </w:r>
      <w:r w:rsidRPr="00184D53">
        <w:rPr>
          <w:shd w:val="clear" w:color="auto" w:fill="FFFFFF"/>
        </w:rPr>
        <w:lastRenderedPageBreak/>
        <w:t>spremenjenih organizmov (GSO)</w:t>
      </w:r>
      <w:r w:rsidRPr="00184D53">
        <w:rPr>
          <w:szCs w:val="24"/>
          <w:shd w:val="clear" w:color="auto" w:fill="FFFFFF"/>
          <w:vertAlign w:val="superscript"/>
        </w:rPr>
        <w:footnoteReference w:id="5"/>
      </w:r>
      <w:r w:rsidRPr="00184D53">
        <w:rPr>
          <w:shd w:val="clear" w:color="auto" w:fill="FFFFFF"/>
        </w:rPr>
        <w:t>,</w:t>
      </w:r>
    </w:p>
    <w:p w:rsidR="00790B79" w:rsidRPr="00184D53" w:rsidRDefault="00790B79" w:rsidP="00790B79">
      <w:pPr>
        <w:pStyle w:val="NormalHanging12a"/>
      </w:pPr>
      <w:r w:rsidRPr="00184D53">
        <w:t>–</w:t>
      </w:r>
      <w:r w:rsidRPr="00184D53">
        <w:tab/>
        <w:t>ob upoštevanju člena 115(2) in (3) Poslovnika,</w:t>
      </w:r>
    </w:p>
    <w:p w:rsidR="00790B79" w:rsidRPr="00184D53" w:rsidRDefault="00790B79" w:rsidP="00790B79">
      <w:pPr>
        <w:pStyle w:val="NormalHanging12a"/>
      </w:pPr>
      <w:r w:rsidRPr="00184D53">
        <w:t>–</w:t>
      </w:r>
      <w:r w:rsidRPr="00184D53">
        <w:tab/>
        <w:t>ob upoštevanju predloga resolucije Odbora za okolje, javno zdravje in varnost hrane,</w:t>
      </w:r>
    </w:p>
    <w:p w:rsidR="00790B79" w:rsidRPr="00184D53" w:rsidRDefault="00790B79" w:rsidP="00790B79">
      <w:pPr>
        <w:pStyle w:val="NormalHanging12a"/>
      </w:pPr>
      <w:r w:rsidRPr="00184D53">
        <w:t>A.</w:t>
      </w:r>
      <w:r w:rsidRPr="00184D53">
        <w:tab/>
        <w:t>ker je Družba Bayer Agriculture BV s sedežem v Belgiji je 6. oktobra 2022 v imenu družbe Bayer CropScience LP s sedežem v Združenih državah Amerike pri Komisiji vložila vlogo za podaljšanje izvedbenih sklepov Komisije 2013/649/EU</w:t>
      </w:r>
      <w:r w:rsidRPr="00184D53">
        <w:rPr>
          <w:rStyle w:val="FootnoteReference"/>
        </w:rPr>
        <w:footnoteReference w:id="6"/>
      </w:r>
      <w:r w:rsidRPr="00184D53">
        <w:t xml:space="preserve"> in (EU) 2017/1207</w:t>
      </w:r>
      <w:r w:rsidRPr="00184D53">
        <w:rPr>
          <w:rStyle w:val="FootnoteReference"/>
        </w:rPr>
        <w:footnoteReference w:id="7"/>
      </w:r>
      <w:r w:rsidRPr="00184D53">
        <w:t>; ker se v skladu s členom 11(4) Uredbe (ES) št. 1829/2003 obdobje odobritve gensko spremenjenega cvetnega prahu, proizvedenega iz gensko spremenjene koruze MON 810 (v nadaljnjem besedilu: gensko spremenjena koruza), za uporabo v živilih iz Izvedbenega sklepa 2013/649/EU avtomatično podaljša do sprejetja odločitve o vlogi za obnovitev;</w:t>
      </w:r>
    </w:p>
    <w:p w:rsidR="00790B79" w:rsidRPr="00184D53" w:rsidRDefault="00790B79" w:rsidP="00790B79">
      <w:pPr>
        <w:pStyle w:val="NormalHanging12a"/>
      </w:pPr>
      <w:r w:rsidRPr="00184D53">
        <w:t>B.</w:t>
      </w:r>
      <w:r w:rsidRPr="00184D53">
        <w:tab/>
        <w:t xml:space="preserve">ker je agencija EFSA 30. novembra 2023 sprejela pozitivno mnenje in ga objavila 19. januarja 2024; </w:t>
      </w:r>
    </w:p>
    <w:p w:rsidR="00790B79" w:rsidRPr="00184D53" w:rsidRDefault="00790B79" w:rsidP="00790B79">
      <w:pPr>
        <w:pStyle w:val="NormalHanging12a"/>
      </w:pPr>
      <w:r w:rsidRPr="00184D53">
        <w:t>C.</w:t>
      </w:r>
      <w:r w:rsidRPr="00184D53">
        <w:tab/>
        <w:t>ker je bila gensko spremenjena koruza spremenjena tako, da proizvaja insekticide (v nadaljnjem besedilu: toksini Bt);</w:t>
      </w:r>
    </w:p>
    <w:p w:rsidR="00790B79" w:rsidRPr="00184D53" w:rsidRDefault="00790B79" w:rsidP="00790B79">
      <w:pPr>
        <w:pStyle w:val="NormalHanging12a"/>
        <w:rPr>
          <w:b/>
          <w:i/>
        </w:rPr>
      </w:pPr>
      <w:r w:rsidRPr="00184D53">
        <w:rPr>
          <w:b/>
          <w:i/>
        </w:rPr>
        <w:t>Odprta vprašanja v zvezi s toksini Bt</w:t>
      </w:r>
    </w:p>
    <w:p w:rsidR="00790B79" w:rsidRPr="00184D53" w:rsidRDefault="00790B79" w:rsidP="00790B79">
      <w:pPr>
        <w:pStyle w:val="NormalHanging12a"/>
      </w:pPr>
      <w:r w:rsidRPr="00184D53">
        <w:t>D.</w:t>
      </w:r>
      <w:r w:rsidRPr="00184D53">
        <w:tab/>
        <w:t>ker so bili v številnih študijah opaženi stranski učinki izpostavljenosti toksinom Bt, ki lahko vplivajo na imunski sistem ljudi, ter se je ugotovilo, da imajo lahko nekateri toksini Bt adjuvantne lastnosti</w:t>
      </w:r>
      <w:r w:rsidRPr="00184D53">
        <w:rPr>
          <w:rStyle w:val="FootnoteReference"/>
        </w:rPr>
        <w:footnoteReference w:id="8"/>
      </w:r>
      <w:r w:rsidRPr="00184D53">
        <w:t>, kar pomeni, da lahko povečajo alergenost drugih beljakovin, s katerimi pridejo v stik;</w:t>
      </w:r>
    </w:p>
    <w:p w:rsidR="00790B79" w:rsidRPr="00184D53" w:rsidRDefault="00790B79" w:rsidP="00790B79">
      <w:pPr>
        <w:pStyle w:val="NormalHanging12a"/>
        <w:rPr>
          <w:b/>
          <w:i/>
        </w:rPr>
      </w:pPr>
      <w:r w:rsidRPr="00184D53">
        <w:rPr>
          <w:b/>
          <w:i/>
        </w:rPr>
        <w:t>Kmetijske rastline z genom Bt: učinki na neciljne organizme</w:t>
      </w:r>
    </w:p>
    <w:p w:rsidR="00790B79" w:rsidRPr="00184D53" w:rsidRDefault="00790B79" w:rsidP="00790B79">
      <w:pPr>
        <w:pStyle w:val="NormalHanging12a"/>
        <w:rPr>
          <w:b/>
          <w:i/>
        </w:rPr>
      </w:pPr>
      <w:r w:rsidRPr="00184D53">
        <w:t>E.</w:t>
      </w:r>
      <w:r w:rsidRPr="00184D53">
        <w:tab/>
        <w:t>ker v nasprotju z uporabo insekticidov, pri katerih gre za izpostavljenost v času škropljenja in v omejenem času po škropljenju, uporaba gensko spremenjenih kmetijskih rastlin, odpornih proti škodljivcem, pomeni stalno izpostavljenost ciljnih in neciljnih organizmov toksinom Bt;</w:t>
      </w:r>
    </w:p>
    <w:p w:rsidR="00790B79" w:rsidRPr="00184D53" w:rsidRDefault="00790B79" w:rsidP="00790B79">
      <w:pPr>
        <w:pStyle w:val="NormalHanging12a"/>
      </w:pPr>
      <w:r w:rsidRPr="00184D53">
        <w:t>F.</w:t>
      </w:r>
      <w:r w:rsidRPr="00184D53">
        <w:tab/>
        <w:t xml:space="preserve">ker domneve, da imajo toksini Bt samo en ciljni način delovanja, ni več mogoče imeti za pravilno in ker ni mogoče izključiti učinkov na neciljne organizme; ker se poroča o </w:t>
      </w:r>
      <w:r w:rsidRPr="00184D53">
        <w:lastRenderedPageBreak/>
        <w:t>raznolikih učinkih na vse več neciljnih organizmov; ker je v nedavnem pregledu navedenih 39 strokovno pregledanih publikacij, v katerih so ugotovljeni precejšnji škodljivi učinki toksinov Bt na številne vrste zunaj predvidenega področja učinkovanja</w:t>
      </w:r>
      <w:r w:rsidRPr="00184D53">
        <w:rPr>
          <w:rStyle w:val="FootnoteReference"/>
        </w:rPr>
        <w:footnoteReference w:id="9"/>
      </w:r>
      <w:r w:rsidRPr="00184D53">
        <w:t>;</w:t>
      </w:r>
    </w:p>
    <w:p w:rsidR="00790B79" w:rsidRPr="00184D53" w:rsidRDefault="00790B79" w:rsidP="00790B79">
      <w:pPr>
        <w:pStyle w:val="NormalHanging12a"/>
        <w:rPr>
          <w:b/>
          <w:i/>
        </w:rPr>
      </w:pPr>
      <w:r w:rsidRPr="00184D53">
        <w:rPr>
          <w:b/>
          <w:i/>
        </w:rPr>
        <w:t>Pripombe držav članic</w:t>
      </w:r>
    </w:p>
    <w:p w:rsidR="00790B79" w:rsidRPr="00184D53" w:rsidRDefault="00790B79" w:rsidP="00790B79">
      <w:pPr>
        <w:pStyle w:val="NormalHanging12a"/>
      </w:pPr>
      <w:r w:rsidRPr="00184D53">
        <w:t>G.</w:t>
      </w:r>
      <w:r w:rsidRPr="00184D53">
        <w:tab/>
        <w:t>ker so države članice v trimesečnem posvetovalnem obdobju</w:t>
      </w:r>
      <w:r w:rsidRPr="00184D53">
        <w:rPr>
          <w:rStyle w:val="FootnoteReference"/>
        </w:rPr>
        <w:footnoteReference w:id="10"/>
      </w:r>
      <w:r w:rsidRPr="00184D53">
        <w:t xml:space="preserve"> agenciji EFSA predložile več kritičnih pripomb, tudi to, da bi bilo treba podatke o sestavi gensko spremenjene koruze preveriti in ponovno analizirati ter da bi morala analiza izpolnjevati veljavne zahteve EFSA, med drugim test enakosti, in da pregled literature ni vključeval študij o usodi beljakovine Cry1Ab v okolju ali o možnih učinkih ostankov kmetijskih rastlin z genom Bt na neciljne organizme, kar povzroča probleme, ker je iz objav razvidno, da bi prenos gensko spremenjene koruze v gnoj lahko povzročil izpostavljenost organizmov v tleh beljakovini Cry1Ab in da bi to lahko imelo negativne učinke na organizme v tleh s posledicami za biotsko raznovrstnost in ekosistemske storitve; </w:t>
      </w:r>
    </w:p>
    <w:p w:rsidR="00790B79" w:rsidRPr="00184D53" w:rsidRDefault="00790B79" w:rsidP="00790B79">
      <w:pPr>
        <w:pStyle w:val="NormalHanging12a"/>
      </w:pPr>
      <w:r w:rsidRPr="00184D53">
        <w:t>H.</w:t>
      </w:r>
      <w:r w:rsidRPr="00184D53">
        <w:tab/>
        <w:t>ker Uredba (ES) št. 1829/2003 določa,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legitimni dejavniki vključevati obveznosti Unije na podlagi ciljev trajnostnega razvoja OZN in Konvencije OZN o biološki raznovrstnosti;</w:t>
      </w:r>
    </w:p>
    <w:p w:rsidR="00790B79" w:rsidRPr="00184D53" w:rsidRDefault="00790B79" w:rsidP="00790B79">
      <w:pPr>
        <w:pStyle w:val="NormalHanging12a"/>
        <w:rPr>
          <w:b/>
          <w:i/>
        </w:rPr>
      </w:pPr>
      <w:r w:rsidRPr="00184D53">
        <w:rPr>
          <w:b/>
          <w:i/>
        </w:rPr>
        <w:t>Zmanjšanje odvisnosti od uvožene krme</w:t>
      </w:r>
    </w:p>
    <w:p w:rsidR="00790B79" w:rsidRPr="00184D53" w:rsidRDefault="00790B79" w:rsidP="00790B79">
      <w:pPr>
        <w:pStyle w:val="NormalHanging12a"/>
      </w:pPr>
      <w:r w:rsidRPr="00184D53">
        <w:t>I.</w:t>
      </w:r>
      <w:r w:rsidRPr="00184D53">
        <w:tab/>
        <w:t>ker je eno od spoznanj, pridobljenih med koronavirusno krizo in sedanjo vojno v Ukrajini, to, da mora Unija nujno odpraviti odvisnost od nekaterih kritičnih surovin; ker je predsednica Komisije Ursula von der Leyen kandidata za komisarja Christopha Hansena v poslanici prosila, naj preuči načine za zmanjšanje uvoza kritičnih surovin</w:t>
      </w:r>
      <w:r w:rsidRPr="00184D53">
        <w:rPr>
          <w:rStyle w:val="FootnoteReference"/>
        </w:rPr>
        <w:footnoteReference w:id="11"/>
      </w:r>
      <w:r w:rsidRPr="00184D53">
        <w:t xml:space="preserve">; </w:t>
      </w:r>
    </w:p>
    <w:p w:rsidR="00790B79" w:rsidRPr="00184D53" w:rsidRDefault="00790B79" w:rsidP="00790B79">
      <w:pPr>
        <w:pStyle w:val="NormalHanging12a"/>
        <w:rPr>
          <w:b/>
          <w:i/>
        </w:rPr>
      </w:pPr>
      <w:r w:rsidRPr="00184D53">
        <w:rPr>
          <w:b/>
          <w:i/>
        </w:rPr>
        <w:t>Nedemokratičen postopek odločanja</w:t>
      </w:r>
    </w:p>
    <w:p w:rsidR="00790B79" w:rsidRPr="00184D53" w:rsidRDefault="00790B79" w:rsidP="00790B79">
      <w:pPr>
        <w:pStyle w:val="NormalHanging12a"/>
        <w:rPr>
          <w:b/>
          <w:i/>
        </w:rPr>
      </w:pPr>
      <w:r w:rsidRPr="00184D53">
        <w:t>J.</w:t>
      </w:r>
      <w:r w:rsidRPr="00184D53">
        <w:tab/>
      </w:r>
      <w:r w:rsidRPr="00184D53">
        <w:rPr>
          <w:shd w:val="clear" w:color="auto" w:fill="FFFFFF"/>
        </w:rPr>
        <w:t>ker pri glasovanju Stalnega odbora za rastline, živali hrano in krmo iz člena 35 Uredbe (ES) št. 1829/2003, ki je potekalo 26. aprila 2024, ni bilo sprejeto mnenje, kar pomeni, da države članice odobritve niso podprle s kvalificirano večino; ker tudi pri glasovanju odbora za pritožbe 29. maja 2024 ni bilo podano mnenje;</w:t>
      </w:r>
    </w:p>
    <w:p w:rsidR="00790B79" w:rsidRPr="00184D53" w:rsidRDefault="00790B79" w:rsidP="00790B79">
      <w:pPr>
        <w:pStyle w:val="NormalHanging12a"/>
      </w:pPr>
      <w:r w:rsidRPr="00184D53">
        <w:lastRenderedPageBreak/>
        <w:t>K.</w:t>
      </w:r>
      <w:r w:rsidRPr="00184D53">
        <w:tab/>
        <w:t>ker je Evropski parlament v osmem zakonodajnem obdobju sprejel skupno 36 resolucij, v katerih nasprotuje temu, da bi gensko spremenjene organizme, namenjene za živila in krmo, dali na trg (33 resolucij) ter da bi te organizme gojili v Uniji (tri resolucije); ker je v devetem zakonodajnem obdobju 38-krat nasprotoval dajanju gensko spremenjenih organizmov na trg;</w:t>
      </w:r>
    </w:p>
    <w:p w:rsidR="00790B79" w:rsidRPr="00184D53" w:rsidRDefault="00790B79" w:rsidP="00790B79">
      <w:pPr>
        <w:pStyle w:val="NormalHanging12a"/>
      </w:pPr>
      <w:r w:rsidRPr="00184D53">
        <w:t>L.</w:t>
      </w:r>
      <w:r w:rsidRPr="00184D53">
        <w:tab/>
        <w:t>ker Komisija sicer priznava demokratične pomanjkljivosti, odsotnost podpore držav članic in nasprotovanje Parlamenta, a vseeno še naprej daje odobritve za gensko spremenjene organizme;</w:t>
      </w:r>
    </w:p>
    <w:p w:rsidR="00790B79" w:rsidRPr="00184D53" w:rsidRDefault="00790B79" w:rsidP="00790B79">
      <w:pPr>
        <w:pStyle w:val="NormalHanging12a"/>
      </w:pPr>
      <w:r w:rsidRPr="00184D53">
        <w:t>M.</w:t>
      </w:r>
      <w:r w:rsidRPr="00184D53">
        <w:tab/>
        <w:t>ker za to, da bi lahko Komisija zavrnila odobritev gensko spremenjenih organizmov, ni treba spreminjati zakonodaje, če v odboru za pritožbe odobritve ne podpre kvalificirana večina držav članic</w:t>
      </w:r>
      <w:r w:rsidRPr="00184D53">
        <w:rPr>
          <w:rStyle w:val="FootnoteReference"/>
        </w:rPr>
        <w:footnoteReference w:id="12"/>
      </w:r>
      <w:r w:rsidRPr="00184D53">
        <w:t>;</w:t>
      </w:r>
    </w:p>
    <w:p w:rsidR="00790B79" w:rsidRPr="00184D53" w:rsidRDefault="00790B79" w:rsidP="00790B79">
      <w:pPr>
        <w:pStyle w:val="NormalHanging12a"/>
      </w:pPr>
      <w:r w:rsidRPr="00184D53">
        <w:t>N.</w:t>
      </w:r>
      <w:r w:rsidRPr="00184D53">
        <w:tab/>
        <w:t>ker je Komisija 2. julija 2024 podaljšala dovoljenje za dajanje gensko spremenjene koruze na trg;</w:t>
      </w:r>
    </w:p>
    <w:p w:rsidR="00790B79" w:rsidRPr="00184D53" w:rsidRDefault="00447089" w:rsidP="00790B79">
      <w:pPr>
        <w:pStyle w:val="NormalHanging12a"/>
      </w:pPr>
      <w:r>
        <w:t>1.</w:t>
      </w:r>
      <w:r>
        <w:tab/>
        <w:t>meni, da I</w:t>
      </w:r>
      <w:r w:rsidR="00790B79" w:rsidRPr="00184D53">
        <w:t>zvedbeni sklep Komisije (EU) 2024/1828 presega izvedbena pooblastila, določena v uredbi (ES) št. 1829/2003;</w:t>
      </w:r>
    </w:p>
    <w:p w:rsidR="00790B79" w:rsidRPr="00184D53" w:rsidRDefault="00790B79" w:rsidP="00790B79">
      <w:pPr>
        <w:pStyle w:val="NormalHanging12a"/>
      </w:pPr>
      <w:r w:rsidRPr="00184D53">
        <w:t>2.</w:t>
      </w:r>
      <w:r w:rsidRPr="00184D53">
        <w:tab/>
        <w:t>meni, da Izvedbeni sklep Komisije (EU) 2024/1828 ni v skladu s pravom Unije, saj ni skladen s ciljem Uredbe (ES) št. 1829/2003, tj. v skladu s splošnimi načeli iz Uredbe (ES) št. 178/2002 Evropskega parlamenta in Sveta</w:t>
      </w:r>
      <w:r w:rsidRPr="00184D53">
        <w:rPr>
          <w:rStyle w:val="FootnoteReference"/>
        </w:rPr>
        <w:footnoteReference w:id="13"/>
      </w:r>
      <w:r w:rsidRPr="00184D53">
        <w:t>, da bi se zagotovila osnova za zagotavljanje visoke ravni varstva življenja in zdravja ljudi, zdravja in zaščite živali, okolja ter interesov potrošnika v zvezi z gensko spremenjenimi živili in krmo ob zagotavljanju učinkovitega delovanja notranjega trga;</w:t>
      </w:r>
    </w:p>
    <w:p w:rsidR="00790B79" w:rsidRPr="00184D53" w:rsidRDefault="00790B79" w:rsidP="00790B79">
      <w:pPr>
        <w:pStyle w:val="NormalHanging12a"/>
      </w:pPr>
      <w:r w:rsidRPr="00184D53">
        <w:t>3.</w:t>
      </w:r>
      <w:r w:rsidRPr="00184D53">
        <w:tab/>
        <w:t>poziva Komisijo, naj razveljavi Izvedbeni sklep (EU) 2024/1828;</w:t>
      </w:r>
    </w:p>
    <w:p w:rsidR="00790B79" w:rsidRPr="00184D53" w:rsidRDefault="00790B79" w:rsidP="00790B79">
      <w:pPr>
        <w:pStyle w:val="NormalHanging12a"/>
      </w:pPr>
      <w:r w:rsidRPr="00184D53">
        <w:t>4.</w:t>
      </w:r>
      <w:r w:rsidRPr="00184D53">
        <w:tab/>
        <w:t>pozdravlja, da je Komisija v pismu z dne 11. septembra 2020 poslancem vendarle priznala, da je treba pri odločitvah o odobritvi gensko spremenjenih organizmov upoštevati trajnostnost</w:t>
      </w:r>
      <w:r w:rsidRPr="00184D53">
        <w:rPr>
          <w:rStyle w:val="FootnoteReference"/>
        </w:rPr>
        <w:footnoteReference w:id="14"/>
      </w:r>
      <w:r w:rsidRPr="00184D53">
        <w:t>; je globoko razočaran, ker Komisija še naprej dovoljuje uvoz gensko spremenjenih organizmov v Unijo, čeprav Parlament temu vedno znova nasprotuje in proti temu glasuje tudi večina držav članic;</w:t>
      </w:r>
    </w:p>
    <w:p w:rsidR="00790B79" w:rsidRPr="00184D53" w:rsidRDefault="00790B79" w:rsidP="00790B79">
      <w:pPr>
        <w:pStyle w:val="NormalHanging12a"/>
      </w:pPr>
      <w:r w:rsidRPr="00184D53">
        <w:t>5.</w:t>
      </w:r>
      <w:r w:rsidRPr="00184D53">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pojasnila, kako dani izvedbeni akt podpira načelo neškodovanja</w:t>
      </w:r>
      <w:r w:rsidRPr="00184D53">
        <w:rPr>
          <w:rStyle w:val="FootnoteReference"/>
        </w:rPr>
        <w:footnoteReference w:id="15"/>
      </w:r>
      <w:r w:rsidRPr="00184D53">
        <w:t xml:space="preserve">; </w:t>
      </w:r>
    </w:p>
    <w:p w:rsidR="00E365E1" w:rsidRPr="00184D53" w:rsidRDefault="00790B79" w:rsidP="001F2F5A">
      <w:pPr>
        <w:ind w:left="567" w:hanging="567"/>
      </w:pPr>
      <w:r w:rsidRPr="00184D53">
        <w:t>6.</w:t>
      </w:r>
      <w:r w:rsidRPr="00184D53">
        <w:tab/>
        <w:t>naroči svoji predsednici, naj to resolucijo posreduje Svetu in Komisiji ter vladam in parlamentom držav članic.</w:t>
      </w:r>
    </w:p>
    <w:sectPr w:rsidR="00E365E1" w:rsidRPr="00184D53" w:rsidSect="005B70B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46A" w:rsidRPr="005B70B4" w:rsidRDefault="00CB646A">
      <w:r w:rsidRPr="005B70B4">
        <w:separator/>
      </w:r>
    </w:p>
  </w:endnote>
  <w:endnote w:type="continuationSeparator" w:id="0">
    <w:p w:rsidR="00CB646A" w:rsidRPr="005B70B4" w:rsidRDefault="00CB646A">
      <w:r w:rsidRPr="005B7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46A" w:rsidRPr="005B70B4" w:rsidRDefault="00CB646A">
      <w:r w:rsidRPr="005B70B4">
        <w:separator/>
      </w:r>
    </w:p>
  </w:footnote>
  <w:footnote w:type="continuationSeparator" w:id="0">
    <w:p w:rsidR="00CB646A" w:rsidRPr="005B70B4" w:rsidRDefault="00CB646A">
      <w:r w:rsidRPr="005B70B4">
        <w:continuationSeparator/>
      </w:r>
    </w:p>
  </w:footnote>
  <w:footnote w:id="1">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UL L, 2024/1828, 4.7.2024, ELI: </w:t>
      </w:r>
      <w:hyperlink r:id="rId1" w:tooltip="Omogoča dostop do tega dokumenta prek njegovega evropskega zakonodajnega identifikatorja ELI." w:history="1">
        <w:r w:rsidRPr="005B70B4">
          <w:rPr>
            <w:rStyle w:val="Hyperlink"/>
            <w:color w:val="337AB7"/>
            <w:sz w:val="24"/>
            <w:shd w:val="clear" w:color="auto" w:fill="FFFFFF"/>
            <w:lang w:val="sl-SI"/>
          </w:rPr>
          <w:t>http://data.europa.eu/eli/dec_impl/2024/1828/oj</w:t>
        </w:r>
      </w:hyperlink>
      <w:r w:rsidRPr="005B70B4">
        <w:rPr>
          <w:sz w:val="24"/>
          <w:lang w:val="sl-SI"/>
        </w:rPr>
        <w:t>.</w:t>
      </w:r>
    </w:p>
  </w:footnote>
  <w:footnote w:id="2">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UL L 268, 18.10.2003, str. </w:t>
      </w:r>
      <w:r w:rsidRPr="005B70B4">
        <w:rPr>
          <w:sz w:val="24"/>
          <w:lang w:val="sl-SI"/>
        </w:rPr>
        <w:t xml:space="preserve">1, ELI: </w:t>
      </w:r>
      <w:hyperlink r:id="rId2" w:tooltip="Omogoča dostop do tega dokumenta prek njegovega evropskega zakonodajnega identifikatorja ELI." w:history="1">
        <w:r w:rsidRPr="005B70B4">
          <w:rPr>
            <w:rStyle w:val="Hyperlink"/>
            <w:color w:val="337AB7"/>
            <w:sz w:val="24"/>
            <w:shd w:val="clear" w:color="auto" w:fill="FFFFFF"/>
            <w:lang w:val="sl-SI"/>
          </w:rPr>
          <w:t>http://data.europa.eu/eli/reg/2003/1829/oj</w:t>
        </w:r>
      </w:hyperlink>
      <w:r w:rsidRPr="005B70B4">
        <w:rPr>
          <w:sz w:val="24"/>
          <w:lang w:val="sl-SI"/>
        </w:rPr>
        <w:t>.</w:t>
      </w:r>
    </w:p>
  </w:footnote>
  <w:footnote w:id="3">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UL L 55, 28.2.2011, str. </w:t>
      </w:r>
      <w:r w:rsidRPr="005B70B4">
        <w:rPr>
          <w:sz w:val="24"/>
          <w:lang w:val="sl-SI"/>
        </w:rPr>
        <w:t xml:space="preserve">13, ELI: </w:t>
      </w:r>
      <w:hyperlink r:id="rId3" w:tooltip="Omogoča dostop do tega dokumenta prek njegovega evropskega zakonodajnega identifikatorja ELI." w:history="1">
        <w:r w:rsidRPr="005B70B4">
          <w:rPr>
            <w:rStyle w:val="Hyperlink"/>
            <w:color w:val="337AB7"/>
            <w:sz w:val="24"/>
            <w:shd w:val="clear" w:color="auto" w:fill="FFFFFF"/>
            <w:lang w:val="sl-SI"/>
          </w:rPr>
          <w:t>http://data.europa.eu/eli/reg/2011/182/oj</w:t>
        </w:r>
      </w:hyperlink>
      <w:r w:rsidRPr="005B70B4">
        <w:rPr>
          <w:sz w:val="24"/>
          <w:lang w:val="sl-SI"/>
        </w:rPr>
        <w:t>.</w:t>
      </w:r>
    </w:p>
  </w:footnote>
  <w:footnote w:id="4">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Znanstveno mnenje odbora EFSA o gensko spremenjenih organizmih o oceni gensko spremenjene koruze MON 810 za obnovitev odobritve v skladu z Uredbo (ES) št. </w:t>
      </w:r>
      <w:r w:rsidRPr="005B70B4">
        <w:rPr>
          <w:sz w:val="24"/>
          <w:lang w:val="sl-SI"/>
        </w:rPr>
        <w:t xml:space="preserve">1829/2003 (dosje GMFF-2022-9450), strokovno glasilo agencije EFSA 22(1), leto 2024, 8489, </w:t>
      </w:r>
      <w:hyperlink r:id="rId4" w:history="1">
        <w:r w:rsidRPr="005B70B4">
          <w:rPr>
            <w:rStyle w:val="Hyperlink"/>
            <w:sz w:val="24"/>
            <w:lang w:val="sl-SI"/>
          </w:rPr>
          <w:t>https://doi.org/10.2903/j.efsa.2024.8489</w:t>
        </w:r>
      </w:hyperlink>
      <w:r w:rsidR="00944073">
        <w:rPr>
          <w:rStyle w:val="Hyperlink"/>
          <w:sz w:val="24"/>
          <w:lang w:val="sl-SI"/>
        </w:rPr>
        <w:t>.</w:t>
      </w:r>
    </w:p>
  </w:footnote>
  <w:footnote w:id="5">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Parlament je v osmem zakonodajnem obdobju sprejel 36 resolucij, v devetem pa 38, v katerih je nasprotoval odobritvi GSO.</w:t>
      </w:r>
      <w:r w:rsidRPr="005B70B4">
        <w:rPr>
          <w:color w:val="000000" w:themeColor="text1"/>
          <w:sz w:val="24"/>
          <w:lang w:val="sl-SI"/>
        </w:rPr>
        <w:t xml:space="preserve"> </w:t>
      </w:r>
    </w:p>
  </w:footnote>
  <w:footnote w:id="6">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Izvedbeni sklep Komisije 2013/649/EU z dne 6. novembra 2013 o odobritvi dajanja na trg cvetnega prahu, proizvedenega iz koruze MON 810 (MON-ØØ81Ø-6), v skladu z Uredbo (ES) št. 1829/2003 Evropskega parlamenta in Sveta (UL L 302, 13.11.2013, str. 44, ELI: </w:t>
      </w:r>
      <w:r w:rsidR="001D5ED3">
        <w:fldChar w:fldCharType="begin"/>
      </w:r>
      <w:r w:rsidR="001D5ED3" w:rsidRPr="001D5ED3">
        <w:rPr>
          <w:lang w:val="sl-SI"/>
        </w:rPr>
        <w:instrText xml:space="preserve"> HYPERLINK "http://data.europa.eu/eli/dec_impl/2013/649/oj" \o "Omogoča dostop do tega dokumenta prek njegovega evropskega zakonodajnega identifikatorja ELI." </w:instrText>
      </w:r>
      <w:r w:rsidR="001D5ED3">
        <w:fldChar w:fldCharType="separate"/>
      </w:r>
      <w:r w:rsidRPr="005B70B4">
        <w:rPr>
          <w:rStyle w:val="Hyperlink"/>
          <w:color w:val="337AB7"/>
          <w:sz w:val="24"/>
          <w:shd w:val="clear" w:color="auto" w:fill="FFFFFF"/>
          <w:lang w:val="sl-SI"/>
        </w:rPr>
        <w:t>http://data.europa.eu/eli/dec_impl/2013/649/oj</w:t>
      </w:r>
      <w:r w:rsidR="001D5ED3">
        <w:rPr>
          <w:rStyle w:val="Hyperlink"/>
          <w:color w:val="337AB7"/>
          <w:sz w:val="24"/>
          <w:shd w:val="clear" w:color="auto" w:fill="FFFFFF"/>
          <w:lang w:val="sl-SI"/>
        </w:rPr>
        <w:fldChar w:fldCharType="end"/>
      </w:r>
      <w:r w:rsidRPr="005B70B4">
        <w:rPr>
          <w:sz w:val="24"/>
          <w:lang w:val="sl-SI"/>
        </w:rPr>
        <w:t>).</w:t>
      </w:r>
    </w:p>
  </w:footnote>
  <w:footnote w:id="7">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Izvedbeni sklep Komisije (EU) 2017/1207 z dne 4. julija 2017 o obnovitvi odobritve za dajanje na trg proizvodov iz gensko spremenjene koruze MON 810 (MON-ØØ81Ø-6) v skladu z Uredbo (ES) št. 1829/2003 Evropskega parlamenta in Sveta (UL L 173, 6.7.2017, str. 18, ELI: </w:t>
      </w:r>
      <w:r w:rsidR="001D5ED3">
        <w:fldChar w:fldCharType="begin"/>
      </w:r>
      <w:r w:rsidR="001D5ED3" w:rsidRPr="001D5ED3">
        <w:rPr>
          <w:lang w:val="sl-SI"/>
        </w:rPr>
        <w:instrText xml:space="preserve"> HYPERLINK "http://data.europa.</w:instrText>
      </w:r>
      <w:r w:rsidR="001D5ED3" w:rsidRPr="001D5ED3">
        <w:rPr>
          <w:lang w:val="sl-SI"/>
        </w:rPr>
        <w:instrText xml:space="preserve">eu/eli/dec_impl/2017/1207/oj" \o "Omogoča dostop do tega dokumenta prek njegovega evropskega zakonodajnega identifikatorja ELI." </w:instrText>
      </w:r>
      <w:r w:rsidR="001D5ED3">
        <w:fldChar w:fldCharType="separate"/>
      </w:r>
      <w:r w:rsidRPr="005B70B4">
        <w:rPr>
          <w:rStyle w:val="Hyperlink"/>
          <w:color w:val="337AB7"/>
          <w:sz w:val="24"/>
          <w:shd w:val="clear" w:color="auto" w:fill="FFFFFF"/>
          <w:lang w:val="sl-SI"/>
        </w:rPr>
        <w:t>http://data.europa.eu/eli/dec_impl/2017/1207/oj</w:t>
      </w:r>
      <w:r w:rsidR="001D5ED3">
        <w:rPr>
          <w:rStyle w:val="Hyperlink"/>
          <w:color w:val="337AB7"/>
          <w:sz w:val="24"/>
          <w:shd w:val="clear" w:color="auto" w:fill="FFFFFF"/>
          <w:lang w:val="sl-SI"/>
        </w:rPr>
        <w:fldChar w:fldCharType="end"/>
      </w:r>
      <w:r w:rsidRPr="005B70B4">
        <w:rPr>
          <w:sz w:val="24"/>
          <w:lang w:val="sl-SI"/>
        </w:rPr>
        <w:t>).</w:t>
      </w:r>
    </w:p>
  </w:footnote>
  <w:footnote w:id="8">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Za podrobnosti gl. Rubio-Infante, N., Moreno-Fierros, L., </w:t>
      </w:r>
      <w:r w:rsidRPr="005B70B4">
        <w:rPr>
          <w:i/>
          <w:iCs/>
          <w:sz w:val="24"/>
          <w:lang w:val="sl-SI"/>
        </w:rPr>
        <w:t>An overview of the safety and biological effects of Bacillus thuringiensis Cry toxins in mammals</w:t>
      </w:r>
      <w:r w:rsidRPr="005B70B4">
        <w:rPr>
          <w:sz w:val="24"/>
          <w:lang w:val="sl-SI"/>
        </w:rPr>
        <w:t xml:space="preserve"> (Pregled varnosti in bioloških učinkov toksinov Cry bakterije </w:t>
      </w:r>
      <w:r w:rsidRPr="005B70B4">
        <w:rPr>
          <w:i/>
          <w:iCs/>
          <w:sz w:val="24"/>
          <w:lang w:val="sl-SI"/>
        </w:rPr>
        <w:t>Bacillus thuringiensis</w:t>
      </w:r>
      <w:r w:rsidRPr="005B70B4">
        <w:rPr>
          <w:sz w:val="24"/>
          <w:lang w:val="sl-SI"/>
        </w:rPr>
        <w:t xml:space="preserve"> na sesalce), Journal of Applied Toxicology, maj 2016, zvezek 36, št. 5, str. 630–648, </w:t>
      </w:r>
      <w:r w:rsidR="001D5ED3">
        <w:fldChar w:fldCharType="begin"/>
      </w:r>
      <w:r w:rsidR="001D5ED3" w:rsidRPr="001D5ED3">
        <w:rPr>
          <w:lang w:val="sl-SI"/>
        </w:rPr>
        <w:instrText xml:space="preserve"> </w:instrText>
      </w:r>
      <w:r w:rsidR="001D5ED3" w:rsidRPr="001D5ED3">
        <w:rPr>
          <w:lang w:val="sl-SI"/>
        </w:rPr>
        <w:instrText xml:space="preserve">HYPERLINK "https://onlinelibrary.wiley.com/doi/full/10.1002/jat.3252" </w:instrText>
      </w:r>
      <w:r w:rsidR="001D5ED3">
        <w:fldChar w:fldCharType="separate"/>
      </w:r>
      <w:r w:rsidRPr="005B70B4">
        <w:rPr>
          <w:rStyle w:val="Hyperlink"/>
          <w:sz w:val="24"/>
          <w:lang w:val="sl-SI"/>
        </w:rPr>
        <w:t>https://onlinelibrary.wiley.com/doi/full/10.1002/jat.3252</w:t>
      </w:r>
      <w:r w:rsidR="001D5ED3">
        <w:rPr>
          <w:rStyle w:val="Hyperlink"/>
          <w:sz w:val="24"/>
          <w:lang w:val="sl-SI"/>
        </w:rPr>
        <w:fldChar w:fldCharType="end"/>
      </w:r>
      <w:r w:rsidRPr="005B70B4">
        <w:rPr>
          <w:rStyle w:val="Hyperlink"/>
          <w:sz w:val="24"/>
          <w:lang w:val="sl-SI"/>
        </w:rPr>
        <w:t>.</w:t>
      </w:r>
    </w:p>
  </w:footnote>
  <w:footnote w:id="9">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Hilbeck, A., Defarge, N., Lebrecht, T., Bøhn, T., </w:t>
      </w:r>
      <w:r w:rsidRPr="005B70B4">
        <w:rPr>
          <w:i/>
          <w:iCs/>
          <w:sz w:val="24"/>
          <w:lang w:val="sl-SI"/>
        </w:rPr>
        <w:t>Insecticidal Bt crops.</w:t>
      </w:r>
      <w:r w:rsidRPr="005B70B4">
        <w:rPr>
          <w:sz w:val="24"/>
          <w:lang w:val="sl-SI"/>
        </w:rPr>
        <w:t xml:space="preserve"> </w:t>
      </w:r>
      <w:r w:rsidRPr="005B70B4">
        <w:rPr>
          <w:i/>
          <w:iCs/>
          <w:sz w:val="24"/>
          <w:lang w:val="sl-SI"/>
        </w:rPr>
        <w:t>EFSA’s risk assessment approach for GM Bt plants fails by design</w:t>
      </w:r>
      <w:r w:rsidRPr="005B70B4">
        <w:rPr>
          <w:sz w:val="24"/>
          <w:lang w:val="sl-SI"/>
        </w:rPr>
        <w:t xml:space="preserve"> (Insekticidne rastline Bt – pristop agencije EFSA k oceni tveganja za gensko spremenjene rastline Bt je v zasnovi neuspešen), RAGES 2020, str. 4, </w:t>
      </w:r>
      <w:r w:rsidR="001D5ED3">
        <w:fldChar w:fldCharType="begin"/>
      </w:r>
      <w:r w:rsidR="001D5ED3" w:rsidRPr="001D5ED3">
        <w:rPr>
          <w:lang w:val="sl-SI"/>
        </w:rPr>
        <w:instrText xml:space="preserve"> HYPERLINK "https://www.testbiotech.org/wp-content/uploads/2023/12/RAGES_report-Insecticidal-</w:instrText>
      </w:r>
      <w:r w:rsidR="001D5ED3" w:rsidRPr="001D5ED3">
        <w:rPr>
          <w:lang w:val="sl-SI"/>
        </w:rPr>
        <w:instrText xml:space="preserve">Bt-plants.pdf" </w:instrText>
      </w:r>
      <w:r w:rsidR="001D5ED3">
        <w:fldChar w:fldCharType="separate"/>
      </w:r>
      <w:r w:rsidRPr="005B70B4">
        <w:rPr>
          <w:rStyle w:val="Hyperlink"/>
          <w:sz w:val="24"/>
          <w:lang w:val="sl-SI"/>
        </w:rPr>
        <w:t>https://www.testbiotech.org/sites/default/files/RAGES_report-Insecticidal%20Bt%20plants.pdf</w:t>
      </w:r>
      <w:r w:rsidR="001D5ED3">
        <w:rPr>
          <w:rStyle w:val="Hyperlink"/>
          <w:sz w:val="24"/>
          <w:lang w:val="sl-SI"/>
        </w:rPr>
        <w:fldChar w:fldCharType="end"/>
      </w:r>
      <w:r w:rsidRPr="005B70B4">
        <w:rPr>
          <w:rStyle w:val="Hyperlink"/>
          <w:sz w:val="24"/>
          <w:lang w:val="sl-SI"/>
        </w:rPr>
        <w:t xml:space="preserve">; </w:t>
      </w:r>
      <w:r w:rsidRPr="005B70B4">
        <w:rPr>
          <w:sz w:val="24"/>
          <w:lang w:val="sl-SI"/>
        </w:rPr>
        <w:t xml:space="preserve">Gl. na primer Hilbeck, A., Otto, M., </w:t>
      </w:r>
      <w:r w:rsidRPr="005B70B4">
        <w:rPr>
          <w:i/>
          <w:iCs/>
          <w:sz w:val="24"/>
          <w:lang w:val="sl-SI"/>
        </w:rPr>
        <w:t>Specificity and combinatorial effects of Bacillus thuringiensis Cry toxins in the context of GMO environmental risk assessment</w:t>
      </w:r>
      <w:r w:rsidRPr="005B70B4">
        <w:rPr>
          <w:sz w:val="24"/>
          <w:lang w:val="sl-SI"/>
        </w:rPr>
        <w:t xml:space="preserve"> (Specifičnost in kombinirani učinki toksinov Cry bakterije </w:t>
      </w:r>
      <w:r w:rsidRPr="005B70B4">
        <w:rPr>
          <w:i/>
          <w:iCs/>
          <w:sz w:val="24"/>
          <w:lang w:val="sl-SI"/>
        </w:rPr>
        <w:t>Bacillus thuringiensis</w:t>
      </w:r>
      <w:r w:rsidRPr="005B70B4">
        <w:rPr>
          <w:sz w:val="24"/>
          <w:lang w:val="sl-SI"/>
        </w:rPr>
        <w:t xml:space="preserve"> v oceni tveganja gensko spremenjenih organizmov), Frontiers in Environmental Science, 2015, 3:71, </w:t>
      </w:r>
      <w:hyperlink r:id="rId5" w:history="1">
        <w:r w:rsidRPr="005B70B4">
          <w:rPr>
            <w:rStyle w:val="Hyperlink"/>
            <w:sz w:val="24"/>
            <w:lang w:val="sl-SI"/>
          </w:rPr>
          <w:t>https://doi.org/10.3389/fenvs.2015.00071</w:t>
        </w:r>
      </w:hyperlink>
      <w:r w:rsidRPr="005B70B4">
        <w:rPr>
          <w:sz w:val="24"/>
          <w:lang w:val="sl-SI"/>
        </w:rPr>
        <w:t>.</w:t>
      </w:r>
    </w:p>
  </w:footnote>
  <w:footnote w:id="10">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001D5ED3">
        <w:fldChar w:fldCharType="begin"/>
      </w:r>
      <w:r w:rsidR="001D5ED3" w:rsidRPr="001D5ED3">
        <w:rPr>
          <w:lang w:val="sl-SI"/>
        </w:rPr>
        <w:instrText xml:space="preserve"> HYPERLINK "https://efsa.onlinelibrary.wiley.com/action/downloadSupplement?doi=10.2903/j.efsa.2024.8489&amp;file=efs28489-sup-0008-Annex_8.pdf" </w:instrText>
      </w:r>
      <w:r w:rsidR="001D5ED3">
        <w:fldChar w:fldCharType="separate"/>
      </w:r>
      <w:r w:rsidRPr="005B70B4">
        <w:rPr>
          <w:rStyle w:val="Hyperlink"/>
          <w:sz w:val="24"/>
          <w:lang w:val="sl-SI"/>
        </w:rPr>
        <w:t>https://efsa.onlinelibrary.wiley.com/action/downloadSupplement?doi=10.2903%‌2Fj.efsa.2024.8489&amp;file=efs28489-sup-0008-Annex_8.pdf</w:t>
      </w:r>
      <w:r w:rsidR="001D5ED3">
        <w:rPr>
          <w:rStyle w:val="Hyperlink"/>
          <w:sz w:val="24"/>
          <w:lang w:val="sl-SI"/>
        </w:rPr>
        <w:fldChar w:fldCharType="end"/>
      </w:r>
    </w:p>
  </w:footnote>
  <w:footnote w:id="11">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001D5ED3">
        <w:fldChar w:fldCharType="begin"/>
      </w:r>
      <w:r w:rsidR="001D5ED3" w:rsidRPr="001D5ED3">
        <w:rPr>
          <w:lang w:val="sl-SI"/>
        </w:rPr>
        <w:instrText xml:space="preserve"> HYPERLINK "https://commission.europa.eu/document/2c64e540-c07a-4376-a1da-368d289f4afe_en" </w:instrText>
      </w:r>
      <w:r w:rsidR="001D5ED3">
        <w:fldChar w:fldCharType="separate"/>
      </w:r>
      <w:r w:rsidRPr="005B70B4">
        <w:rPr>
          <w:rStyle w:val="Hyperlink"/>
          <w:sz w:val="24"/>
          <w:lang w:val="sl-SI"/>
        </w:rPr>
        <w:t>https://commission.europa.eu/document/2c64e540-c07a-4376-a1da-368d289f4afe_en</w:t>
      </w:r>
      <w:r w:rsidR="001D5ED3">
        <w:rPr>
          <w:rStyle w:val="Hyperlink"/>
          <w:sz w:val="24"/>
          <w:lang w:val="sl-SI"/>
        </w:rPr>
        <w:fldChar w:fldCharType="end"/>
      </w:r>
    </w:p>
  </w:footnote>
  <w:footnote w:id="12">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V skladu s členom 6(3) Uredbe (EU) št. 182/2011 lahko Komisija vlogo odobri tudi, če je v odboru za pritožbe ne podpre kvalificirana večina držav članic, vendar to ni nujno.</w:t>
      </w:r>
    </w:p>
  </w:footnote>
  <w:footnote w:id="13">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1.2.2002, str. 1). </w:t>
      </w:r>
      <w:r w:rsidR="001D5ED3">
        <w:fldChar w:fldCharType="begin"/>
      </w:r>
      <w:r w:rsidR="001D5ED3" w:rsidRPr="001D5ED3">
        <w:rPr>
          <w:lang w:val="sl-SI"/>
        </w:rPr>
        <w:instrText xml:space="preserve"> HYPERLINK "http://data.europa.eu/eli/reg/2002/178/oj" \o "Omogoča dostop do tega dokume</w:instrText>
      </w:r>
      <w:r w:rsidR="001D5ED3" w:rsidRPr="001D5ED3">
        <w:rPr>
          <w:lang w:val="sl-SI"/>
        </w:rPr>
        <w:instrText xml:space="preserve">nta prek njegovega evropskega zakonodajnega identifikatorja ELI." </w:instrText>
      </w:r>
      <w:r w:rsidR="001D5ED3">
        <w:fldChar w:fldCharType="separate"/>
      </w:r>
      <w:r w:rsidRPr="005B70B4">
        <w:rPr>
          <w:rStyle w:val="Hyperlink"/>
          <w:color w:val="337AB7"/>
          <w:sz w:val="24"/>
          <w:shd w:val="clear" w:color="auto" w:fill="FFFFFF"/>
          <w:lang w:val="sl-SI"/>
        </w:rPr>
        <w:t>http://data.europa.eu/eli/reg/2002/178/oj</w:t>
      </w:r>
      <w:r w:rsidR="001D5ED3">
        <w:rPr>
          <w:rStyle w:val="Hyperlink"/>
          <w:color w:val="337AB7"/>
          <w:sz w:val="24"/>
          <w:shd w:val="clear" w:color="auto" w:fill="FFFFFF"/>
          <w:lang w:val="sl-SI"/>
        </w:rPr>
        <w:fldChar w:fldCharType="end"/>
      </w:r>
      <w:r w:rsidRPr="005B70B4">
        <w:rPr>
          <w:sz w:val="24"/>
          <w:lang w:val="sl-SI"/>
        </w:rPr>
        <w:t>).</w:t>
      </w:r>
    </w:p>
  </w:footnote>
  <w:footnote w:id="14">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hyperlink r:id="rId6" w:history="1">
        <w:r w:rsidRPr="005B70B4">
          <w:rPr>
            <w:rStyle w:val="Hyperlink"/>
            <w:sz w:val="24"/>
            <w:lang w:val="sl-SI"/>
          </w:rPr>
          <w:t>https://tillymetz.lu/wp-content/uploads/2020/09/Co-signed-letter-MEP-Metz.pdf</w:t>
        </w:r>
      </w:hyperlink>
    </w:p>
  </w:footnote>
  <w:footnote w:id="15">
    <w:p w:rsidR="00790B79" w:rsidRPr="005B70B4" w:rsidRDefault="00790B79" w:rsidP="005B70B4">
      <w:pPr>
        <w:pStyle w:val="FootnoteText"/>
        <w:ind w:left="567" w:hanging="567"/>
        <w:rPr>
          <w:sz w:val="24"/>
          <w:lang w:val="sl-SI"/>
        </w:rPr>
      </w:pPr>
      <w:r w:rsidRPr="005B70B4">
        <w:rPr>
          <w:rStyle w:val="FootnoteReference"/>
          <w:sz w:val="24"/>
          <w:lang w:val="sl-SI"/>
        </w:rPr>
        <w:footnoteRef/>
      </w:r>
      <w:r w:rsidR="005B70B4" w:rsidRPr="005B70B4">
        <w:rPr>
          <w:sz w:val="24"/>
          <w:lang w:val="sl-SI"/>
        </w:rPr>
        <w:t xml:space="preserve"> </w:t>
      </w:r>
      <w:r w:rsidR="005B70B4" w:rsidRPr="005B70B4">
        <w:rPr>
          <w:sz w:val="24"/>
          <w:lang w:val="sl-SI"/>
        </w:rPr>
        <w:tab/>
      </w:r>
      <w:r w:rsidRPr="005B70B4">
        <w:rPr>
          <w:sz w:val="24"/>
          <w:lang w:val="sl-SI"/>
        </w:rPr>
        <w:t>Resolucija Evropskega parlamenta z dne 15. januarja </w:t>
      </w:r>
      <w:r w:rsidRPr="005B70B4">
        <w:rPr>
          <w:sz w:val="24"/>
          <w:lang w:val="sl-SI"/>
        </w:rPr>
        <w:t>202</w:t>
      </w:r>
      <w:r w:rsidR="001D5ED3">
        <w:rPr>
          <w:sz w:val="24"/>
          <w:lang w:val="sl-SI"/>
        </w:rPr>
        <w:t>0</w:t>
      </w:r>
      <w:bookmarkStart w:id="7" w:name="_GoBack"/>
      <w:bookmarkEnd w:id="7"/>
      <w:r w:rsidRPr="005B70B4">
        <w:rPr>
          <w:sz w:val="24"/>
          <w:lang w:val="sl-SI"/>
        </w:rPr>
        <w:t xml:space="preserve"> o evropskem zelenem dogovoru (UL C 270, 7.7.2021, str. 2), odstavek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SL"/>
    <w:docVar w:name="dvnumam" w:val="0"/>
    <w:docVar w:name="dvpe" w:val="763.280"/>
    <w:docVar w:name="dvtitre" w:val="Resolucija Evropskega parlamenta z dne xx.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2024/2840(RSP))"/>
  </w:docVars>
  <w:rsids>
    <w:rsidRoot w:val="00CB646A"/>
    <w:rsid w:val="00002272"/>
    <w:rsid w:val="00064002"/>
    <w:rsid w:val="000677B9"/>
    <w:rsid w:val="000831BA"/>
    <w:rsid w:val="000A42CC"/>
    <w:rsid w:val="000E7DD9"/>
    <w:rsid w:val="0010095E"/>
    <w:rsid w:val="00125B37"/>
    <w:rsid w:val="00184D53"/>
    <w:rsid w:val="00187494"/>
    <w:rsid w:val="001D5ED3"/>
    <w:rsid w:val="001F2F5A"/>
    <w:rsid w:val="001F32AE"/>
    <w:rsid w:val="002767FF"/>
    <w:rsid w:val="002B18FE"/>
    <w:rsid w:val="002B5493"/>
    <w:rsid w:val="00343214"/>
    <w:rsid w:val="00361C00"/>
    <w:rsid w:val="00395FA1"/>
    <w:rsid w:val="003E15D4"/>
    <w:rsid w:val="00411CCE"/>
    <w:rsid w:val="0041666E"/>
    <w:rsid w:val="00421060"/>
    <w:rsid w:val="00447089"/>
    <w:rsid w:val="00471C19"/>
    <w:rsid w:val="00473B45"/>
    <w:rsid w:val="004867E3"/>
    <w:rsid w:val="00494A28"/>
    <w:rsid w:val="004C0004"/>
    <w:rsid w:val="004C5D52"/>
    <w:rsid w:val="0050519A"/>
    <w:rsid w:val="005072A1"/>
    <w:rsid w:val="00514517"/>
    <w:rsid w:val="00545827"/>
    <w:rsid w:val="00560270"/>
    <w:rsid w:val="005B70B4"/>
    <w:rsid w:val="005C2568"/>
    <w:rsid w:val="005F1B17"/>
    <w:rsid w:val="006037C0"/>
    <w:rsid w:val="006631B6"/>
    <w:rsid w:val="00680577"/>
    <w:rsid w:val="006F74FA"/>
    <w:rsid w:val="00731ADD"/>
    <w:rsid w:val="00734777"/>
    <w:rsid w:val="00747932"/>
    <w:rsid w:val="00751A4A"/>
    <w:rsid w:val="00756632"/>
    <w:rsid w:val="00762C74"/>
    <w:rsid w:val="00786EC0"/>
    <w:rsid w:val="00790B79"/>
    <w:rsid w:val="007D1690"/>
    <w:rsid w:val="007E22AD"/>
    <w:rsid w:val="00817416"/>
    <w:rsid w:val="00842779"/>
    <w:rsid w:val="00865F67"/>
    <w:rsid w:val="00881A7B"/>
    <w:rsid w:val="008840E5"/>
    <w:rsid w:val="00887B3E"/>
    <w:rsid w:val="008C2AC6"/>
    <w:rsid w:val="00930C23"/>
    <w:rsid w:val="0093193B"/>
    <w:rsid w:val="00944073"/>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46A"/>
    <w:rsid w:val="00CC2357"/>
    <w:rsid w:val="00CF071A"/>
    <w:rsid w:val="00D058B8"/>
    <w:rsid w:val="00D56C11"/>
    <w:rsid w:val="00D834A0"/>
    <w:rsid w:val="00D872DF"/>
    <w:rsid w:val="00D91E21"/>
    <w:rsid w:val="00DA7FCD"/>
    <w:rsid w:val="00DD0F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A752F"/>
  <w15:chartTrackingRefBased/>
  <w15:docId w15:val="{3D85E340-9C7B-4619-AED6-E219A1A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0B79"/>
    <w:pPr>
      <w:spacing w:before="480" w:after="240"/>
    </w:pPr>
  </w:style>
  <w:style w:type="paragraph" w:customStyle="1" w:styleId="NormalHanging12a">
    <w:name w:val="NormalHanging12a"/>
    <w:basedOn w:val="Normal"/>
    <w:rsid w:val="00790B79"/>
    <w:pPr>
      <w:spacing w:after="240"/>
      <w:ind w:left="567" w:hanging="567"/>
    </w:pPr>
  </w:style>
  <w:style w:type="character" w:styleId="Hyperlink">
    <w:name w:val="Hyperlink"/>
    <w:basedOn w:val="DefaultParagraphFont"/>
    <w:uiPriority w:val="99"/>
    <w:rsid w:val="00790B79"/>
    <w:rPr>
      <w:color w:val="0563C1" w:themeColor="hyperlink"/>
      <w:u w:val="single"/>
    </w:rPr>
  </w:style>
  <w:style w:type="paragraph" w:styleId="BalloonText">
    <w:name w:val="Balloon Text"/>
    <w:basedOn w:val="Normal"/>
    <w:link w:val="BalloonTextChar"/>
    <w:rsid w:val="00473B45"/>
    <w:rPr>
      <w:rFonts w:ascii="Segoe UI" w:hAnsi="Segoe UI" w:cs="Segoe UI"/>
      <w:sz w:val="18"/>
      <w:szCs w:val="18"/>
    </w:rPr>
  </w:style>
  <w:style w:type="character" w:customStyle="1" w:styleId="BalloonTextChar">
    <w:name w:val="Balloon Text Char"/>
    <w:basedOn w:val="DefaultParagraphFont"/>
    <w:link w:val="BalloonText"/>
    <w:rsid w:val="00473B45"/>
    <w:rPr>
      <w:rFonts w:ascii="Segoe UI" w:hAnsi="Segoe UI" w:cs="Segoe UI"/>
      <w:sz w:val="18"/>
      <w:szCs w:val="18"/>
      <w:lang w:val="sl-SI"/>
    </w:rPr>
  </w:style>
  <w:style w:type="character" w:styleId="FollowedHyperlink">
    <w:name w:val="FollowedHyperlink"/>
    <w:basedOn w:val="DefaultParagraphFont"/>
    <w:rsid w:val="00184D53"/>
    <w:rPr>
      <w:color w:val="954F72" w:themeColor="followedHyperlink"/>
      <w:u w:val="single"/>
    </w:rPr>
  </w:style>
  <w:style w:type="paragraph" w:styleId="Footer">
    <w:name w:val="footer"/>
    <w:basedOn w:val="Normal"/>
    <w:link w:val="FooterChar"/>
    <w:rsid w:val="00184D53"/>
    <w:pPr>
      <w:tabs>
        <w:tab w:val="center" w:pos="4513"/>
        <w:tab w:val="right" w:pos="9026"/>
      </w:tabs>
    </w:pPr>
  </w:style>
  <w:style w:type="character" w:customStyle="1" w:styleId="FooterChar">
    <w:name w:val="Footer Char"/>
    <w:basedOn w:val="DefaultParagraphFont"/>
    <w:link w:val="Footer"/>
    <w:rsid w:val="00184D5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s://tillymetz.lu/wp-content/uploads/2020/09/Co-signed-letter-MEP-Metz.pdf" TargetMode="External"/><Relationship Id="rId5" Type="http://schemas.openxmlformats.org/officeDocument/2006/relationships/hyperlink" Target="https://doi.org/10.3389/fenvs.2015.00071" TargetMode="External"/><Relationship Id="rId4" Type="http://schemas.openxmlformats.org/officeDocument/2006/relationships/hyperlink" Target="https://doi.org/10.2903/j.efsa.2024.84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2DAA6-3E93-4D9C-A752-C11EC8713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1233</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2024-11-26T11:27:00Z</dcterms:created>
  <dcterms:modified xsi:type="dcterms:W3CDTF">2025-03-03T11:05:00Z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B10-0146/2024</vt:lpwstr>
  </property>
  <property fmtid="{D5CDD505-2E9C-101B-9397-08002B2CF9AE}" pid="4" name="&lt;Type&gt;">
    <vt:lpwstr>RR</vt:lpwstr>
  </property>
</Properties>
</file>