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610D" w14:paraId="3E0D7109" w14:textId="77777777" w:rsidTr="0010095E">
        <w:trPr>
          <w:trHeight w:hRule="exact" w:val="1418"/>
        </w:trPr>
        <w:tc>
          <w:tcPr>
            <w:tcW w:w="6804" w:type="dxa"/>
            <w:shd w:val="clear" w:color="auto" w:fill="auto"/>
            <w:vAlign w:val="center"/>
          </w:tcPr>
          <w:p w14:paraId="3A6F9F1E" w14:textId="77777777" w:rsidR="00751A4A" w:rsidRPr="00F8610D" w:rsidRDefault="009B016F" w:rsidP="0010095E">
            <w:pPr>
              <w:pStyle w:val="EPName"/>
            </w:pPr>
            <w:r w:rsidRPr="00F8610D">
              <w:t>Europaparlamentet</w:t>
            </w:r>
          </w:p>
          <w:p w14:paraId="67382002" w14:textId="77777777" w:rsidR="00751A4A" w:rsidRPr="00F8610D" w:rsidRDefault="005F1B17" w:rsidP="005F1B17">
            <w:pPr>
              <w:pStyle w:val="EPTerm"/>
              <w:rPr>
                <w:rStyle w:val="HideTWBExt"/>
                <w:noProof w:val="0"/>
                <w:vanish w:val="0"/>
                <w:color w:val="auto"/>
              </w:rPr>
            </w:pPr>
            <w:r w:rsidRPr="00F8610D">
              <w:t>2024</w:t>
            </w:r>
            <w:r w:rsidR="00817416" w:rsidRPr="00F8610D">
              <w:t>-202</w:t>
            </w:r>
            <w:r w:rsidRPr="00F8610D">
              <w:t>9</w:t>
            </w:r>
          </w:p>
        </w:tc>
        <w:tc>
          <w:tcPr>
            <w:tcW w:w="2268" w:type="dxa"/>
            <w:shd w:val="clear" w:color="auto" w:fill="auto"/>
          </w:tcPr>
          <w:p w14:paraId="6F30CBF5" w14:textId="77777777" w:rsidR="00751A4A" w:rsidRPr="00F8610D" w:rsidRDefault="00187494" w:rsidP="0010095E">
            <w:pPr>
              <w:pStyle w:val="EPLogo"/>
            </w:pPr>
            <w:r w:rsidRPr="00F8610D">
              <w:rPr>
                <w:noProof/>
                <w:lang w:val="en-GB"/>
              </w:rPr>
              <w:drawing>
                <wp:inline distT="0" distB="0" distL="0" distR="0" wp14:anchorId="7F4516EB" wp14:editId="188D37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B64A00" w14:textId="77777777" w:rsidR="00D058B8" w:rsidRPr="00F8610D" w:rsidRDefault="00D058B8" w:rsidP="004C5D52">
      <w:pPr>
        <w:pStyle w:val="LineTop"/>
      </w:pPr>
    </w:p>
    <w:p w14:paraId="0041B2C7" w14:textId="77777777" w:rsidR="00680577" w:rsidRPr="00F8610D" w:rsidRDefault="009B016F" w:rsidP="00680577">
      <w:pPr>
        <w:pStyle w:val="EPBodyTA1"/>
      </w:pPr>
      <w:r w:rsidRPr="00F8610D">
        <w:t>ANTAGNA TEXTER</w:t>
      </w:r>
    </w:p>
    <w:p w14:paraId="7374286C" w14:textId="77777777" w:rsidR="00D058B8" w:rsidRPr="00F8610D" w:rsidRDefault="00D058B8" w:rsidP="00D058B8">
      <w:pPr>
        <w:pStyle w:val="LineBottom"/>
      </w:pPr>
    </w:p>
    <w:p w14:paraId="4A3FB6EA" w14:textId="18685D8A" w:rsidR="009B016F" w:rsidRPr="00F8610D" w:rsidRDefault="009B016F" w:rsidP="009B016F">
      <w:pPr>
        <w:pStyle w:val="ATHeading1"/>
      </w:pPr>
      <w:bookmarkStart w:id="0" w:name="TANumber"/>
      <w:r w:rsidRPr="00F8610D">
        <w:t>P10_TA(2024)00</w:t>
      </w:r>
      <w:bookmarkEnd w:id="0"/>
      <w:r w:rsidR="005827F0">
        <w:t>41</w:t>
      </w:r>
    </w:p>
    <w:p w14:paraId="095904A8" w14:textId="1AFDDFDD" w:rsidR="009B016F" w:rsidRPr="00F8610D" w:rsidRDefault="009B016F" w:rsidP="009B016F">
      <w:pPr>
        <w:pStyle w:val="ATHeading2"/>
      </w:pPr>
      <w:bookmarkStart w:id="1" w:name="title"/>
      <w:r w:rsidRPr="00F8610D">
        <w:t>Genetiskt modifierad majs MON 810</w:t>
      </w:r>
      <w:bookmarkEnd w:id="1"/>
    </w:p>
    <w:p w14:paraId="371445BF" w14:textId="77777777" w:rsidR="009B016F" w:rsidRPr="00F8610D" w:rsidRDefault="009B016F" w:rsidP="009B016F">
      <w:pPr>
        <w:rPr>
          <w:i/>
          <w:vanish/>
        </w:rPr>
      </w:pPr>
      <w:r w:rsidRPr="00F8610D">
        <w:rPr>
          <w:i/>
        </w:rPr>
        <w:fldChar w:fldCharType="begin"/>
      </w:r>
      <w:r w:rsidRPr="00F8610D">
        <w:rPr>
          <w:i/>
        </w:rPr>
        <w:instrText xml:space="preserve"> TC"(</w:instrText>
      </w:r>
      <w:bookmarkStart w:id="2" w:name="DocNumber"/>
      <w:r w:rsidRPr="00F8610D">
        <w:rPr>
          <w:i/>
        </w:rPr>
        <w:instrText>B10-0146/2024</w:instrText>
      </w:r>
      <w:bookmarkEnd w:id="2"/>
      <w:r w:rsidRPr="00F8610D">
        <w:rPr>
          <w:i/>
        </w:rPr>
        <w:instrText xml:space="preserve">)"\l3 \n&gt; \* MERGEFORMAT </w:instrText>
      </w:r>
      <w:r w:rsidRPr="00F8610D">
        <w:rPr>
          <w:i/>
        </w:rPr>
        <w:fldChar w:fldCharType="end"/>
      </w:r>
    </w:p>
    <w:p w14:paraId="1FC48A61" w14:textId="77777777" w:rsidR="009B016F" w:rsidRPr="00F8610D" w:rsidRDefault="009B016F" w:rsidP="009B016F">
      <w:pPr>
        <w:rPr>
          <w:vanish/>
        </w:rPr>
      </w:pPr>
      <w:bookmarkStart w:id="3" w:name="PE"/>
      <w:r w:rsidRPr="00F8610D">
        <w:rPr>
          <w:vanish/>
        </w:rPr>
        <w:t>PE763.280</w:t>
      </w:r>
      <w:bookmarkEnd w:id="3"/>
    </w:p>
    <w:p w14:paraId="51FD647C" w14:textId="4BDC9FB2" w:rsidR="009B016F" w:rsidRPr="00F8610D" w:rsidRDefault="009B016F" w:rsidP="009B016F">
      <w:pPr>
        <w:pStyle w:val="ATHeading3"/>
      </w:pPr>
      <w:bookmarkStart w:id="4" w:name="Sujet"/>
      <w:r w:rsidRPr="00F8610D">
        <w:t xml:space="preserve">Europaparlamentets resolution av den </w:t>
      </w:r>
      <w:r w:rsidR="00166556">
        <w:t>26</w:t>
      </w:r>
      <w:r w:rsidR="00166556" w:rsidRPr="00F8610D">
        <w:t xml:space="preserve"> </w:t>
      </w:r>
      <w:r w:rsidR="00166556">
        <w:t>november</w:t>
      </w:r>
      <w:r w:rsidR="00166556" w:rsidRPr="00F8610D">
        <w:t xml:space="preserve"> </w:t>
      </w:r>
      <w:r w:rsidRPr="00F8610D">
        <w:t>2024 om kommissionens genomförandebeslut (EU) 2024/1828 om förlängning av godkännandet för utsläppande på marknaden av foder som innehåller eller består av den genetiskt modifierade majsen MON 810 och av livsmedel och foderprodukter som har framställts av den genetiskt modifierade majsen MON 810 i enlighet med Europaparlamentets och rådets förordning (EG) nr 1829/2003 och om upphävande av kommissionens genomförandebeslut (EU) 2017/1207</w:t>
      </w:r>
      <w:bookmarkEnd w:id="4"/>
      <w:r w:rsidRPr="00F8610D">
        <w:t xml:space="preserve"> </w:t>
      </w:r>
      <w:bookmarkStart w:id="5" w:name="References"/>
      <w:r w:rsidRPr="00F8610D">
        <w:t>(2024/2840(RSP))</w:t>
      </w:r>
      <w:bookmarkEnd w:id="5"/>
    </w:p>
    <w:p w14:paraId="2D67DF24" w14:textId="77777777" w:rsidR="00D13DAD" w:rsidRPr="00F8610D" w:rsidRDefault="00D13DAD" w:rsidP="00D13DAD">
      <w:pPr>
        <w:pStyle w:val="EPComma"/>
      </w:pPr>
      <w:bookmarkStart w:id="6" w:name="TextBodyBegin"/>
      <w:bookmarkEnd w:id="6"/>
      <w:r w:rsidRPr="00F8610D">
        <w:rPr>
          <w:i/>
          <w:iCs/>
        </w:rPr>
        <w:t>Europaparlamentet utfärdar denna resolution</w:t>
      </w:r>
    </w:p>
    <w:p w14:paraId="04E82CCB" w14:textId="77777777" w:rsidR="00D13DAD" w:rsidRPr="00F8610D" w:rsidRDefault="00D13DAD" w:rsidP="00D13DAD">
      <w:pPr>
        <w:pStyle w:val="NormalHanging12a"/>
      </w:pPr>
      <w:r w:rsidRPr="00F8610D">
        <w:t>–</w:t>
      </w:r>
      <w:r w:rsidRPr="00F8610D">
        <w:tab/>
        <w:t>med beaktande av kommissionens genomförandebeslut (EU) 2024/1828 om förlängning av godkännandet för utsläppande på marknaden av foder som innehåller eller består av den genetiskt modifierade majsen MON 810 och av livsmedel och foderprodukter som har framställts av den genetiskt modifierade majsen MON 810 i enlighet med Europaparlamentets och rådets förordning (EG) nr 1829/2003 och om upphävande av kommissionens genomförandebeslut (EU) 2017/1207</w:t>
      </w:r>
      <w:r w:rsidRPr="00F8610D">
        <w:rPr>
          <w:rStyle w:val="FootnoteReference"/>
        </w:rPr>
        <w:footnoteReference w:id="1"/>
      </w:r>
      <w:r w:rsidRPr="00F8610D">
        <w:t>,</w:t>
      </w:r>
    </w:p>
    <w:p w14:paraId="5A0B1603" w14:textId="77777777" w:rsidR="00D13DAD" w:rsidRPr="00F8610D" w:rsidRDefault="00D13DAD" w:rsidP="00D13DAD">
      <w:pPr>
        <w:pStyle w:val="NormalHanging12a"/>
      </w:pPr>
      <w:r w:rsidRPr="00F8610D">
        <w:t>–</w:t>
      </w:r>
      <w:r w:rsidRPr="00F8610D">
        <w:tab/>
        <w:t>med beaktande av Europaparlamentets och rådets förordning (EG) nr 1829/2003 av den 22 september 2003 om genetiskt modifierade livsmedel och foder</w:t>
      </w:r>
      <w:r w:rsidRPr="00F8610D">
        <w:rPr>
          <w:rStyle w:val="FootnoteReference"/>
        </w:rPr>
        <w:footnoteReference w:id="2"/>
      </w:r>
      <w:r w:rsidRPr="00F8610D">
        <w:t>, särskilt artiklarna 11.3 och 23.3,</w:t>
      </w:r>
    </w:p>
    <w:p w14:paraId="7658645D" w14:textId="77777777" w:rsidR="00D13DAD" w:rsidRPr="00F8610D" w:rsidRDefault="00D13DAD" w:rsidP="00D13DAD">
      <w:pPr>
        <w:pStyle w:val="NormalHanging12a"/>
      </w:pPr>
      <w:r w:rsidRPr="00F8610D">
        <w:t>–</w:t>
      </w:r>
      <w:r w:rsidRPr="00F8610D">
        <w:tab/>
        <w:t xml:space="preserve">med beaktande av </w:t>
      </w:r>
      <w:r w:rsidRPr="00F8610D">
        <w:rPr>
          <w:shd w:val="clear" w:color="auto" w:fill="FFFFFF"/>
        </w:rPr>
        <w:t>omröstningen den 26 april 2024 i den ständiga kommittén för växter, djur, livsmedel och foder som avses i artikel 35 i förordning (EG) nr 1829/2003, där inget yttrande avgavs, samt omröstningen i överklagandekommittén den 29 maj 2024, där det inte heller</w:t>
      </w:r>
      <w:r w:rsidRPr="00F8610D">
        <w:t xml:space="preserve"> avgavs något yttrande,</w:t>
      </w:r>
    </w:p>
    <w:p w14:paraId="380F4244" w14:textId="77777777" w:rsidR="00D13DAD" w:rsidRPr="00F8610D" w:rsidRDefault="00D13DAD" w:rsidP="00D13DAD">
      <w:pPr>
        <w:pStyle w:val="NormalHanging12a"/>
      </w:pPr>
      <w:r w:rsidRPr="00F8610D">
        <w:t>–</w:t>
      </w:r>
      <w:r w:rsidRPr="00F8610D">
        <w:tab/>
        <w:t>med beaktande av artikel 11 i Europaparlamentets och rådets förordning (EU) nr 182/2011 av den 16 februari 2011 om fastställande av allmänna regler och principer för medlemsstaternas kontroll av kommissionens utövande av sina genomförandebefogenheter</w:t>
      </w:r>
      <w:r w:rsidRPr="00F8610D">
        <w:rPr>
          <w:rStyle w:val="FootnoteReference"/>
        </w:rPr>
        <w:footnoteReference w:id="3"/>
      </w:r>
      <w:r w:rsidRPr="00F8610D">
        <w:t>,</w:t>
      </w:r>
    </w:p>
    <w:p w14:paraId="3C6DF58F" w14:textId="68443299" w:rsidR="00D13DAD" w:rsidRPr="00F8610D" w:rsidRDefault="00D13DAD" w:rsidP="00D13DAD">
      <w:pPr>
        <w:pStyle w:val="NormalHanging12a"/>
      </w:pPr>
      <w:r w:rsidRPr="00F8610D">
        <w:lastRenderedPageBreak/>
        <w:t>–</w:t>
      </w:r>
      <w:r w:rsidRPr="00F8610D">
        <w:tab/>
        <w:t>med beaktande av det yttrande som antogs av Europeiska myndigheten för livsmedelssäkerhet (Efsa) den 30 november 2023, och som offentliggjordes den 19 januari 2024</w:t>
      </w:r>
      <w:r w:rsidRPr="00F8610D">
        <w:rPr>
          <w:rStyle w:val="FootnoteReference"/>
        </w:rPr>
        <w:footnoteReference w:id="4"/>
      </w:r>
      <w:r w:rsidRPr="00F8610D">
        <w:t>,</w:t>
      </w:r>
    </w:p>
    <w:p w14:paraId="61723408" w14:textId="77777777" w:rsidR="00D13DAD" w:rsidRPr="00F8610D" w:rsidRDefault="00D13DAD" w:rsidP="00D13DAD">
      <w:pPr>
        <w:pStyle w:val="NormalHanging12a"/>
        <w:rPr>
          <w:szCs w:val="24"/>
          <w:shd w:val="clear" w:color="auto" w:fill="FFFFFF"/>
        </w:rPr>
      </w:pPr>
      <w:r w:rsidRPr="00F8610D">
        <w:t>–</w:t>
      </w:r>
      <w:r w:rsidRPr="00F8610D">
        <w:tab/>
      </w:r>
      <w:r w:rsidRPr="00F8610D">
        <w:rPr>
          <w:shd w:val="clear" w:color="auto" w:fill="FFFFFF"/>
        </w:rPr>
        <w:t>med beaktande av sina tidigare resolutioner där parlamentet har invänt mot godkännande av genetiskt modifierade organismer</w:t>
      </w:r>
      <w:r w:rsidRPr="00F8610D">
        <w:rPr>
          <w:szCs w:val="24"/>
          <w:shd w:val="clear" w:color="auto" w:fill="FFFFFF"/>
          <w:vertAlign w:val="superscript"/>
        </w:rPr>
        <w:footnoteReference w:id="5"/>
      </w:r>
      <w:r w:rsidRPr="00F8610D">
        <w:rPr>
          <w:shd w:val="clear" w:color="auto" w:fill="FFFFFF"/>
        </w:rPr>
        <w:t>,</w:t>
      </w:r>
    </w:p>
    <w:p w14:paraId="754302E0" w14:textId="77777777" w:rsidR="00D13DAD" w:rsidRPr="00F8610D" w:rsidRDefault="00D13DAD" w:rsidP="00D13DAD">
      <w:pPr>
        <w:pStyle w:val="NormalHanging12a"/>
      </w:pPr>
      <w:r w:rsidRPr="00F8610D">
        <w:t>–</w:t>
      </w:r>
      <w:r w:rsidRPr="00F8610D">
        <w:tab/>
        <w:t>med beaktande av artikel 115.2 och 115.3 i arbetsordningen,</w:t>
      </w:r>
    </w:p>
    <w:p w14:paraId="26D241C3" w14:textId="77777777" w:rsidR="00D13DAD" w:rsidRPr="00F8610D" w:rsidRDefault="00D13DAD" w:rsidP="00D13DAD">
      <w:pPr>
        <w:pStyle w:val="NormalHanging12a"/>
        <w:keepNext/>
        <w:keepLines/>
        <w:widowControl/>
      </w:pPr>
      <w:r w:rsidRPr="00F8610D">
        <w:t>–</w:t>
      </w:r>
      <w:r w:rsidRPr="00F8610D">
        <w:tab/>
        <w:t>med beaktande av förslaget till resolution från utskottet för miljö, folkhälsa och livsmedelssäkerhet, och av följande skäl:</w:t>
      </w:r>
    </w:p>
    <w:p w14:paraId="6B31AF60" w14:textId="77777777" w:rsidR="00D13DAD" w:rsidRPr="00F8610D" w:rsidRDefault="00D13DAD" w:rsidP="00D13DAD">
      <w:pPr>
        <w:pStyle w:val="NormalHanging12a"/>
      </w:pPr>
      <w:r w:rsidRPr="00F8610D">
        <w:t>A.</w:t>
      </w:r>
      <w:r w:rsidRPr="00F8610D">
        <w:tab/>
        <w:t>Den 6 oktober 2022 lämnade Bayer Agriculture BV, baserat i Belgien, på uppdrag av Bayer CropScience LP, baserat i Förenta staterna, in en ansökan till kommissionen om förlängning av genomförandebesluten 2013/649/EU</w:t>
      </w:r>
      <w:r w:rsidRPr="00F8610D">
        <w:rPr>
          <w:rStyle w:val="FootnoteReference"/>
        </w:rPr>
        <w:footnoteReference w:id="6"/>
      </w:r>
      <w:r w:rsidRPr="00F8610D">
        <w:t xml:space="preserve"> och (EU) 2017/1207</w:t>
      </w:r>
      <w:r w:rsidRPr="00F8610D">
        <w:rPr>
          <w:rStyle w:val="FootnoteReference"/>
        </w:rPr>
        <w:footnoteReference w:id="7"/>
      </w:r>
      <w:r w:rsidRPr="00F8610D">
        <w:t>. I enlighet med artikel 11.4 i förordning (EG) nr 1829/2003 har godkännandeperioden för genetiskt modifierat pollen som framställts av den genetiskt modifierade majsen MON 810 (</w:t>
      </w:r>
      <w:r w:rsidRPr="00F8610D">
        <w:rPr>
          <w:i/>
          <w:iCs/>
        </w:rPr>
        <w:t>den genetiskt modifierade majsen</w:t>
      </w:r>
      <w:r w:rsidRPr="00F8610D">
        <w:t>) för användning som livsmedel som omfattas av genomförandebeslut 2013/649/EU, automatiskt förlängts till dess att ett beslut har fattats om ansökan om förlängning.</w:t>
      </w:r>
    </w:p>
    <w:p w14:paraId="6C21F866" w14:textId="77777777" w:rsidR="00D13DAD" w:rsidRPr="00F8610D" w:rsidRDefault="00D13DAD" w:rsidP="00D13DAD">
      <w:pPr>
        <w:pStyle w:val="NormalHanging12a"/>
      </w:pPr>
      <w:r w:rsidRPr="00F8610D">
        <w:t>B.</w:t>
      </w:r>
      <w:r w:rsidRPr="00F8610D">
        <w:tab/>
        <w:t xml:space="preserve">Den 30 november 2023 antog Efsa ett positivt yttrande, som offentliggjordes den 19 januari 2024. </w:t>
      </w:r>
    </w:p>
    <w:p w14:paraId="6E434B13" w14:textId="77777777" w:rsidR="00D13DAD" w:rsidRPr="00F8610D" w:rsidRDefault="00D13DAD" w:rsidP="00D13DAD">
      <w:pPr>
        <w:pStyle w:val="NormalHanging12a"/>
      </w:pPr>
      <w:r w:rsidRPr="00F8610D">
        <w:t>C.</w:t>
      </w:r>
      <w:r w:rsidRPr="00F8610D">
        <w:tab/>
        <w:t>Den genetiskt modifierade majsen har modifierats för att producera insektsbekämpningsmedel (Bt-toxiner).</w:t>
      </w:r>
    </w:p>
    <w:p w14:paraId="26A41901" w14:textId="77777777" w:rsidR="00D13DAD" w:rsidRPr="00F8610D" w:rsidRDefault="00D13DAD" w:rsidP="00D13DAD">
      <w:pPr>
        <w:pStyle w:val="NormalHanging12a"/>
        <w:rPr>
          <w:b/>
          <w:i/>
        </w:rPr>
      </w:pPr>
      <w:r w:rsidRPr="00F8610D">
        <w:rPr>
          <w:b/>
          <w:i/>
        </w:rPr>
        <w:t>Kvarstående frågor om Bt-toxiner</w:t>
      </w:r>
    </w:p>
    <w:p w14:paraId="00601402" w14:textId="77777777" w:rsidR="00D13DAD" w:rsidRPr="00F8610D" w:rsidRDefault="00D13DAD" w:rsidP="00D13DAD">
      <w:pPr>
        <w:pStyle w:val="NormalHanging12a"/>
      </w:pPr>
      <w:r w:rsidRPr="00F8610D">
        <w:t>D.</w:t>
      </w:r>
      <w:r w:rsidRPr="00F8610D">
        <w:tab/>
        <w:t xml:space="preserve">Flera studier visar att biverkningar som kan påverka människans immunsystem har observerats efter exponering för Bt-toxiner och att vissa Bt-toxiner kan ha </w:t>
      </w:r>
      <w:r w:rsidRPr="00F8610D">
        <w:lastRenderedPageBreak/>
        <w:t>adjuvansegenskaper</w:t>
      </w:r>
      <w:r w:rsidRPr="00F8610D">
        <w:rPr>
          <w:rStyle w:val="FootnoteReference"/>
        </w:rPr>
        <w:footnoteReference w:id="8"/>
      </w:r>
      <w:r w:rsidRPr="00F8610D">
        <w:t>, vilket innebär att de kan öka de allergiframkallande egenskaperna hos andra proteiner som de kommer i kontakt med.</w:t>
      </w:r>
    </w:p>
    <w:p w14:paraId="00EC3FA3" w14:textId="77777777" w:rsidR="00D13DAD" w:rsidRPr="00F8610D" w:rsidRDefault="00D13DAD" w:rsidP="00D13DAD">
      <w:pPr>
        <w:pStyle w:val="NormalHanging12a"/>
        <w:rPr>
          <w:b/>
          <w:i/>
        </w:rPr>
      </w:pPr>
      <w:r w:rsidRPr="00F8610D">
        <w:rPr>
          <w:b/>
          <w:i/>
        </w:rPr>
        <w:t>Bt-grödor: effekter på icke-målorganismer</w:t>
      </w:r>
    </w:p>
    <w:p w14:paraId="0251F875" w14:textId="77777777" w:rsidR="00D13DAD" w:rsidRPr="00F8610D" w:rsidRDefault="00D13DAD" w:rsidP="00D13DAD">
      <w:pPr>
        <w:pStyle w:val="NormalHanging12a"/>
        <w:rPr>
          <w:b/>
          <w:i/>
        </w:rPr>
      </w:pPr>
      <w:r w:rsidRPr="00F8610D">
        <w:t>E.</w:t>
      </w:r>
      <w:r w:rsidRPr="00F8610D">
        <w:tab/>
        <w:t>Till skillnad från användningen av insekticider, där exponering sker vid tidpunkten för besprutning och en begränsad tid därefter, innebär användningen av genetiskt modifierade Bt-grödor att mål- och icke-målorganismer kontinuerligt exponeras för Bt</w:t>
      </w:r>
      <w:r w:rsidRPr="00F8610D">
        <w:noBreakHyphen/>
        <w:t>toxiner.</w:t>
      </w:r>
    </w:p>
    <w:p w14:paraId="1DB550BF" w14:textId="77777777" w:rsidR="00D13DAD" w:rsidRPr="00F8610D" w:rsidRDefault="00D13DAD" w:rsidP="00D13DAD">
      <w:pPr>
        <w:pStyle w:val="NormalHanging12a"/>
      </w:pPr>
      <w:r w:rsidRPr="00F8610D">
        <w:t>F.</w:t>
      </w:r>
      <w:r w:rsidRPr="00F8610D">
        <w:tab/>
        <w:t>Antagandet att Bt-toxiner uppvisar ett enskilt målspecifikt beteende kan inte längre anses vara korrekt och effekter på icke-målorganismer kan inte uteslutas. Ett ökande antal icke-målorganismer rapporteras ha påverkats på flera olika sätt. I en nyligen sammanställd översikt omnämns 39 expertgranskade publikationer där betydande negativa effekter av Bt-toxiner rapporteras på många arter ”utanför räckvidden”</w:t>
      </w:r>
      <w:r w:rsidRPr="00F8610D">
        <w:rPr>
          <w:rStyle w:val="FootnoteReference"/>
        </w:rPr>
        <w:footnoteReference w:id="9"/>
      </w:r>
      <w:r w:rsidRPr="00F8610D">
        <w:t>.</w:t>
      </w:r>
    </w:p>
    <w:p w14:paraId="4FE77CF0" w14:textId="77777777" w:rsidR="00D13DAD" w:rsidRPr="00F8610D" w:rsidRDefault="00D13DAD" w:rsidP="00D13DAD">
      <w:pPr>
        <w:pStyle w:val="NormalHanging12a"/>
        <w:rPr>
          <w:b/>
          <w:i/>
        </w:rPr>
      </w:pPr>
      <w:r w:rsidRPr="00F8610D">
        <w:rPr>
          <w:b/>
          <w:i/>
        </w:rPr>
        <w:t>Medlemsstaternas synpunkter</w:t>
      </w:r>
    </w:p>
    <w:p w14:paraId="7EB0F3F3" w14:textId="77777777" w:rsidR="00D13DAD" w:rsidRPr="00F8610D" w:rsidRDefault="00D13DAD" w:rsidP="00D13DAD">
      <w:pPr>
        <w:pStyle w:val="NormalHanging12a"/>
      </w:pPr>
      <w:r w:rsidRPr="00F8610D">
        <w:t>G.</w:t>
      </w:r>
      <w:r w:rsidRPr="00F8610D">
        <w:tab/>
        <w:t>Medlemsstaterna lämnade många kritiska synpunkter till Efsa under den tre månader långa samrådsperioden</w:t>
      </w:r>
      <w:r w:rsidRPr="00F8610D">
        <w:rPr>
          <w:rStyle w:val="FootnoteReference"/>
        </w:rPr>
        <w:footnoteReference w:id="10"/>
      </w:r>
      <w:r w:rsidRPr="00F8610D">
        <w:t>, bland annat att uppgifterna om sammansättningen av den genetiskt modifierade majsen bör kontrolleras och analyseras på nytt och att analysen bör uppfylla Efsas nuvarande krav, bland annat likvärdighetstester, och att litteraturöversikten inte innehöll studier om Cry1Ab:s omvandling, spridning och fördelning i miljön eller om potentiella effekter av rester av Bt-grödor på icke</w:t>
      </w:r>
      <w:r w:rsidRPr="00F8610D">
        <w:noBreakHyphen/>
        <w:t xml:space="preserve">målorganismer, vilket är problematiskt eftersom publikationer visar att en överföring från genetiskt modifierat majsfoder till gödsel kan leda till att markorganismer exponeras för Cry1Ab och att detta kan ge upphov till negativa effekter på markorganismer med konsekvenser för biologisk mångfald och ekosystemtjänster. </w:t>
      </w:r>
    </w:p>
    <w:p w14:paraId="658BBFA4" w14:textId="77777777" w:rsidR="00D13DAD" w:rsidRPr="00F8610D" w:rsidRDefault="00D13DAD" w:rsidP="00D13DAD">
      <w:pPr>
        <w:pStyle w:val="NormalHanging12a"/>
      </w:pPr>
      <w:r w:rsidRPr="00F8610D">
        <w:t>H.</w:t>
      </w:r>
      <w:r w:rsidRPr="00F8610D">
        <w:tab/>
        <w:t>I förordning (EG) nr 1829/2003 fastställs det att genetiskt modifierade livsmedel eller foder inte får ha negativa effekter på människors eller djurs hälsa eller på miljön och att kommissionen vid utarbetandet av sitt beslut ska ta hänsyn till alla relevanta bestämmelser i unionsrätten och andra berättigade faktorer som har betydelse för den aktuella frågan. Sådana legitima faktorer bör inbegripa unionens åtaganden enligt FN:s mål för hållbar utveckling och FN:s konvention om biologisk mångfald.</w:t>
      </w:r>
    </w:p>
    <w:p w14:paraId="3D43D4EA" w14:textId="77777777" w:rsidR="00D13DAD" w:rsidRPr="00F8610D" w:rsidRDefault="00D13DAD" w:rsidP="00D13DAD">
      <w:pPr>
        <w:pStyle w:val="NormalHanging12a"/>
        <w:rPr>
          <w:b/>
          <w:i/>
        </w:rPr>
      </w:pPr>
      <w:r w:rsidRPr="00F8610D">
        <w:rPr>
          <w:b/>
          <w:i/>
        </w:rPr>
        <w:t>Minskat beroende av importerat foder</w:t>
      </w:r>
    </w:p>
    <w:p w14:paraId="6E4BE2C8" w14:textId="77777777" w:rsidR="00D13DAD" w:rsidRPr="00F8610D" w:rsidRDefault="00D13DAD" w:rsidP="00D13DAD">
      <w:pPr>
        <w:pStyle w:val="NormalHanging12a"/>
      </w:pPr>
      <w:r w:rsidRPr="00F8610D">
        <w:lastRenderedPageBreak/>
        <w:t>I.</w:t>
      </w:r>
      <w:r w:rsidRPr="00F8610D">
        <w:tab/>
        <w:t>En av lärdomarna från covid-19-krisen och det pågående kriget i Ukraina är att unionen behöver bli oberoende när det gäller vissa kritiska material. I uppdragsbeskrivningen för den nominerade kommissionsledamoten Christophe Hansen uppmanar kommissionens ordförande Ursula von der Leyen honom att undersöka olika sätt att minska importen av kritiska råvaror</w:t>
      </w:r>
      <w:r w:rsidRPr="00F8610D">
        <w:rPr>
          <w:rStyle w:val="FootnoteReference"/>
        </w:rPr>
        <w:footnoteReference w:id="11"/>
      </w:r>
      <w:r w:rsidRPr="00F8610D">
        <w:t xml:space="preserve">. </w:t>
      </w:r>
    </w:p>
    <w:p w14:paraId="70480153" w14:textId="77777777" w:rsidR="00D13DAD" w:rsidRPr="00F8610D" w:rsidRDefault="00D13DAD" w:rsidP="00D13DAD">
      <w:pPr>
        <w:pStyle w:val="NormalHanging12a"/>
        <w:rPr>
          <w:b/>
          <w:i/>
        </w:rPr>
      </w:pPr>
      <w:r w:rsidRPr="00F8610D">
        <w:rPr>
          <w:b/>
          <w:i/>
        </w:rPr>
        <w:t>Odemokratisk beslutsprocess</w:t>
      </w:r>
    </w:p>
    <w:p w14:paraId="1567B1EF" w14:textId="5F493228" w:rsidR="00D13DAD" w:rsidRPr="00F8610D" w:rsidRDefault="00D13DAD" w:rsidP="00D13DAD">
      <w:pPr>
        <w:pStyle w:val="NormalHanging12a"/>
        <w:rPr>
          <w:b/>
          <w:i/>
        </w:rPr>
      </w:pPr>
      <w:r w:rsidRPr="00F8610D">
        <w:t>J.</w:t>
      </w:r>
      <w:r w:rsidRPr="00F8610D">
        <w:tab/>
      </w:r>
      <w:r w:rsidRPr="00F8610D">
        <w:rPr>
          <w:shd w:val="clear" w:color="auto" w:fill="FFFFFF"/>
        </w:rPr>
        <w:t>Vid omröstningen den 26 april 2024 i ständiga kommittén för växter, djur, livsmedel och foder som avses i artikel 35 i förordning (EG) nr </w:t>
      </w:r>
      <w:r w:rsidR="00544827">
        <w:rPr>
          <w:shd w:val="clear" w:color="auto" w:fill="FFFFFF"/>
        </w:rPr>
        <w:t>1</w:t>
      </w:r>
      <w:bookmarkStart w:id="7" w:name="_GoBack"/>
      <w:bookmarkEnd w:id="7"/>
      <w:r w:rsidRPr="00F8610D">
        <w:rPr>
          <w:shd w:val="clear" w:color="auto" w:fill="FFFFFF"/>
        </w:rPr>
        <w:t>829/2003 avgavs inget yttrande, vilket innebär att godkännandet inte stöddes av en kvalificerad majoritet av medlemsstaterna. Vid omröstningen den 29 maj 2024 i omprövningskommittén avgavs inte heller något yttrande.</w:t>
      </w:r>
    </w:p>
    <w:p w14:paraId="4621DD23" w14:textId="77777777" w:rsidR="00D13DAD" w:rsidRPr="00F8610D" w:rsidRDefault="00D13DAD" w:rsidP="00D13DAD">
      <w:pPr>
        <w:pStyle w:val="NormalHanging12a"/>
        <w:keepNext/>
        <w:keepLines/>
        <w:widowControl/>
      </w:pPr>
      <w:r w:rsidRPr="00F8610D">
        <w:t>K.</w:t>
      </w:r>
      <w:r w:rsidRPr="00F8610D">
        <w:tab/>
        <w:t>Under den åttonde valperioden antog Europaparlamentet sammanlagt 36 resolutioner med invändningar mot utsläppande på marknaden av genetiskt modifierade organismer för livsmedel och foder (33 resolutioner) och mot odling av genetiskt modifierade organismer i unionen (tre resolutioner). Under den nionde valperioden antog parlamentet 38 invändningar mot utsläppande på marknaden av genetiskt modifierade organismer.</w:t>
      </w:r>
    </w:p>
    <w:p w14:paraId="1C2D7437" w14:textId="77777777" w:rsidR="00D13DAD" w:rsidRPr="00F8610D" w:rsidRDefault="00D13DAD" w:rsidP="00D13DAD">
      <w:pPr>
        <w:pStyle w:val="NormalHanging12a"/>
        <w:keepNext/>
        <w:keepLines/>
        <w:widowControl/>
      </w:pPr>
      <w:r w:rsidRPr="00F8610D">
        <w:t>L.</w:t>
      </w:r>
      <w:r w:rsidRPr="00F8610D">
        <w:tab/>
        <w:t>Trots att kommissionen själv erkänner de demokratiska bristerna, och trots det bristande stödet från medlemsstaterna och parlamentets invändningar, fortsätter kommissionen att godkänna genetiskt modifierade organismer.</w:t>
      </w:r>
    </w:p>
    <w:p w14:paraId="16D0160F" w14:textId="77777777" w:rsidR="00D13DAD" w:rsidRPr="00F8610D" w:rsidRDefault="00D13DAD" w:rsidP="00D13DAD">
      <w:pPr>
        <w:pStyle w:val="NormalHanging12a"/>
      </w:pPr>
      <w:r w:rsidRPr="00F8610D">
        <w:t>M.</w:t>
      </w:r>
      <w:r w:rsidRPr="00F8610D">
        <w:tab/>
        <w:t>Det krävs ingen ändring av lagstiftningen för att kommissionen ska kunna avstå från att godkänna genetiskt modifierade organismer när det inte finns stöd av en kvalificerad majoritet av medlemsstaterna i omprövningskommittén</w:t>
      </w:r>
      <w:r w:rsidRPr="00F8610D">
        <w:rPr>
          <w:rStyle w:val="FootnoteReference"/>
        </w:rPr>
        <w:footnoteReference w:id="12"/>
      </w:r>
      <w:r w:rsidRPr="00F8610D">
        <w:t>.</w:t>
      </w:r>
    </w:p>
    <w:p w14:paraId="47EAFA24" w14:textId="77777777" w:rsidR="00D13DAD" w:rsidRPr="00F8610D" w:rsidRDefault="00D13DAD" w:rsidP="00D13DAD">
      <w:pPr>
        <w:pStyle w:val="NormalHanging12a"/>
      </w:pPr>
      <w:r w:rsidRPr="00F8610D">
        <w:t>N.</w:t>
      </w:r>
      <w:r w:rsidRPr="00F8610D">
        <w:tab/>
        <w:t>Den 2 juli 2024 förnyade kommissionen godkännandet för utsläppande på marknaden av den genetiskt modifierade majsen.</w:t>
      </w:r>
    </w:p>
    <w:p w14:paraId="1C8B15DD" w14:textId="77777777" w:rsidR="00D13DAD" w:rsidRPr="00F8610D" w:rsidRDefault="00D13DAD" w:rsidP="00D13DAD">
      <w:pPr>
        <w:pStyle w:val="NormalHanging12a"/>
      </w:pPr>
      <w:r w:rsidRPr="00F8610D">
        <w:t>1.</w:t>
      </w:r>
      <w:r w:rsidRPr="00F8610D">
        <w:tab/>
        <w:t>Europaparlamentet anser att genomförandebeslut (EU) 2024/1828 överskrider de genomförandebefogenheter som fastställs i förordning (EG) nr 1829/2003.</w:t>
      </w:r>
    </w:p>
    <w:p w14:paraId="1ED29083" w14:textId="77777777" w:rsidR="00D13DAD" w:rsidRPr="00F8610D" w:rsidRDefault="00D13DAD" w:rsidP="00D13DAD">
      <w:pPr>
        <w:pStyle w:val="NormalHanging12a"/>
      </w:pPr>
      <w:r w:rsidRPr="00F8610D">
        <w:t>2.</w:t>
      </w:r>
      <w:r w:rsidRPr="00F8610D">
        <w:tab/>
        <w:t>Europaparlamentet anser att genomförandebeslut (EU) 2024/1828 inte överensstämmer med unionsrätten, eftersom det inte är förenligt med målet i förordning (EG) nr 1829/2003, nämligen att, i enlighet med de allmänna principerna i Europaparlamentets och rådets förordning (EG) nr 178/2002</w:t>
      </w:r>
      <w:r w:rsidRPr="00F8610D">
        <w:rPr>
          <w:rStyle w:val="FootnoteReference"/>
        </w:rPr>
        <w:footnoteReference w:id="13"/>
      </w:r>
      <w:r w:rsidRPr="00F8610D">
        <w:t xml:space="preserve">, skapa en grund för att säkerställa ett gott skydd för människors liv och hälsa, djurs hälsa och välbefinnande samt miljö- och konsumentintressena med avseende på genetiskt modifierade livsmedel </w:t>
      </w:r>
      <w:r w:rsidRPr="00F8610D">
        <w:lastRenderedPageBreak/>
        <w:t>och foder, och att samtidigt sörja för att den inre marknaden fungerar effektivt.</w:t>
      </w:r>
    </w:p>
    <w:p w14:paraId="0EFEA12C" w14:textId="77777777" w:rsidR="00D13DAD" w:rsidRPr="00F8610D" w:rsidRDefault="00D13DAD" w:rsidP="00D13DAD">
      <w:pPr>
        <w:pStyle w:val="NormalHanging12a"/>
      </w:pPr>
      <w:r w:rsidRPr="00F8610D">
        <w:t>3.</w:t>
      </w:r>
      <w:r w:rsidRPr="00F8610D">
        <w:tab/>
        <w:t>Europaparlamentet uppmanar kommissionen att upphäva sitt genomförandebeslut (EU) 2024/1828.</w:t>
      </w:r>
    </w:p>
    <w:p w14:paraId="5979D592" w14:textId="77777777" w:rsidR="00D13DAD" w:rsidRPr="00F8610D" w:rsidRDefault="00D13DAD" w:rsidP="00D13DAD">
      <w:pPr>
        <w:pStyle w:val="NormalHanging12a"/>
      </w:pPr>
      <w:r w:rsidRPr="00F8610D">
        <w:t>4.</w:t>
      </w:r>
      <w:r w:rsidRPr="00F8610D">
        <w:tab/>
        <w:t>Europaparlamentet välkomnar att kommissionen i en skrivelse av den 11 september 2020 till ledamöterna slutligen erkände nödvändigheten av att ta hänsyn till hållbarhet när det gäller beslut om godkännande av genetiskt modifierade organismer</w:t>
      </w:r>
      <w:r w:rsidRPr="00F8610D">
        <w:rPr>
          <w:rStyle w:val="FootnoteReference"/>
        </w:rPr>
        <w:footnoteReference w:id="14"/>
      </w:r>
      <w:r w:rsidRPr="00F8610D">
        <w:t>. Parlamentet uttrycker dock sin djupa besvikelse över att kommissionen sedan dess har fortsatt att godkänna genetiskt modifierade organismer för import till unionen, trots att parlamentet har fortsatt med sina invändningar och en majoritet av medlemsstaterna har röstat emot det.</w:t>
      </w:r>
    </w:p>
    <w:p w14:paraId="320331E8" w14:textId="77777777" w:rsidR="00D13DAD" w:rsidRPr="00F8610D" w:rsidRDefault="00D13DAD" w:rsidP="00D13DAD">
      <w:pPr>
        <w:pStyle w:val="NormalHanging12a"/>
        <w:keepNext/>
        <w:keepLines/>
        <w:widowControl/>
      </w:pPr>
      <w:r w:rsidRPr="00F8610D">
        <w:t>5.</w:t>
      </w:r>
      <w:r w:rsidRPr="00F8610D">
        <w:tab/>
        <w:t>Europaparlamentet uppmanar än en gång med eftertryck kommissionen att beakta unionens skyldigheter enligt internationella avtal, såsom Parisavtalet om klimatförändringar, FN:s konvention om biologisk mångfald och FN:s mål för hållbar utveckling. Parlamentet upprepar sin begäran om att utkasten till genomförandeakter ska åtföljas av en motivering som förklarar hur de upprätthåller principen om att ”inte vålla skada”</w:t>
      </w:r>
      <w:r w:rsidRPr="00F8610D">
        <w:rPr>
          <w:rStyle w:val="FootnoteReference"/>
        </w:rPr>
        <w:footnoteReference w:id="15"/>
      </w:r>
      <w:r w:rsidRPr="00F8610D">
        <w:t xml:space="preserve">. </w:t>
      </w:r>
    </w:p>
    <w:p w14:paraId="3F9E7263" w14:textId="77777777" w:rsidR="00F8610D" w:rsidRPr="00F8610D" w:rsidRDefault="00D13DAD" w:rsidP="00F8610D">
      <w:pPr>
        <w:pStyle w:val="NormalHanging12a"/>
        <w:keepNext/>
        <w:keepLines/>
        <w:widowControl/>
      </w:pPr>
      <w:r w:rsidRPr="00F8610D">
        <w:t>6.</w:t>
      </w:r>
      <w:r w:rsidRPr="00F8610D">
        <w:tab/>
        <w:t>Europaparlamentet uppdrar åt talmannen att översända denna resolution till rådet och kommissionen samt till medlemsstaternas regeringar och parlament.</w:t>
      </w:r>
    </w:p>
    <w:p w14:paraId="3C972964" w14:textId="77777777" w:rsidR="00E365E1" w:rsidRPr="00F8610D" w:rsidRDefault="00E365E1" w:rsidP="009B016F"/>
    <w:sectPr w:rsidR="00E365E1" w:rsidRPr="00F8610D" w:rsidSect="00F8610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E9684B" w14:textId="77777777" w:rsidR="009B016F" w:rsidRPr="00F8610D" w:rsidRDefault="009B016F">
      <w:r w:rsidRPr="00F8610D">
        <w:separator/>
      </w:r>
    </w:p>
  </w:endnote>
  <w:endnote w:type="continuationSeparator" w:id="0">
    <w:p w14:paraId="31D505B5" w14:textId="77777777" w:rsidR="009B016F" w:rsidRPr="00F8610D" w:rsidRDefault="009B016F">
      <w:r w:rsidRPr="00F861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0EC35" w14:textId="77777777" w:rsidR="00064002" w:rsidRPr="00F8610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30BC0" w14:textId="77777777" w:rsidR="00064002" w:rsidRPr="00F8610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8CE19" w14:textId="77777777" w:rsidR="00064002" w:rsidRPr="00F861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610E60" w14:textId="77777777" w:rsidR="009B016F" w:rsidRPr="00F8610D" w:rsidRDefault="009B016F">
      <w:r w:rsidRPr="00F8610D">
        <w:separator/>
      </w:r>
    </w:p>
  </w:footnote>
  <w:footnote w:type="continuationSeparator" w:id="0">
    <w:p w14:paraId="351C7326" w14:textId="77777777" w:rsidR="009B016F" w:rsidRPr="00F8610D" w:rsidRDefault="009B016F">
      <w:r w:rsidRPr="00F8610D">
        <w:continuationSeparator/>
      </w:r>
    </w:p>
  </w:footnote>
  <w:footnote w:id="1">
    <w:p w14:paraId="4EAF056B" w14:textId="77777777" w:rsidR="00D13DAD" w:rsidRPr="005827F0" w:rsidRDefault="00D13DAD" w:rsidP="00F8610D">
      <w:pPr>
        <w:pStyle w:val="FootnoteText"/>
        <w:ind w:left="567" w:hanging="567"/>
        <w:rPr>
          <w:sz w:val="24"/>
          <w:szCs w:val="24"/>
          <w:lang w:val="fi-FI"/>
        </w:rPr>
      </w:pPr>
      <w:r w:rsidRPr="005827F0">
        <w:rPr>
          <w:rStyle w:val="FootnoteReference"/>
          <w:sz w:val="24"/>
          <w:szCs w:val="24"/>
          <w:lang w:val="sv-SE"/>
        </w:rPr>
        <w:footnoteRef/>
      </w:r>
      <w:r w:rsidR="00F8610D" w:rsidRPr="005827F0">
        <w:rPr>
          <w:sz w:val="24"/>
          <w:szCs w:val="24"/>
          <w:lang w:val="fi-FI"/>
        </w:rPr>
        <w:t xml:space="preserve"> </w:t>
      </w:r>
      <w:r w:rsidR="00F8610D" w:rsidRPr="005827F0">
        <w:rPr>
          <w:sz w:val="24"/>
          <w:szCs w:val="24"/>
          <w:lang w:val="fi-FI"/>
        </w:rPr>
        <w:tab/>
      </w:r>
      <w:r w:rsidRPr="005827F0">
        <w:rPr>
          <w:sz w:val="24"/>
          <w:szCs w:val="24"/>
          <w:lang w:val="fi-FI"/>
        </w:rPr>
        <w:t xml:space="preserve">EUT L, 2024/1828, 4.7.2024, ELI: </w:t>
      </w:r>
      <w:hyperlink r:id="rId1" w:tooltip="Ger tillgång till detta dokument via dess ELI URI." w:history="1">
        <w:r w:rsidRPr="005827F0">
          <w:rPr>
            <w:rStyle w:val="Hyperlink"/>
            <w:color w:val="337AB7"/>
            <w:sz w:val="24"/>
            <w:szCs w:val="24"/>
            <w:shd w:val="clear" w:color="auto" w:fill="FFFFFF"/>
            <w:lang w:val="fi-FI"/>
          </w:rPr>
          <w:t>http://data.europa.eu/eli/dec_impl/2024/1828/oj</w:t>
        </w:r>
      </w:hyperlink>
      <w:r w:rsidRPr="005827F0">
        <w:rPr>
          <w:sz w:val="24"/>
          <w:szCs w:val="24"/>
          <w:lang w:val="fi-FI"/>
        </w:rPr>
        <w:t>.</w:t>
      </w:r>
    </w:p>
  </w:footnote>
  <w:footnote w:id="2">
    <w:p w14:paraId="2B6FBC7A" w14:textId="77777777" w:rsidR="00D13DAD" w:rsidRPr="005827F0" w:rsidRDefault="00D13DAD" w:rsidP="00F8610D">
      <w:pPr>
        <w:pStyle w:val="FootnoteText"/>
        <w:ind w:left="567" w:hanging="567"/>
        <w:rPr>
          <w:sz w:val="24"/>
          <w:szCs w:val="24"/>
          <w:lang w:val="fi-FI"/>
        </w:rPr>
      </w:pPr>
      <w:r w:rsidRPr="005827F0">
        <w:rPr>
          <w:rStyle w:val="FootnoteReference"/>
          <w:sz w:val="24"/>
          <w:szCs w:val="24"/>
          <w:lang w:val="sv-SE"/>
        </w:rPr>
        <w:footnoteRef/>
      </w:r>
      <w:r w:rsidR="00F8610D" w:rsidRPr="005827F0">
        <w:rPr>
          <w:sz w:val="24"/>
          <w:szCs w:val="24"/>
          <w:lang w:val="fi-FI"/>
        </w:rPr>
        <w:t xml:space="preserve"> </w:t>
      </w:r>
      <w:r w:rsidR="00F8610D" w:rsidRPr="005827F0">
        <w:rPr>
          <w:sz w:val="24"/>
          <w:szCs w:val="24"/>
          <w:lang w:val="fi-FI"/>
        </w:rPr>
        <w:tab/>
      </w:r>
      <w:r w:rsidRPr="005827F0">
        <w:rPr>
          <w:sz w:val="24"/>
          <w:szCs w:val="24"/>
          <w:lang w:val="fi-FI"/>
        </w:rPr>
        <w:t xml:space="preserve">EUT L 268, 18.10.2003, s. 1, ELI: </w:t>
      </w:r>
      <w:hyperlink r:id="rId2" w:tooltip="Ger tillgång till detta dokument via dess ELI URI." w:history="1">
        <w:r w:rsidRPr="005827F0">
          <w:rPr>
            <w:rStyle w:val="Hyperlink"/>
            <w:color w:val="337AB7"/>
            <w:sz w:val="24"/>
            <w:szCs w:val="24"/>
            <w:shd w:val="clear" w:color="auto" w:fill="FFFFFF"/>
            <w:lang w:val="fi-FI"/>
          </w:rPr>
          <w:t>http://data.europa.eu/eli/reg/2003/1829/oj</w:t>
        </w:r>
      </w:hyperlink>
      <w:r w:rsidRPr="005827F0">
        <w:rPr>
          <w:sz w:val="24"/>
          <w:szCs w:val="24"/>
          <w:lang w:val="fi-FI"/>
        </w:rPr>
        <w:t>.</w:t>
      </w:r>
    </w:p>
  </w:footnote>
  <w:footnote w:id="3">
    <w:p w14:paraId="789E6FA8" w14:textId="77777777" w:rsidR="00D13DAD" w:rsidRPr="005827F0" w:rsidRDefault="00D13DAD" w:rsidP="00F8610D">
      <w:pPr>
        <w:pStyle w:val="FootnoteText"/>
        <w:ind w:left="567" w:hanging="567"/>
        <w:rPr>
          <w:sz w:val="24"/>
          <w:szCs w:val="24"/>
          <w:lang w:val="fi-FI"/>
        </w:rPr>
      </w:pPr>
      <w:r w:rsidRPr="005827F0">
        <w:rPr>
          <w:rStyle w:val="FootnoteReference"/>
          <w:sz w:val="24"/>
          <w:szCs w:val="24"/>
          <w:lang w:val="sv-SE"/>
        </w:rPr>
        <w:footnoteRef/>
      </w:r>
      <w:r w:rsidR="00F8610D" w:rsidRPr="005827F0">
        <w:rPr>
          <w:sz w:val="24"/>
          <w:szCs w:val="24"/>
          <w:lang w:val="fi-FI"/>
        </w:rPr>
        <w:t xml:space="preserve"> </w:t>
      </w:r>
      <w:r w:rsidR="00F8610D" w:rsidRPr="005827F0">
        <w:rPr>
          <w:sz w:val="24"/>
          <w:szCs w:val="24"/>
          <w:lang w:val="fi-FI"/>
        </w:rPr>
        <w:tab/>
      </w:r>
      <w:r w:rsidRPr="005827F0">
        <w:rPr>
          <w:sz w:val="24"/>
          <w:szCs w:val="24"/>
          <w:lang w:val="fi-FI"/>
        </w:rPr>
        <w:t xml:space="preserve">EUT L 55, 28.2.2011, s. 13, ELI: </w:t>
      </w:r>
      <w:hyperlink r:id="rId3" w:tooltip="Ger tillgång till detta dokument via dess ELI URI." w:history="1">
        <w:r w:rsidRPr="005827F0">
          <w:rPr>
            <w:rStyle w:val="Hyperlink"/>
            <w:color w:val="337AB7"/>
            <w:sz w:val="24"/>
            <w:szCs w:val="24"/>
            <w:shd w:val="clear" w:color="auto" w:fill="FFFFFF"/>
            <w:lang w:val="fi-FI"/>
          </w:rPr>
          <w:t>http://data.europa.eu/eli/reg/2011/182/oj</w:t>
        </w:r>
      </w:hyperlink>
      <w:r w:rsidRPr="005827F0">
        <w:rPr>
          <w:sz w:val="24"/>
          <w:szCs w:val="24"/>
          <w:lang w:val="fi-FI"/>
        </w:rPr>
        <w:t>.</w:t>
      </w:r>
    </w:p>
  </w:footnote>
  <w:footnote w:id="4">
    <w:p w14:paraId="712E69FA" w14:textId="0605F735" w:rsidR="00D13DAD" w:rsidRPr="005827F0" w:rsidRDefault="00D13DAD" w:rsidP="00F8610D">
      <w:pPr>
        <w:pStyle w:val="FootnoteText"/>
        <w:ind w:left="567" w:hanging="567"/>
        <w:rPr>
          <w:sz w:val="24"/>
          <w:szCs w:val="24"/>
          <w:lang w:val="sv-SE"/>
        </w:rPr>
      </w:pPr>
      <w:r w:rsidRPr="005827F0">
        <w:rPr>
          <w:rStyle w:val="FootnoteReference"/>
          <w:sz w:val="24"/>
          <w:szCs w:val="24"/>
          <w:lang w:val="sv-SE"/>
        </w:rPr>
        <w:footnoteRef/>
      </w:r>
      <w:r w:rsidR="00F8610D" w:rsidRPr="005827F0">
        <w:rPr>
          <w:sz w:val="24"/>
          <w:szCs w:val="24"/>
          <w:lang w:val="sv-SE"/>
        </w:rPr>
        <w:t xml:space="preserve"> </w:t>
      </w:r>
      <w:r w:rsidR="00F8610D" w:rsidRPr="005827F0">
        <w:rPr>
          <w:sz w:val="24"/>
          <w:szCs w:val="24"/>
          <w:lang w:val="sv-SE"/>
        </w:rPr>
        <w:tab/>
      </w:r>
      <w:r w:rsidRPr="005827F0">
        <w:rPr>
          <w:sz w:val="24"/>
          <w:szCs w:val="24"/>
          <w:lang w:val="sv-SE"/>
        </w:rPr>
        <w:t xml:space="preserve">Vetenskapligt yttrande från Efsas panel för genetiskt modifierade organismer över bedömningen av den genetiskt modifierade majsen MON 810 för förlängt godkännande enligt förordning (EG) nr 1829/2003 (ärende GMFF-2022-9450), EFSA Journal, 2024, 22(1):8489, </w:t>
      </w:r>
      <w:hyperlink r:id="rId4" w:history="1">
        <w:r w:rsidR="00202E8A" w:rsidRPr="005827F0">
          <w:rPr>
            <w:rStyle w:val="Hyperlink"/>
            <w:sz w:val="24"/>
            <w:szCs w:val="24"/>
            <w:lang w:val="sv-SE"/>
          </w:rPr>
          <w:t>https://doi.org/10.2903/j.efsa.2024.8489</w:t>
        </w:r>
      </w:hyperlink>
      <w:r w:rsidR="00202E8A" w:rsidRPr="005827F0">
        <w:rPr>
          <w:rStyle w:val="Hyperlink"/>
          <w:sz w:val="24"/>
          <w:szCs w:val="24"/>
          <w:lang w:val="sv-SE"/>
        </w:rPr>
        <w:t>.</w:t>
      </w:r>
    </w:p>
  </w:footnote>
  <w:footnote w:id="5">
    <w:p w14:paraId="1CA49608" w14:textId="77777777" w:rsidR="00D13DAD" w:rsidRPr="005827F0" w:rsidRDefault="00D13DAD" w:rsidP="00F8610D">
      <w:pPr>
        <w:pStyle w:val="FootnoteText"/>
        <w:ind w:left="567" w:hanging="567"/>
        <w:rPr>
          <w:sz w:val="24"/>
          <w:szCs w:val="24"/>
          <w:lang w:val="sv-SE"/>
        </w:rPr>
      </w:pPr>
      <w:r w:rsidRPr="005827F0">
        <w:rPr>
          <w:rStyle w:val="FootnoteReference"/>
          <w:sz w:val="24"/>
          <w:szCs w:val="24"/>
          <w:lang w:val="sv-SE"/>
        </w:rPr>
        <w:footnoteRef/>
      </w:r>
      <w:r w:rsidR="00F8610D" w:rsidRPr="005827F0">
        <w:rPr>
          <w:color w:val="000000" w:themeColor="text1"/>
          <w:sz w:val="24"/>
          <w:szCs w:val="24"/>
          <w:lang w:val="sv-SE"/>
        </w:rPr>
        <w:t xml:space="preserve"> </w:t>
      </w:r>
      <w:r w:rsidR="00F8610D" w:rsidRPr="005827F0">
        <w:rPr>
          <w:color w:val="000000" w:themeColor="text1"/>
          <w:sz w:val="24"/>
          <w:szCs w:val="24"/>
          <w:lang w:val="sv-SE"/>
        </w:rPr>
        <w:tab/>
      </w:r>
      <w:r w:rsidRPr="005827F0">
        <w:rPr>
          <w:color w:val="000000" w:themeColor="text1"/>
          <w:sz w:val="24"/>
          <w:szCs w:val="24"/>
          <w:lang w:val="sv-SE"/>
        </w:rPr>
        <w:t xml:space="preserve">Under sin åttonde valperiod antog parlamentet 36 resolutioner och under sin nionde valperiod 38 resolutioner med invändningar mot godkännandet av genetiskt modifierade organismer. </w:t>
      </w:r>
    </w:p>
  </w:footnote>
  <w:footnote w:id="6">
    <w:p w14:paraId="711C6E45" w14:textId="77777777" w:rsidR="00D13DAD" w:rsidRPr="005827F0" w:rsidRDefault="00D13DAD" w:rsidP="00F8610D">
      <w:pPr>
        <w:pStyle w:val="FootnoteText"/>
        <w:ind w:left="567" w:hanging="567"/>
        <w:rPr>
          <w:sz w:val="24"/>
          <w:szCs w:val="24"/>
          <w:lang w:val="sv-SE"/>
        </w:rPr>
      </w:pPr>
      <w:r w:rsidRPr="005827F0">
        <w:rPr>
          <w:rStyle w:val="FootnoteReference"/>
          <w:sz w:val="24"/>
          <w:szCs w:val="24"/>
          <w:lang w:val="sv-SE"/>
        </w:rPr>
        <w:footnoteRef/>
      </w:r>
      <w:r w:rsidR="00F8610D" w:rsidRPr="005827F0">
        <w:rPr>
          <w:sz w:val="24"/>
          <w:szCs w:val="24"/>
          <w:lang w:val="sv-SE"/>
        </w:rPr>
        <w:t xml:space="preserve"> </w:t>
      </w:r>
      <w:r w:rsidR="00F8610D" w:rsidRPr="005827F0">
        <w:rPr>
          <w:sz w:val="24"/>
          <w:szCs w:val="24"/>
          <w:lang w:val="sv-SE"/>
        </w:rPr>
        <w:tab/>
      </w:r>
      <w:r w:rsidRPr="005827F0">
        <w:rPr>
          <w:sz w:val="24"/>
          <w:szCs w:val="24"/>
          <w:lang w:val="sv-SE"/>
        </w:rPr>
        <w:t xml:space="preserve">Kommissionens genomförandebeslut 2013/649/EU av den 6 november 2013 om godkännande för utsläppande på marknaden av pollen som har framställts av majs MON 810 (MON-ØØ81Ø-6) i enlighet med Europaparlamentets och rådets förordning (EG) nr 1829/2003 (EUT L 302, 13.11.2013, s. 44, ELI: </w:t>
      </w:r>
      <w:hyperlink r:id="rId5" w:tooltip="Ger tillgång till detta dokument via dess ELI URI." w:history="1">
        <w:r w:rsidRPr="005827F0">
          <w:rPr>
            <w:rStyle w:val="Hyperlink"/>
            <w:color w:val="337AB7"/>
            <w:sz w:val="24"/>
            <w:szCs w:val="24"/>
            <w:shd w:val="clear" w:color="auto" w:fill="FFFFFF"/>
            <w:lang w:val="sv-SE"/>
          </w:rPr>
          <w:t>http://data.europa.eu/eli/dec_impl/2013/649/oj</w:t>
        </w:r>
      </w:hyperlink>
      <w:r w:rsidRPr="005827F0">
        <w:rPr>
          <w:sz w:val="24"/>
          <w:szCs w:val="24"/>
          <w:lang w:val="sv-SE"/>
        </w:rPr>
        <w:t>).</w:t>
      </w:r>
    </w:p>
  </w:footnote>
  <w:footnote w:id="7">
    <w:p w14:paraId="6ABF4433" w14:textId="77777777" w:rsidR="00D13DAD" w:rsidRPr="005827F0" w:rsidRDefault="00D13DAD" w:rsidP="00F8610D">
      <w:pPr>
        <w:pStyle w:val="FootnoteText"/>
        <w:ind w:left="567" w:hanging="567"/>
        <w:rPr>
          <w:sz w:val="24"/>
          <w:szCs w:val="24"/>
          <w:lang w:val="sv-SE"/>
        </w:rPr>
      </w:pPr>
      <w:r w:rsidRPr="005827F0">
        <w:rPr>
          <w:rStyle w:val="FootnoteReference"/>
          <w:sz w:val="24"/>
          <w:szCs w:val="24"/>
          <w:lang w:val="sv-SE"/>
        </w:rPr>
        <w:footnoteRef/>
      </w:r>
      <w:r w:rsidR="00F8610D" w:rsidRPr="005827F0">
        <w:rPr>
          <w:sz w:val="24"/>
          <w:szCs w:val="24"/>
          <w:lang w:val="sv-SE"/>
        </w:rPr>
        <w:t xml:space="preserve"> </w:t>
      </w:r>
      <w:r w:rsidR="00F8610D" w:rsidRPr="005827F0">
        <w:rPr>
          <w:sz w:val="24"/>
          <w:szCs w:val="24"/>
          <w:lang w:val="sv-SE"/>
        </w:rPr>
        <w:tab/>
      </w:r>
      <w:r w:rsidRPr="005827F0">
        <w:rPr>
          <w:sz w:val="24"/>
          <w:szCs w:val="24"/>
          <w:lang w:val="sv-SE"/>
        </w:rPr>
        <w:t xml:space="preserve">Kommissionens genomförandebeslut (EU) 2017/1207 av den 4 juli 2017 om förlängning av godkännandet för utsläppande på marknaden av produkter av genetiskt modifierad majs MON 810 (MON-ØØ81Ø-6) i enlighet med Europaparlamentets och rådets förordning (EG) nr 1829/2003 (EUT L 173, 6.7.2017, s. 18, ELI: </w:t>
      </w:r>
      <w:hyperlink r:id="rId6" w:tooltip="Ger tillgång till detta dokument via dess ELI URI." w:history="1">
        <w:r w:rsidRPr="005827F0">
          <w:rPr>
            <w:rStyle w:val="Hyperlink"/>
            <w:color w:val="337AB7"/>
            <w:sz w:val="24"/>
            <w:szCs w:val="24"/>
            <w:shd w:val="clear" w:color="auto" w:fill="FFFFFF"/>
            <w:lang w:val="sv-SE"/>
          </w:rPr>
          <w:t>http://data.europa.eu/eli/dec_impl/2017/1207/oj</w:t>
        </w:r>
      </w:hyperlink>
      <w:r w:rsidRPr="005827F0">
        <w:rPr>
          <w:sz w:val="24"/>
          <w:szCs w:val="24"/>
          <w:lang w:val="sv-SE"/>
        </w:rPr>
        <w:t>).</w:t>
      </w:r>
    </w:p>
  </w:footnote>
  <w:footnote w:id="8">
    <w:p w14:paraId="46A85189" w14:textId="77777777" w:rsidR="00D13DAD" w:rsidRPr="005827F0" w:rsidRDefault="00D13DAD" w:rsidP="00F8610D">
      <w:pPr>
        <w:pStyle w:val="FootnoteText"/>
        <w:ind w:left="567" w:hanging="567"/>
        <w:rPr>
          <w:sz w:val="24"/>
          <w:szCs w:val="24"/>
          <w:lang w:val="en-GB"/>
        </w:rPr>
      </w:pPr>
      <w:r w:rsidRPr="005827F0">
        <w:rPr>
          <w:rStyle w:val="FootnoteReference"/>
          <w:sz w:val="24"/>
          <w:szCs w:val="24"/>
          <w:lang w:val="sv-SE"/>
        </w:rPr>
        <w:footnoteRef/>
      </w:r>
      <w:r w:rsidR="00F8610D" w:rsidRPr="005827F0">
        <w:rPr>
          <w:sz w:val="24"/>
          <w:szCs w:val="24"/>
          <w:lang w:val="en-GB"/>
        </w:rPr>
        <w:t xml:space="preserve"> </w:t>
      </w:r>
      <w:r w:rsidR="00F8610D" w:rsidRPr="005827F0">
        <w:rPr>
          <w:sz w:val="24"/>
          <w:szCs w:val="24"/>
          <w:lang w:val="en-GB"/>
        </w:rPr>
        <w:tab/>
      </w:r>
      <w:r w:rsidRPr="005827F0">
        <w:rPr>
          <w:sz w:val="24"/>
          <w:szCs w:val="24"/>
          <w:lang w:val="en-GB"/>
        </w:rPr>
        <w:t xml:space="preserve">För en granskning se Rubio-Infante, N., Moreno-Fierros, L., </w:t>
      </w:r>
      <w:r w:rsidRPr="005827F0">
        <w:rPr>
          <w:i/>
          <w:iCs/>
          <w:sz w:val="24"/>
          <w:szCs w:val="24"/>
          <w:lang w:val="en-GB"/>
        </w:rPr>
        <w:t>An overview of the safety and biological effects of Bacillus thuringiensis Cry toxins in mammals</w:t>
      </w:r>
      <w:r w:rsidRPr="005827F0">
        <w:rPr>
          <w:sz w:val="24"/>
          <w:szCs w:val="24"/>
          <w:lang w:val="en-GB"/>
        </w:rPr>
        <w:t>, Journal of Applied Toxicology, maj 2016, 36</w:t>
      </w:r>
      <w:proofErr w:type="gramStart"/>
      <w:r w:rsidRPr="005827F0">
        <w:rPr>
          <w:sz w:val="24"/>
          <w:szCs w:val="24"/>
          <w:lang w:val="en-GB"/>
        </w:rPr>
        <w:t>,5</w:t>
      </w:r>
      <w:proofErr w:type="gramEnd"/>
      <w:r w:rsidRPr="005827F0">
        <w:rPr>
          <w:sz w:val="24"/>
          <w:szCs w:val="24"/>
          <w:lang w:val="en-GB"/>
        </w:rPr>
        <w:t xml:space="preserve">, s. 630–648, </w:t>
      </w:r>
      <w:hyperlink r:id="rId7" w:history="1">
        <w:r w:rsidRPr="005827F0">
          <w:rPr>
            <w:rStyle w:val="Hyperlink"/>
            <w:sz w:val="24"/>
            <w:szCs w:val="24"/>
            <w:lang w:val="en-GB"/>
          </w:rPr>
          <w:t>https://onlinelibrary.wiley.com/doi/full/10.1002/jat.3252</w:t>
        </w:r>
      </w:hyperlink>
      <w:r w:rsidRPr="005827F0">
        <w:rPr>
          <w:sz w:val="24"/>
          <w:szCs w:val="24"/>
          <w:lang w:val="en-GB"/>
        </w:rPr>
        <w:t>.</w:t>
      </w:r>
    </w:p>
  </w:footnote>
  <w:footnote w:id="9">
    <w:p w14:paraId="424CDC05" w14:textId="77777777" w:rsidR="00D13DAD" w:rsidRPr="005827F0" w:rsidRDefault="00D13DAD" w:rsidP="00F8610D">
      <w:pPr>
        <w:pStyle w:val="FootnoteText"/>
        <w:ind w:left="567" w:hanging="567"/>
        <w:rPr>
          <w:sz w:val="24"/>
          <w:szCs w:val="24"/>
          <w:lang w:val="en-GB"/>
        </w:rPr>
      </w:pPr>
      <w:r w:rsidRPr="005827F0">
        <w:rPr>
          <w:rStyle w:val="FootnoteReference"/>
          <w:sz w:val="24"/>
          <w:szCs w:val="24"/>
          <w:lang w:val="sv-SE"/>
        </w:rPr>
        <w:footnoteRef/>
      </w:r>
      <w:r w:rsidR="00F8610D" w:rsidRPr="005827F0">
        <w:rPr>
          <w:sz w:val="24"/>
          <w:szCs w:val="24"/>
          <w:lang w:val="en-GB"/>
        </w:rPr>
        <w:t xml:space="preserve"> </w:t>
      </w:r>
      <w:r w:rsidR="00F8610D" w:rsidRPr="005827F0">
        <w:rPr>
          <w:sz w:val="24"/>
          <w:szCs w:val="24"/>
          <w:lang w:val="en-GB"/>
        </w:rPr>
        <w:tab/>
      </w:r>
      <w:r w:rsidRPr="005827F0">
        <w:rPr>
          <w:sz w:val="24"/>
          <w:szCs w:val="24"/>
          <w:lang w:val="en-GB"/>
        </w:rPr>
        <w:t xml:space="preserve">Hilbeck, A., Defarge, N., Lebrecht, T., Bøhn, T., </w:t>
      </w:r>
      <w:r w:rsidRPr="005827F0">
        <w:rPr>
          <w:i/>
          <w:iCs/>
          <w:sz w:val="24"/>
          <w:szCs w:val="24"/>
          <w:lang w:val="en-GB"/>
        </w:rPr>
        <w:t>Insecticidal Bt crops.</w:t>
      </w:r>
      <w:r w:rsidRPr="005827F0">
        <w:rPr>
          <w:sz w:val="24"/>
          <w:szCs w:val="24"/>
          <w:lang w:val="en-GB"/>
        </w:rPr>
        <w:t xml:space="preserve"> </w:t>
      </w:r>
      <w:r w:rsidRPr="005827F0">
        <w:rPr>
          <w:i/>
          <w:iCs/>
          <w:sz w:val="24"/>
          <w:szCs w:val="24"/>
          <w:lang w:val="en-GB"/>
        </w:rPr>
        <w:t>EFSA’s risk assessment approach for GM Bt plants fails by design</w:t>
      </w:r>
      <w:r w:rsidRPr="005827F0">
        <w:rPr>
          <w:sz w:val="24"/>
          <w:szCs w:val="24"/>
          <w:lang w:val="en-GB"/>
        </w:rPr>
        <w:t xml:space="preserve">, RAGES, 2020, s. 4, </w:t>
      </w:r>
      <w:hyperlink r:id="rId8" w:history="1">
        <w:r w:rsidRPr="005827F0">
          <w:rPr>
            <w:rStyle w:val="Hyperlink"/>
            <w:sz w:val="24"/>
            <w:szCs w:val="24"/>
            <w:lang w:val="en-GB"/>
          </w:rPr>
          <w:t>https://www.testbiotech.org/wp-content/uploads/2023/12/RAGES_report-Insecticidal-Bt-plants.pdf</w:t>
        </w:r>
      </w:hyperlink>
      <w:r w:rsidRPr="005827F0">
        <w:rPr>
          <w:rStyle w:val="Hyperlink"/>
          <w:sz w:val="24"/>
          <w:szCs w:val="24"/>
          <w:lang w:val="en-GB"/>
        </w:rPr>
        <w:t xml:space="preserve">; </w:t>
      </w:r>
      <w:r w:rsidRPr="005827F0">
        <w:rPr>
          <w:sz w:val="24"/>
          <w:szCs w:val="24"/>
          <w:lang w:val="en-GB"/>
        </w:rPr>
        <w:t xml:space="preserve">Se t.ex., Hilbeck, A., Otto, M., </w:t>
      </w:r>
      <w:r w:rsidRPr="005827F0">
        <w:rPr>
          <w:i/>
          <w:iCs/>
          <w:sz w:val="24"/>
          <w:szCs w:val="24"/>
          <w:lang w:val="en-GB"/>
        </w:rPr>
        <w:t>Specificity and combinatorial effects of Bacillus thuringiensis Cry toxins in the context of GMO environmental risk assessment</w:t>
      </w:r>
      <w:r w:rsidRPr="005827F0">
        <w:rPr>
          <w:sz w:val="24"/>
          <w:szCs w:val="24"/>
          <w:lang w:val="en-GB"/>
        </w:rPr>
        <w:t xml:space="preserve">, Frontiers in Environmental Science 2015, 3:71, </w:t>
      </w:r>
      <w:hyperlink r:id="rId9" w:history="1">
        <w:r w:rsidRPr="005827F0">
          <w:rPr>
            <w:rStyle w:val="Hyperlink"/>
            <w:sz w:val="24"/>
            <w:szCs w:val="24"/>
            <w:lang w:val="en-GB"/>
          </w:rPr>
          <w:t>https://doi.org/10.3389/fenvs.2015.00071</w:t>
        </w:r>
      </w:hyperlink>
      <w:r w:rsidRPr="005827F0">
        <w:rPr>
          <w:sz w:val="24"/>
          <w:szCs w:val="24"/>
          <w:lang w:val="en-GB"/>
        </w:rPr>
        <w:t>.</w:t>
      </w:r>
    </w:p>
  </w:footnote>
  <w:footnote w:id="10">
    <w:p w14:paraId="19A19132" w14:textId="77777777" w:rsidR="00D13DAD" w:rsidRPr="005827F0" w:rsidRDefault="00D13DAD" w:rsidP="00F8610D">
      <w:pPr>
        <w:pStyle w:val="FootnoteText"/>
        <w:ind w:left="567" w:hanging="567"/>
        <w:rPr>
          <w:sz w:val="24"/>
          <w:szCs w:val="24"/>
          <w:lang w:val="en-GB"/>
        </w:rPr>
      </w:pPr>
      <w:r w:rsidRPr="005827F0">
        <w:rPr>
          <w:rStyle w:val="FootnoteReference"/>
          <w:sz w:val="24"/>
          <w:szCs w:val="24"/>
          <w:lang w:val="sv-SE"/>
        </w:rPr>
        <w:footnoteRef/>
      </w:r>
      <w:r w:rsidR="00F8610D" w:rsidRPr="005827F0">
        <w:rPr>
          <w:sz w:val="24"/>
          <w:szCs w:val="24"/>
          <w:lang w:val="en-GB"/>
        </w:rPr>
        <w:t xml:space="preserve"> </w:t>
      </w:r>
      <w:r w:rsidR="00F8610D" w:rsidRPr="005827F0">
        <w:rPr>
          <w:sz w:val="24"/>
          <w:szCs w:val="24"/>
          <w:lang w:val="en-GB"/>
        </w:rPr>
        <w:tab/>
      </w:r>
      <w:hyperlink r:id="rId10" w:history="1">
        <w:r w:rsidRPr="005827F0">
          <w:rPr>
            <w:rStyle w:val="Hyperlink"/>
            <w:sz w:val="24"/>
            <w:szCs w:val="24"/>
            <w:lang w:val="en-GB"/>
          </w:rPr>
          <w:t>https://efsa.onlinelibrary.wiley.com/action/downloadSupplement?doi=10.2903%‌2Fj.efsa.2024.8489&amp;file=efs28489-sup-0008-Annex_8.pdf</w:t>
        </w:r>
      </w:hyperlink>
      <w:r w:rsidRPr="005827F0">
        <w:rPr>
          <w:rStyle w:val="Hyperlink"/>
          <w:sz w:val="24"/>
          <w:szCs w:val="24"/>
          <w:lang w:val="en-GB"/>
        </w:rPr>
        <w:t>.</w:t>
      </w:r>
    </w:p>
  </w:footnote>
  <w:footnote w:id="11">
    <w:p w14:paraId="0C0738F2" w14:textId="47168EFF" w:rsidR="00D13DAD" w:rsidRPr="005827F0" w:rsidRDefault="00D13DAD" w:rsidP="00F8610D">
      <w:pPr>
        <w:pStyle w:val="FootnoteText"/>
        <w:ind w:left="567" w:hanging="567"/>
        <w:rPr>
          <w:sz w:val="24"/>
          <w:szCs w:val="24"/>
          <w:lang w:val="en-GB"/>
        </w:rPr>
      </w:pPr>
      <w:r w:rsidRPr="005827F0">
        <w:rPr>
          <w:rStyle w:val="FootnoteReference"/>
          <w:sz w:val="24"/>
          <w:szCs w:val="24"/>
          <w:lang w:val="sv-SE"/>
        </w:rPr>
        <w:footnoteRef/>
      </w:r>
      <w:r w:rsidR="00F8610D" w:rsidRPr="005827F0">
        <w:rPr>
          <w:sz w:val="24"/>
          <w:szCs w:val="24"/>
          <w:lang w:val="en-GB"/>
        </w:rPr>
        <w:t xml:space="preserve"> </w:t>
      </w:r>
      <w:r w:rsidR="00F8610D" w:rsidRPr="005827F0">
        <w:rPr>
          <w:sz w:val="24"/>
          <w:szCs w:val="24"/>
          <w:lang w:val="en-GB"/>
        </w:rPr>
        <w:tab/>
      </w:r>
      <w:hyperlink r:id="rId11" w:history="1">
        <w:r w:rsidRPr="005827F0">
          <w:rPr>
            <w:rStyle w:val="Hyperlink"/>
            <w:sz w:val="24"/>
            <w:szCs w:val="24"/>
            <w:lang w:val="en-GB"/>
          </w:rPr>
          <w:t>https://commission.europa.eu/document/2c64e540-c07a-4376-a1da-368d289f4afe_en</w:t>
        </w:r>
      </w:hyperlink>
    </w:p>
  </w:footnote>
  <w:footnote w:id="12">
    <w:p w14:paraId="0C20571C" w14:textId="77777777" w:rsidR="00D13DAD" w:rsidRPr="005827F0" w:rsidRDefault="00D13DAD" w:rsidP="00F8610D">
      <w:pPr>
        <w:pStyle w:val="FootnoteText"/>
        <w:ind w:left="567" w:hanging="567"/>
        <w:rPr>
          <w:sz w:val="24"/>
          <w:szCs w:val="24"/>
          <w:lang w:val="sv-SE"/>
        </w:rPr>
      </w:pPr>
      <w:r w:rsidRPr="005827F0">
        <w:rPr>
          <w:rStyle w:val="FootnoteReference"/>
          <w:sz w:val="24"/>
          <w:szCs w:val="24"/>
          <w:lang w:val="sv-SE"/>
        </w:rPr>
        <w:footnoteRef/>
      </w:r>
      <w:r w:rsidR="00F8610D" w:rsidRPr="005827F0">
        <w:rPr>
          <w:sz w:val="24"/>
          <w:szCs w:val="24"/>
          <w:lang w:val="sv-SE"/>
        </w:rPr>
        <w:t xml:space="preserve"> </w:t>
      </w:r>
      <w:r w:rsidR="00F8610D" w:rsidRPr="005827F0">
        <w:rPr>
          <w:sz w:val="24"/>
          <w:szCs w:val="24"/>
          <w:lang w:val="sv-SE"/>
        </w:rPr>
        <w:tab/>
      </w:r>
      <w:r w:rsidRPr="005827F0">
        <w:rPr>
          <w:sz w:val="24"/>
          <w:szCs w:val="24"/>
          <w:lang w:val="sv-SE"/>
        </w:rPr>
        <w:t>Om det inte finns stöd av en kvalificerad majoritet av medlemsstaterna i omprövningskommittén ”får”, inte ”ska”, kommissionen gå vidare med godkännandet, enligt artikel 6.3 i förordning (EU) nr 182/2011.</w:t>
      </w:r>
    </w:p>
  </w:footnote>
  <w:footnote w:id="13">
    <w:p w14:paraId="4FBA93AE" w14:textId="77777777" w:rsidR="00D13DAD" w:rsidRPr="005827F0" w:rsidRDefault="00D13DAD" w:rsidP="00F8610D">
      <w:pPr>
        <w:pStyle w:val="FootnoteText"/>
        <w:ind w:left="567" w:hanging="567"/>
        <w:rPr>
          <w:sz w:val="24"/>
          <w:szCs w:val="24"/>
          <w:lang w:val="sv-SE"/>
        </w:rPr>
      </w:pPr>
      <w:r w:rsidRPr="005827F0">
        <w:rPr>
          <w:rStyle w:val="FootnoteReference"/>
          <w:sz w:val="24"/>
          <w:szCs w:val="24"/>
          <w:lang w:val="sv-SE"/>
        </w:rPr>
        <w:footnoteRef/>
      </w:r>
      <w:r w:rsidR="00F8610D" w:rsidRPr="005827F0">
        <w:rPr>
          <w:sz w:val="24"/>
          <w:szCs w:val="24"/>
          <w:lang w:val="sv-SE"/>
        </w:rPr>
        <w:t xml:space="preserve"> </w:t>
      </w:r>
      <w:r w:rsidR="00F8610D" w:rsidRPr="005827F0">
        <w:rPr>
          <w:sz w:val="24"/>
          <w:szCs w:val="24"/>
          <w:lang w:val="sv-SE"/>
        </w:rPr>
        <w:tab/>
      </w:r>
      <w:r w:rsidRPr="005827F0">
        <w:rPr>
          <w:sz w:val="24"/>
          <w:szCs w:val="24"/>
          <w:lang w:val="sv-SE"/>
        </w:rPr>
        <w:t xml:space="preserve">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 ELI: </w:t>
      </w:r>
      <w:hyperlink r:id="rId12" w:tooltip="Ger tillgång till detta dokument via dess ELI URI." w:history="1">
        <w:r w:rsidRPr="005827F0">
          <w:rPr>
            <w:rStyle w:val="Hyperlink"/>
            <w:color w:val="337AB7"/>
            <w:sz w:val="24"/>
            <w:szCs w:val="24"/>
            <w:shd w:val="clear" w:color="auto" w:fill="FFFFFF"/>
            <w:lang w:val="sv-SE"/>
          </w:rPr>
          <w:t>http://data.europa.eu/eli/reg/2002/178/oj</w:t>
        </w:r>
      </w:hyperlink>
      <w:r w:rsidRPr="005827F0">
        <w:rPr>
          <w:sz w:val="24"/>
          <w:szCs w:val="24"/>
          <w:lang w:val="sv-SE"/>
        </w:rPr>
        <w:t>).</w:t>
      </w:r>
    </w:p>
  </w:footnote>
  <w:footnote w:id="14">
    <w:p w14:paraId="43C05121" w14:textId="77777777" w:rsidR="00D13DAD" w:rsidRPr="005827F0" w:rsidRDefault="00D13DAD" w:rsidP="00F8610D">
      <w:pPr>
        <w:pStyle w:val="FootnoteText"/>
        <w:ind w:left="567" w:hanging="567"/>
        <w:rPr>
          <w:sz w:val="24"/>
          <w:szCs w:val="24"/>
          <w:lang w:val="sv-SE"/>
        </w:rPr>
      </w:pPr>
      <w:r w:rsidRPr="005827F0">
        <w:rPr>
          <w:rStyle w:val="FootnoteReference"/>
          <w:sz w:val="24"/>
          <w:szCs w:val="24"/>
          <w:lang w:val="sv-SE"/>
        </w:rPr>
        <w:footnoteRef/>
      </w:r>
      <w:r w:rsidR="00F8610D" w:rsidRPr="005827F0">
        <w:rPr>
          <w:sz w:val="24"/>
          <w:szCs w:val="24"/>
          <w:lang w:val="sv-SE"/>
        </w:rPr>
        <w:t xml:space="preserve"> </w:t>
      </w:r>
      <w:r w:rsidR="00F8610D" w:rsidRPr="005827F0">
        <w:rPr>
          <w:sz w:val="24"/>
          <w:szCs w:val="24"/>
          <w:lang w:val="sv-SE"/>
        </w:rPr>
        <w:tab/>
      </w:r>
      <w:hyperlink r:id="rId13" w:history="1">
        <w:r w:rsidRPr="005827F0">
          <w:rPr>
            <w:rStyle w:val="Hyperlink"/>
            <w:sz w:val="24"/>
            <w:szCs w:val="24"/>
            <w:lang w:val="sv-SE"/>
          </w:rPr>
          <w:t>https://tillymetz.lu/wp-content/uploads/2020/09/Co-signed-letter-MEP-Metz.pdf</w:t>
        </w:r>
      </w:hyperlink>
      <w:r w:rsidRPr="005827F0">
        <w:rPr>
          <w:rStyle w:val="Hyperlink"/>
          <w:sz w:val="24"/>
          <w:szCs w:val="24"/>
          <w:lang w:val="sv-SE"/>
        </w:rPr>
        <w:t>.</w:t>
      </w:r>
    </w:p>
  </w:footnote>
  <w:footnote w:id="15">
    <w:p w14:paraId="43F52D70" w14:textId="77777777" w:rsidR="00D13DAD" w:rsidRPr="005827F0" w:rsidRDefault="00D13DAD" w:rsidP="00F8610D">
      <w:pPr>
        <w:pStyle w:val="FootnoteText"/>
        <w:ind w:left="567" w:hanging="567"/>
        <w:rPr>
          <w:sz w:val="24"/>
          <w:szCs w:val="24"/>
          <w:lang w:val="sv-SE"/>
        </w:rPr>
      </w:pPr>
      <w:r w:rsidRPr="005827F0">
        <w:rPr>
          <w:rStyle w:val="FootnoteReference"/>
          <w:sz w:val="24"/>
          <w:szCs w:val="24"/>
          <w:lang w:val="sv-SE"/>
        </w:rPr>
        <w:footnoteRef/>
      </w:r>
      <w:r w:rsidR="00F8610D" w:rsidRPr="005827F0">
        <w:rPr>
          <w:sz w:val="24"/>
          <w:szCs w:val="24"/>
          <w:lang w:val="sv-SE"/>
        </w:rPr>
        <w:t xml:space="preserve"> </w:t>
      </w:r>
      <w:r w:rsidR="00F8610D" w:rsidRPr="005827F0">
        <w:rPr>
          <w:sz w:val="24"/>
          <w:szCs w:val="24"/>
          <w:lang w:val="sv-SE"/>
        </w:rPr>
        <w:tab/>
      </w:r>
      <w:r w:rsidRPr="005827F0">
        <w:rPr>
          <w:sz w:val="24"/>
          <w:szCs w:val="24"/>
          <w:lang w:val="sv-SE"/>
        </w:rPr>
        <w:t>Europaparlamentets resolution av den 15 januari 2020 om den europeiska gröna given (EUT C 270, 7.7.2021, s.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68F20" w14:textId="77777777" w:rsidR="00064002" w:rsidRPr="00F8610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87306" w14:textId="77777777" w:rsidR="00064002" w:rsidRPr="00F8610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9805C" w14:textId="77777777" w:rsidR="00064002" w:rsidRPr="00F861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4"/>
    <w:docVar w:name="dvlangue" w:val="SV"/>
    <w:docVar w:name="dvnumam" w:val="0"/>
    <w:docVar w:name="dvpe" w:val="763.280"/>
    <w:docVar w:name="dvtitre" w:val="Europaparlamentets resolution av den xx xx 2024 om kommissionens genomförandebeslut (EU) 2024/1828 om förlängning av godkännandet för utsläppande på marknaden av foder som innehåller eller består av den genetiskt modifierade majsen MON 810 och av livsmedel och foderprodukter som har framställts av den genetiskt modifierade majsen MON 810 i enlighet med Europaparlamentets och rådets förordning (EG) nr 1829/2003 och om upphävande av kommissionens genomförandebeslut (EU) 2017/1207(2024/2840(RSP))"/>
  </w:docVars>
  <w:rsids>
    <w:rsidRoot w:val="009B016F"/>
    <w:rsid w:val="00002272"/>
    <w:rsid w:val="00064002"/>
    <w:rsid w:val="000677B9"/>
    <w:rsid w:val="000826AE"/>
    <w:rsid w:val="000831BA"/>
    <w:rsid w:val="000A42CC"/>
    <w:rsid w:val="000E7DD9"/>
    <w:rsid w:val="0010095E"/>
    <w:rsid w:val="00125B37"/>
    <w:rsid w:val="00166556"/>
    <w:rsid w:val="00187494"/>
    <w:rsid w:val="001F32AE"/>
    <w:rsid w:val="00202E8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827"/>
    <w:rsid w:val="00545827"/>
    <w:rsid w:val="00560270"/>
    <w:rsid w:val="005827F0"/>
    <w:rsid w:val="005C2568"/>
    <w:rsid w:val="005F1B17"/>
    <w:rsid w:val="006037C0"/>
    <w:rsid w:val="006631B6"/>
    <w:rsid w:val="00680577"/>
    <w:rsid w:val="006F74FA"/>
    <w:rsid w:val="0072533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016F"/>
    <w:rsid w:val="009C5DD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3DAD"/>
    <w:rsid w:val="00D34B45"/>
    <w:rsid w:val="00D56C11"/>
    <w:rsid w:val="00D834A0"/>
    <w:rsid w:val="00D872DF"/>
    <w:rsid w:val="00D9036E"/>
    <w:rsid w:val="00D91E21"/>
    <w:rsid w:val="00DA7FCD"/>
    <w:rsid w:val="00E365E1"/>
    <w:rsid w:val="00E820A4"/>
    <w:rsid w:val="00EB006A"/>
    <w:rsid w:val="00EB4772"/>
    <w:rsid w:val="00ED169E"/>
    <w:rsid w:val="00ED4235"/>
    <w:rsid w:val="00F04346"/>
    <w:rsid w:val="00F075DC"/>
    <w:rsid w:val="00F149E9"/>
    <w:rsid w:val="00F5134D"/>
    <w:rsid w:val="00F74202"/>
    <w:rsid w:val="00F8610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27BA73"/>
  <w15:chartTrackingRefBased/>
  <w15:docId w15:val="{A1ABCF1D-F8D7-4357-BA94-81C8E98BB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13DAD"/>
    <w:pPr>
      <w:spacing w:before="480" w:after="240"/>
    </w:pPr>
  </w:style>
  <w:style w:type="paragraph" w:customStyle="1" w:styleId="NormalBold12a">
    <w:name w:val="NormalBold12a"/>
    <w:basedOn w:val="Normal"/>
    <w:rsid w:val="00D13DAD"/>
    <w:pPr>
      <w:spacing w:after="240"/>
    </w:pPr>
    <w:rPr>
      <w:b/>
    </w:rPr>
  </w:style>
  <w:style w:type="paragraph" w:customStyle="1" w:styleId="NormalHanging12a">
    <w:name w:val="NormalHanging12a"/>
    <w:basedOn w:val="Normal"/>
    <w:rsid w:val="00D13DAD"/>
    <w:pPr>
      <w:spacing w:after="240"/>
      <w:ind w:left="567" w:hanging="567"/>
    </w:pPr>
  </w:style>
  <w:style w:type="character" w:styleId="Hyperlink">
    <w:name w:val="Hyperlink"/>
    <w:basedOn w:val="DefaultParagraphFont"/>
    <w:uiPriority w:val="99"/>
    <w:rsid w:val="00D13DAD"/>
    <w:rPr>
      <w:color w:val="0563C1" w:themeColor="hyperlink"/>
      <w:u w:val="single"/>
    </w:rPr>
  </w:style>
  <w:style w:type="character" w:styleId="FollowedHyperlink">
    <w:name w:val="FollowedHyperlink"/>
    <w:basedOn w:val="DefaultParagraphFont"/>
    <w:rsid w:val="009C5DDB"/>
    <w:rPr>
      <w:color w:val="954F72" w:themeColor="followedHyperlink"/>
      <w:u w:val="single"/>
    </w:rPr>
  </w:style>
  <w:style w:type="character" w:styleId="CommentReference">
    <w:name w:val="annotation reference"/>
    <w:basedOn w:val="DefaultParagraphFont"/>
    <w:rsid w:val="00D9036E"/>
    <w:rPr>
      <w:sz w:val="16"/>
      <w:szCs w:val="16"/>
    </w:rPr>
  </w:style>
  <w:style w:type="paragraph" w:styleId="CommentText">
    <w:name w:val="annotation text"/>
    <w:basedOn w:val="Normal"/>
    <w:link w:val="CommentTextChar"/>
    <w:rsid w:val="00D9036E"/>
    <w:rPr>
      <w:sz w:val="20"/>
    </w:rPr>
  </w:style>
  <w:style w:type="character" w:customStyle="1" w:styleId="CommentTextChar">
    <w:name w:val="Comment Text Char"/>
    <w:basedOn w:val="DefaultParagraphFont"/>
    <w:link w:val="CommentText"/>
    <w:rsid w:val="00D9036E"/>
    <w:rPr>
      <w:lang w:val="sv-SE"/>
    </w:rPr>
  </w:style>
  <w:style w:type="paragraph" w:styleId="CommentSubject">
    <w:name w:val="annotation subject"/>
    <w:basedOn w:val="CommentText"/>
    <w:next w:val="CommentText"/>
    <w:link w:val="CommentSubjectChar"/>
    <w:rsid w:val="00D9036E"/>
    <w:rPr>
      <w:b/>
      <w:bCs/>
    </w:rPr>
  </w:style>
  <w:style w:type="character" w:customStyle="1" w:styleId="CommentSubjectChar">
    <w:name w:val="Comment Subject Char"/>
    <w:basedOn w:val="CommentTextChar"/>
    <w:link w:val="CommentSubject"/>
    <w:rsid w:val="00D9036E"/>
    <w:rPr>
      <w:b/>
      <w:bCs/>
      <w:lang w:val="sv-SE"/>
    </w:rPr>
  </w:style>
  <w:style w:type="paragraph" w:styleId="BalloonText">
    <w:name w:val="Balloon Text"/>
    <w:basedOn w:val="Normal"/>
    <w:link w:val="BalloonTextChar"/>
    <w:rsid w:val="00D9036E"/>
    <w:rPr>
      <w:rFonts w:ascii="Segoe UI" w:hAnsi="Segoe UI" w:cs="Segoe UI"/>
      <w:sz w:val="18"/>
      <w:szCs w:val="18"/>
    </w:rPr>
  </w:style>
  <w:style w:type="character" w:customStyle="1" w:styleId="BalloonTextChar">
    <w:name w:val="Balloon Text Char"/>
    <w:basedOn w:val="DefaultParagraphFont"/>
    <w:link w:val="BalloonText"/>
    <w:rsid w:val="00D9036E"/>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tillymetz.lu/wp-content/uploads/2020/09/Co-signed-letter-MEP-Metz.pdf" TargetMode="External"/><Relationship Id="rId3" Type="http://schemas.openxmlformats.org/officeDocument/2006/relationships/hyperlink" Target="http://data.europa.eu/eli/reg/2011/182/oj" TargetMode="External"/><Relationship Id="rId7" Type="http://schemas.openxmlformats.org/officeDocument/2006/relationships/hyperlink" Target="https://onlinelibrary.wiley.com/doi/full/10.1002/jat.3252" TargetMode="External"/><Relationship Id="rId12" Type="http://schemas.openxmlformats.org/officeDocument/2006/relationships/hyperlink" Target="http://data.europa.eu/eli/reg/2002/178/oj" TargetMode="External"/><Relationship Id="rId2" Type="http://schemas.openxmlformats.org/officeDocument/2006/relationships/hyperlink" Target="http://data.europa.eu/eli/reg/2003/1829/oj" TargetMode="External"/><Relationship Id="rId1" Type="http://schemas.openxmlformats.org/officeDocument/2006/relationships/hyperlink" Target="http://data.europa.eu/eli/dec_impl/2024/1828/oj" TargetMode="External"/><Relationship Id="rId6" Type="http://schemas.openxmlformats.org/officeDocument/2006/relationships/hyperlink" Target="http://data.europa.eu/eli/dec_impl/2017/1207/oj" TargetMode="External"/><Relationship Id="rId11" Type="http://schemas.openxmlformats.org/officeDocument/2006/relationships/hyperlink" Target="https://commission.europa.eu/document/2c64e540-c07a-4376-a1da-368d289f4afe_en" TargetMode="External"/><Relationship Id="rId5" Type="http://schemas.openxmlformats.org/officeDocument/2006/relationships/hyperlink" Target="http://data.europa.eu/eli/dec_impl/2013/649/oj" TargetMode="External"/><Relationship Id="rId10" Type="http://schemas.openxmlformats.org/officeDocument/2006/relationships/hyperlink" Target="https://efsa.onlinelibrary.wiley.com/action/downloadSupplement?doi=10.2903/j.efsa.2024.8489&amp;file=efs28489-sup-0008-Annex_8.pdf" TargetMode="External"/><Relationship Id="rId4" Type="http://schemas.openxmlformats.org/officeDocument/2006/relationships/hyperlink" Target="https://doi.org/10.2903/j.efsa.2024.8489" TargetMode="External"/><Relationship Id="rId9"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78BC1-EB80-4B21-8382-D22A26975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1257</Words>
  <Characters>8029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EKERAM Lena</cp:lastModifiedBy>
  <cp:revision>2</cp:revision>
  <cp:lastPrinted>2004-11-19T15:42:00Z</cp:lastPrinted>
  <dcterms:created xsi:type="dcterms:W3CDTF">2024-12-18T14:38:00Z</dcterms:created>
  <dcterms:modified xsi:type="dcterms:W3CDTF">2024-12-18T14:38:00Z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B10-0146/2024</vt:lpwstr>
  </property>
  <property fmtid="{D5CDD505-2E9C-101B-9397-08002B2CF9AE}" pid="4" name="&lt;Type&gt;">
    <vt:lpwstr>RR</vt:lpwstr>
  </property>
</Properties>
</file>