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2350" w:rsidTr="0010095E">
        <w:trPr>
          <w:trHeight w:hRule="exact" w:val="1418"/>
        </w:trPr>
        <w:tc>
          <w:tcPr>
            <w:tcW w:w="6804" w:type="dxa"/>
            <w:shd w:val="clear" w:color="auto" w:fill="auto"/>
            <w:vAlign w:val="center"/>
          </w:tcPr>
          <w:p w:rsidR="00751A4A" w:rsidRPr="00272350" w:rsidRDefault="00F91BAC" w:rsidP="0010095E">
            <w:pPr>
              <w:pStyle w:val="EPName"/>
            </w:pPr>
            <w:r w:rsidRPr="00272350">
              <w:t>Европейски</w:t>
            </w:r>
            <w:r w:rsidR="00E84914" w:rsidRPr="00272350">
              <w:t xml:space="preserve"> парламент</w:t>
            </w:r>
          </w:p>
          <w:p w:rsidR="00751A4A" w:rsidRPr="00272350" w:rsidRDefault="005F1B17" w:rsidP="005F1B17">
            <w:pPr>
              <w:pStyle w:val="EPTerm"/>
              <w:rPr>
                <w:rStyle w:val="HideTWBExt"/>
                <w:noProof w:val="0"/>
                <w:vanish w:val="0"/>
                <w:color w:val="auto"/>
              </w:rPr>
            </w:pPr>
            <w:r w:rsidRPr="00272350">
              <w:t>2024</w:t>
            </w:r>
            <w:r w:rsidR="00F91BAC">
              <w:rPr>
                <w:lang w:val="fr-FR"/>
              </w:rPr>
              <w:t> – </w:t>
            </w:r>
            <w:r w:rsidR="00817416" w:rsidRPr="00272350">
              <w:t>202</w:t>
            </w:r>
            <w:r w:rsidRPr="00272350">
              <w:t>9</w:t>
            </w:r>
          </w:p>
        </w:tc>
        <w:tc>
          <w:tcPr>
            <w:tcW w:w="2268" w:type="dxa"/>
            <w:shd w:val="clear" w:color="auto" w:fill="auto"/>
          </w:tcPr>
          <w:p w:rsidR="00751A4A" w:rsidRPr="00272350" w:rsidRDefault="00187494" w:rsidP="0010095E">
            <w:pPr>
              <w:pStyle w:val="EPLogo"/>
            </w:pPr>
            <w:r w:rsidRPr="002723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2350" w:rsidRDefault="00D058B8" w:rsidP="004C5D52">
      <w:pPr>
        <w:pStyle w:val="LineTop"/>
      </w:pPr>
    </w:p>
    <w:p w:rsidR="00680577" w:rsidRPr="00272350" w:rsidRDefault="00E84914" w:rsidP="00680577">
      <w:pPr>
        <w:pStyle w:val="EPBodyTA1"/>
      </w:pPr>
      <w:r w:rsidRPr="00272350">
        <w:t>ПРИЕТИ ТЕКСТОВЕ</w:t>
      </w:r>
    </w:p>
    <w:p w:rsidR="00D058B8" w:rsidRPr="00272350" w:rsidRDefault="00D058B8" w:rsidP="00D058B8">
      <w:pPr>
        <w:pStyle w:val="LineBottom"/>
      </w:pPr>
    </w:p>
    <w:p w:rsidR="00E84914" w:rsidRPr="00272350" w:rsidRDefault="00E84914" w:rsidP="00E84914">
      <w:pPr>
        <w:pStyle w:val="ATHeading1"/>
      </w:pPr>
      <w:bookmarkStart w:id="0" w:name="TANumber"/>
      <w:r w:rsidRPr="00272350">
        <w:t>P10_TA(2024)00</w:t>
      </w:r>
      <w:r w:rsidR="00506095">
        <w:rPr>
          <w:lang w:val="en-GB"/>
        </w:rPr>
        <w:t>44</w:t>
      </w:r>
      <w:bookmarkEnd w:id="0"/>
    </w:p>
    <w:p w:rsidR="00E84914" w:rsidRPr="00272350" w:rsidRDefault="00E84914" w:rsidP="00E84914">
      <w:pPr>
        <w:pStyle w:val="ATHeading2"/>
      </w:pPr>
      <w:bookmarkStart w:id="1" w:name="title"/>
      <w:r w:rsidRPr="00272350">
        <w:t>Генетично модифицирана царевица DP202216</w:t>
      </w:r>
      <w:bookmarkEnd w:id="1"/>
    </w:p>
    <w:p w:rsidR="00E84914" w:rsidRPr="00272350" w:rsidRDefault="00E84914" w:rsidP="00E84914">
      <w:pPr>
        <w:rPr>
          <w:i/>
          <w:vanish/>
        </w:rPr>
      </w:pPr>
      <w:r w:rsidRPr="00272350">
        <w:rPr>
          <w:i/>
        </w:rPr>
        <w:fldChar w:fldCharType="begin"/>
      </w:r>
      <w:r w:rsidRPr="00272350">
        <w:rPr>
          <w:i/>
        </w:rPr>
        <w:instrText xml:space="preserve"> TC"(</w:instrText>
      </w:r>
      <w:bookmarkStart w:id="2" w:name="DocNumber"/>
      <w:r w:rsidRPr="00272350">
        <w:rPr>
          <w:i/>
        </w:rPr>
        <w:instrText>B10-0152/2024</w:instrText>
      </w:r>
      <w:bookmarkEnd w:id="2"/>
      <w:r w:rsidRPr="00272350">
        <w:rPr>
          <w:i/>
        </w:rPr>
        <w:instrText xml:space="preserve">)"\l3 \n&gt; \* MERGEFORMAT </w:instrText>
      </w:r>
      <w:r w:rsidRPr="00272350">
        <w:rPr>
          <w:i/>
        </w:rPr>
        <w:fldChar w:fldCharType="end"/>
      </w:r>
    </w:p>
    <w:p w:rsidR="00E84914" w:rsidRPr="00272350" w:rsidRDefault="00E84914" w:rsidP="00E84914">
      <w:pPr>
        <w:rPr>
          <w:vanish/>
        </w:rPr>
      </w:pPr>
      <w:bookmarkStart w:id="3" w:name="PE"/>
      <w:r w:rsidRPr="00272350">
        <w:rPr>
          <w:vanish/>
        </w:rPr>
        <w:t>PE763.293</w:t>
      </w:r>
      <w:bookmarkEnd w:id="3"/>
    </w:p>
    <w:p w:rsidR="00E84914" w:rsidRPr="00272350" w:rsidRDefault="00E84914" w:rsidP="005D52EF">
      <w:pPr>
        <w:pStyle w:val="ATHeading3"/>
      </w:pPr>
      <w:bookmarkStart w:id="4" w:name="Sujet"/>
      <w:r w:rsidRPr="00272350">
        <w:t xml:space="preserve">Резолюция на Европейския парламент от </w:t>
      </w:r>
      <w:r w:rsidR="00F91BAC">
        <w:t>26</w:t>
      </w:r>
      <w:r w:rsidRPr="00272350">
        <w:t xml:space="preserve"> </w:t>
      </w:r>
      <w:r w:rsidR="00F91BAC">
        <w:t xml:space="preserve">ноември </w:t>
      </w:r>
      <w:r w:rsidRPr="00272350">
        <w:t xml:space="preserve">2024 г. относно </w:t>
      </w:r>
      <w:r w:rsidR="005D52EF">
        <w:t>Р</w:t>
      </w:r>
      <w:r w:rsidRPr="00272350">
        <w:t xml:space="preserve">ешение за изпълнение </w:t>
      </w:r>
      <w:r w:rsidR="005D52EF">
        <w:rPr>
          <w:lang w:val="en-GB"/>
        </w:rPr>
        <w:t>(E</w:t>
      </w:r>
      <w:r w:rsidR="005D52EF">
        <w:t>С</w:t>
      </w:r>
      <w:r w:rsidR="005D52EF" w:rsidRPr="005D52EF">
        <w:rPr>
          <w:lang w:val="en-GB"/>
        </w:rPr>
        <w:t xml:space="preserve">) 2024/2618 </w:t>
      </w:r>
      <w:r w:rsidRPr="00272350">
        <w:t>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w:t>
      </w:r>
      <w:bookmarkEnd w:id="4"/>
      <w:r w:rsidRPr="00272350">
        <w:t xml:space="preserve"> </w:t>
      </w:r>
      <w:bookmarkStart w:id="5" w:name="References"/>
      <w:r w:rsidRPr="00272350">
        <w:t>(2024/2837(RSP))</w:t>
      </w:r>
      <w:bookmarkEnd w:id="5"/>
    </w:p>
    <w:p w:rsidR="00220287" w:rsidRPr="00272350" w:rsidRDefault="00220287" w:rsidP="00220287">
      <w:pPr>
        <w:pStyle w:val="EPComma"/>
      </w:pPr>
      <w:bookmarkStart w:id="6" w:name="TextBodyBegin"/>
      <w:bookmarkEnd w:id="6"/>
      <w:r w:rsidRPr="00272350">
        <w:rPr>
          <w:i/>
        </w:rPr>
        <w:t>Европейският парламент</w:t>
      </w:r>
      <w:r w:rsidRPr="00272350">
        <w:t>,</w:t>
      </w:r>
    </w:p>
    <w:p w:rsidR="00220287" w:rsidRPr="00272350" w:rsidRDefault="00220287" w:rsidP="005D52EF">
      <w:pPr>
        <w:pStyle w:val="NormalHanging12a"/>
      </w:pPr>
      <w:r w:rsidRPr="00272350">
        <w:t>–</w:t>
      </w:r>
      <w:r w:rsidRPr="00272350">
        <w:tab/>
        <w:t xml:space="preserve">като взе предвид проекта на </w:t>
      </w:r>
      <w:r w:rsidR="005D52EF">
        <w:t>Р</w:t>
      </w:r>
      <w:r w:rsidRPr="00272350">
        <w:t xml:space="preserve">ешение за изпълнение </w:t>
      </w:r>
      <w:r w:rsidR="005D52EF">
        <w:rPr>
          <w:lang w:val="en-GB"/>
        </w:rPr>
        <w:t>(E</w:t>
      </w:r>
      <w:r w:rsidR="005D52EF">
        <w:t>С</w:t>
      </w:r>
      <w:r w:rsidR="005D52EF" w:rsidRPr="005D52EF">
        <w:rPr>
          <w:lang w:val="en-GB"/>
        </w:rPr>
        <w:t xml:space="preserve">) 2024/2618 </w:t>
      </w:r>
      <w:r w:rsidRPr="00272350">
        <w:t>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w:t>
      </w:r>
      <w:r w:rsidR="005D52EF">
        <w:rPr>
          <w:rStyle w:val="FootnoteReference"/>
        </w:rPr>
        <w:footnoteReference w:id="1"/>
      </w:r>
      <w:r w:rsidRPr="00272350">
        <w:t>,</w:t>
      </w:r>
    </w:p>
    <w:p w:rsidR="00220287" w:rsidRPr="00272350" w:rsidRDefault="00220287" w:rsidP="00220287">
      <w:pPr>
        <w:pStyle w:val="NormalHanging12a"/>
      </w:pPr>
      <w:r w:rsidRPr="00272350">
        <w:t>–</w:t>
      </w:r>
      <w:r w:rsidRPr="00272350">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272350">
        <w:rPr>
          <w:rStyle w:val="FootnoteReference"/>
        </w:rPr>
        <w:footnoteReference w:id="2"/>
      </w:r>
      <w:r w:rsidRPr="00272350">
        <w:t>, и по-специално член 7, параграф 3 и член 19, параграф 3 от него,</w:t>
      </w:r>
    </w:p>
    <w:p w:rsidR="00220287" w:rsidRPr="00272350" w:rsidRDefault="00220287" w:rsidP="00220287">
      <w:pPr>
        <w:pStyle w:val="NormalHanging12a"/>
      </w:pPr>
      <w:r w:rsidRPr="00272350">
        <w:t>–</w:t>
      </w:r>
      <w:r w:rsidRPr="00272350">
        <w:tab/>
        <w:t>като взе предвид гласуването на 8 юли 2024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3 септември 2024 г., при което също не беше изразено становище,</w:t>
      </w:r>
    </w:p>
    <w:p w:rsidR="00220287" w:rsidRPr="00272350" w:rsidRDefault="00220287" w:rsidP="00220287">
      <w:pPr>
        <w:pStyle w:val="NormalHanging12a"/>
      </w:pPr>
      <w:r w:rsidRPr="00272350">
        <w:t>–</w:t>
      </w:r>
      <w:r w:rsidRPr="00272350">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272350">
        <w:rPr>
          <w:rStyle w:val="FootnoteReference"/>
        </w:rPr>
        <w:footnoteReference w:id="3"/>
      </w:r>
      <w:r w:rsidRPr="00272350">
        <w:t>,</w:t>
      </w:r>
    </w:p>
    <w:p w:rsidR="00220287" w:rsidRPr="00272350" w:rsidRDefault="00220287" w:rsidP="00220287">
      <w:pPr>
        <w:pStyle w:val="NormalHanging12a"/>
      </w:pPr>
      <w:r w:rsidRPr="00272350">
        <w:t>–</w:t>
      </w:r>
      <w:r w:rsidRPr="00272350">
        <w:tab/>
        <w:t xml:space="preserve">като взе предвид становището, прието от Европейския орган за безопасност на </w:t>
      </w:r>
      <w:r w:rsidRPr="00272350">
        <w:lastRenderedPageBreak/>
        <w:t>храните (ЕОБХ) на 7 февруари 2024 г. и публикувано на 20 март 2024 г.</w:t>
      </w:r>
      <w:r w:rsidRPr="00272350">
        <w:rPr>
          <w:rStyle w:val="FootnoteReference"/>
        </w:rPr>
        <w:footnoteReference w:id="4"/>
      </w:r>
      <w:r w:rsidRPr="00272350">
        <w:t>,</w:t>
      </w:r>
    </w:p>
    <w:p w:rsidR="00220287" w:rsidRPr="00272350" w:rsidRDefault="00220287" w:rsidP="00220287">
      <w:pPr>
        <w:pStyle w:val="NormalHanging12a"/>
        <w:rPr>
          <w:szCs w:val="24"/>
          <w:shd w:val="clear" w:color="auto" w:fill="FFFFFF"/>
        </w:rPr>
      </w:pPr>
      <w:r w:rsidRPr="00272350">
        <w:t>–</w:t>
      </w:r>
      <w:r w:rsidRPr="00272350">
        <w:rPr>
          <w:shd w:val="clear" w:color="auto" w:fill="FFFFFF"/>
        </w:rPr>
        <w:tab/>
        <w:t>като взе предвид предишните си резолюции, в които възразява срещу разрешаването на генетично модифицирани организми („ГМО“)</w:t>
      </w:r>
      <w:r w:rsidRPr="00272350">
        <w:rPr>
          <w:szCs w:val="24"/>
          <w:shd w:val="clear" w:color="auto" w:fill="FFFFFF"/>
          <w:vertAlign w:val="superscript"/>
        </w:rPr>
        <w:footnoteReference w:id="5"/>
      </w:r>
      <w:r w:rsidRPr="00272350">
        <w:rPr>
          <w:shd w:val="clear" w:color="auto" w:fill="FFFFFF"/>
        </w:rPr>
        <w:t>,</w:t>
      </w:r>
    </w:p>
    <w:p w:rsidR="00220287" w:rsidRPr="00272350" w:rsidRDefault="00220287" w:rsidP="00220287">
      <w:pPr>
        <w:pStyle w:val="NormalHanging12a"/>
      </w:pPr>
      <w:r w:rsidRPr="00272350">
        <w:t>–</w:t>
      </w:r>
      <w:r w:rsidRPr="00272350">
        <w:tab/>
        <w:t>като взе предвид член 115, параграфи 2 и 3 от своя Правилник за дейността,</w:t>
      </w:r>
    </w:p>
    <w:p w:rsidR="00220287" w:rsidRPr="00272350" w:rsidRDefault="00220287" w:rsidP="00220287">
      <w:pPr>
        <w:pStyle w:val="NormalHanging12a"/>
      </w:pPr>
      <w:r w:rsidRPr="00272350">
        <w:t>–</w:t>
      </w:r>
      <w:r w:rsidRPr="00272350">
        <w:tab/>
        <w:t>като взе предвид предложението за резолюция на комисията по околна среда, обществено здраве и безопасност на храните,</w:t>
      </w:r>
    </w:p>
    <w:p w:rsidR="00220287" w:rsidRPr="00272350" w:rsidRDefault="00220287" w:rsidP="00220287">
      <w:pPr>
        <w:pStyle w:val="NormalHanging12a"/>
      </w:pPr>
      <w:r w:rsidRPr="00272350">
        <w:t>А.</w:t>
      </w:r>
      <w:r w:rsidRPr="00272350">
        <w:tab/>
        <w:t xml:space="preserve">като има предвид, че на 1 юли 2019 г. в съответствие с членове 5 и 17 от Регламент (ЕО) № 1829/2003 </w:t>
      </w:r>
      <w:proofErr w:type="spellStart"/>
      <w:r w:rsidRPr="00272350">
        <w:t>Pioneer</w:t>
      </w:r>
      <w:proofErr w:type="spellEnd"/>
      <w:r w:rsidRPr="00272350">
        <w:t xml:space="preserve"> </w:t>
      </w:r>
      <w:proofErr w:type="spellStart"/>
      <w:r w:rsidRPr="00272350">
        <w:t>Overseas</w:t>
      </w:r>
      <w:proofErr w:type="spellEnd"/>
      <w:r w:rsidRPr="00272350">
        <w:t xml:space="preserve"> </w:t>
      </w:r>
      <w:proofErr w:type="spellStart"/>
      <w:r w:rsidRPr="00272350">
        <w:t>Corporation</w:t>
      </w:r>
      <w:proofErr w:type="spellEnd"/>
      <w:r w:rsidRPr="00272350">
        <w:t xml:space="preserve">, със седалище в Белгия, подаде от името на </w:t>
      </w:r>
      <w:proofErr w:type="spellStart"/>
      <w:r w:rsidRPr="00272350">
        <w:t>Pioneer</w:t>
      </w:r>
      <w:proofErr w:type="spellEnd"/>
      <w:r w:rsidRPr="00272350">
        <w:t xml:space="preserve"> </w:t>
      </w:r>
      <w:proofErr w:type="spellStart"/>
      <w:r w:rsidRPr="00272350">
        <w:t>Hi-Bred</w:t>
      </w:r>
      <w:proofErr w:type="spellEnd"/>
      <w:r w:rsidRPr="00272350">
        <w:t xml:space="preserve"> International, </w:t>
      </w:r>
      <w:proofErr w:type="spellStart"/>
      <w:r w:rsidRPr="00272350">
        <w:t>Inc</w:t>
      </w:r>
      <w:proofErr w:type="spellEnd"/>
      <w:r w:rsidRPr="00272350">
        <w:t>., със седалище в Съединените щати, заявление до националния компетентен орган на Нидерландия за пускане на пазара на храни, хранителни съставки и фуражи, съдържащи, състоящи се или произведени от генетично модифицирана царевица DP202216 („генетично модифицирана царевица“); като има предвид, че заявлението се отнася и за пускането на пазара на продукти, съдържащи или състоящи се от генетично модифицирана царевица за употреба, различна от употребата като храни и фуражи, с изключение на отглеждането;  </w:t>
      </w:r>
    </w:p>
    <w:p w:rsidR="00220287" w:rsidRPr="00272350" w:rsidRDefault="00220287" w:rsidP="00220287">
      <w:pPr>
        <w:pStyle w:val="NormalHanging12a"/>
      </w:pPr>
      <w:r w:rsidRPr="00272350">
        <w:t>Б.</w:t>
      </w:r>
      <w:r w:rsidRPr="00272350">
        <w:tab/>
        <w:t>като има предвид, че на 7 февруари 2024 г. ЕОБХ даде положително становище, което беше публикувано на 20 март 2024 г.;</w:t>
      </w:r>
    </w:p>
    <w:p w:rsidR="00220287" w:rsidRPr="00272350" w:rsidRDefault="00220287" w:rsidP="00220287">
      <w:pPr>
        <w:pStyle w:val="NormalHanging12a"/>
      </w:pPr>
      <w:r w:rsidRPr="00272350">
        <w:t>В.</w:t>
      </w:r>
      <w:r w:rsidRPr="00272350">
        <w:tab/>
        <w:t xml:space="preserve">като има предвид, че генетично модифицираната царевица съдържа гени, които придават резистентност към </w:t>
      </w:r>
      <w:proofErr w:type="spellStart"/>
      <w:r w:rsidRPr="00272350">
        <w:t>глуфосинат</w:t>
      </w:r>
      <w:proofErr w:type="spellEnd"/>
      <w:r w:rsidRPr="00272350">
        <w:t>, и се предполага, че има потенциал за по-голям добив;</w:t>
      </w:r>
      <w:r w:rsidRPr="00272350">
        <w:rPr>
          <w:rFonts w:ascii="Segoe UI" w:hAnsi="Segoe UI"/>
          <w:color w:val="000000"/>
          <w:sz w:val="22"/>
          <w:shd w:val="clear" w:color="auto" w:fill="FFFFFF"/>
        </w:rPr>
        <w:t xml:space="preserve"> </w:t>
      </w:r>
    </w:p>
    <w:p w:rsidR="00220287" w:rsidRPr="00272350" w:rsidRDefault="00220287" w:rsidP="00220287">
      <w:pPr>
        <w:pStyle w:val="NormalHanging12a"/>
        <w:rPr>
          <w:b/>
          <w:i/>
        </w:rPr>
      </w:pPr>
      <w:r w:rsidRPr="00272350">
        <w:rPr>
          <w:b/>
          <w:i/>
        </w:rPr>
        <w:t>Липса на оценка на добавъчните хербициди</w:t>
      </w:r>
    </w:p>
    <w:p w:rsidR="00220287" w:rsidRPr="00272350" w:rsidRDefault="00220287" w:rsidP="00220287">
      <w:pPr>
        <w:pStyle w:val="NormalHanging12a"/>
      </w:pPr>
      <w:r w:rsidRPr="00272350">
        <w:t>Г.</w:t>
      </w:r>
      <w:r w:rsidRPr="00272350">
        <w:tab/>
        <w:t>като има предвид, че в Регламент за изпълнение (ЕС) № 503/2013 на Комисията</w:t>
      </w:r>
      <w:r w:rsidRPr="00272350">
        <w:rPr>
          <w:rStyle w:val="FootnoteReference"/>
        </w:rPr>
        <w:footnoteReference w:id="6"/>
      </w:r>
      <w:r w:rsidRPr="00272350">
        <w:t xml:space="preserve"> се изисква оценка на това дали очакваните селскостопански практики влияят на резултата от изследваните крайни точки; като има предвид, че съгласно посочения регламент за изпълнение това е от особено значение за растенията, устойчиви на хербициди;</w:t>
      </w:r>
    </w:p>
    <w:p w:rsidR="00220287" w:rsidRPr="00272350" w:rsidRDefault="00220287" w:rsidP="00220287">
      <w:pPr>
        <w:pStyle w:val="NormalHanging12a"/>
      </w:pPr>
      <w:r w:rsidRPr="00272350">
        <w:t>Д.</w:t>
      </w:r>
      <w:r w:rsidRPr="00272350">
        <w:tab/>
        <w:t xml:space="preserve">като има предвид, че по-голямата част от генетично модифицираните култури са генетично модифицирани, за да бъдат устойчиви на един или повече „добавъчни“ хербициди, които могат да се използват по време на отглеждането на генетично </w:t>
      </w:r>
      <w:r w:rsidRPr="00272350">
        <w:lastRenderedPageBreak/>
        <w:t>модифицираната култура, без тя да загине, както би се случило с неустойчива на хербициди култура; 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r w:rsidRPr="00272350">
        <w:rPr>
          <w:rStyle w:val="FootnoteReference"/>
        </w:rPr>
        <w:footnoteReference w:id="7"/>
      </w:r>
      <w:r w:rsidRPr="00272350">
        <w:t>;</w:t>
      </w:r>
    </w:p>
    <w:p w:rsidR="00220287" w:rsidRPr="00272350" w:rsidRDefault="00220287" w:rsidP="00220287">
      <w:pPr>
        <w:pStyle w:val="NormalHanging12a"/>
      </w:pPr>
      <w:r w:rsidRPr="00272350">
        <w:t>Е.</w:t>
      </w:r>
      <w:r w:rsidRPr="00272350">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до голяма степен или изцяло е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 като има предвид, че засилената зависимост от добавъчни хербициди в земеделските стопанства, в които се засаждат генетично модифицирани култури, ускорява появата и разпространението на плевели, устойчиви на тези хербициди, и по този начин води до необходимостта от още по-голяма употреба на хербициди, създавайки своеобразен порочен кръг за земеделските стопани;</w:t>
      </w:r>
    </w:p>
    <w:p w:rsidR="00220287" w:rsidRPr="00272350" w:rsidRDefault="00220287" w:rsidP="00220287">
      <w:pPr>
        <w:pStyle w:val="NormalHanging12a"/>
      </w:pPr>
      <w:r w:rsidRPr="00272350">
        <w:t>Ж.</w:t>
      </w:r>
      <w:r w:rsidRPr="00272350">
        <w:tab/>
        <w:t>като има предвид, че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p>
    <w:p w:rsidR="00220287" w:rsidRPr="00272350" w:rsidRDefault="00220287" w:rsidP="00220287">
      <w:pPr>
        <w:pStyle w:val="NormalHanging12a"/>
      </w:pPr>
      <w:r w:rsidRPr="00272350">
        <w:t>З.</w:t>
      </w:r>
      <w:r w:rsidRPr="00272350">
        <w:tab/>
        <w:t xml:space="preserve">като има предвид, че </w:t>
      </w:r>
      <w:proofErr w:type="spellStart"/>
      <w:r w:rsidRPr="00272350">
        <w:t>глуфосинатът</w:t>
      </w:r>
      <w:proofErr w:type="spellEnd"/>
      <w:r w:rsidRPr="00272350">
        <w:t xml:space="preserve">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Съвета</w:t>
      </w:r>
      <w:r w:rsidRPr="00272350">
        <w:rPr>
          <w:rStyle w:val="FootnoteReference"/>
        </w:rPr>
        <w:footnoteReference w:id="8"/>
      </w:r>
      <w:r w:rsidRPr="00272350">
        <w:t xml:space="preserve">; като има предвид, че одобрението за използване на </w:t>
      </w:r>
      <w:proofErr w:type="spellStart"/>
      <w:r w:rsidRPr="00272350">
        <w:t>глуфосинат</w:t>
      </w:r>
      <w:proofErr w:type="spellEnd"/>
      <w:r w:rsidRPr="00272350">
        <w:t xml:space="preserve"> в Съюза изтече на 31 юли 2018 г.;</w:t>
      </w:r>
    </w:p>
    <w:p w:rsidR="00220287" w:rsidRPr="00272350" w:rsidRDefault="00220287" w:rsidP="00220287">
      <w:pPr>
        <w:pStyle w:val="NormalHanging12a"/>
      </w:pPr>
      <w:r w:rsidRPr="00272350">
        <w:t>И.</w:t>
      </w:r>
      <w:r w:rsidRPr="00272350">
        <w:tab/>
        <w:t xml:space="preserve">като има предвид, че се счита, че оценката на остатъчните вещества от хербициди и </w:t>
      </w:r>
      <w:proofErr w:type="spellStart"/>
      <w:r w:rsidRPr="00272350">
        <w:t>метаболитите</w:t>
      </w:r>
      <w:proofErr w:type="spellEnd"/>
      <w:r w:rsidRPr="00272350">
        <w:t xml:space="preserve">, открити в генетично модифицираните растения, е извън правомощията на Експертната група на ЕОБХ по генетично модифицирани организми и че следователно такава оценка не се извършва като част от процеса </w:t>
      </w:r>
      <w:r w:rsidRPr="00272350">
        <w:lastRenderedPageBreak/>
        <w:t>на разрешаване на генетично модифицирани организми;</w:t>
      </w:r>
    </w:p>
    <w:p w:rsidR="00220287" w:rsidRPr="00272350" w:rsidRDefault="00220287" w:rsidP="00220287">
      <w:pPr>
        <w:pStyle w:val="NormalHanging12a"/>
        <w:ind w:left="0" w:firstLine="0"/>
        <w:rPr>
          <w:b/>
          <w:i/>
        </w:rPr>
      </w:pPr>
      <w:r w:rsidRPr="00272350">
        <w:rPr>
          <w:b/>
          <w:i/>
        </w:rPr>
        <w:t>Коментари на компетентните органи на държавите членки и на заинтересованите страни</w:t>
      </w:r>
    </w:p>
    <w:p w:rsidR="00220287" w:rsidRPr="00272350" w:rsidRDefault="00220287" w:rsidP="00220287">
      <w:pPr>
        <w:pStyle w:val="NormalHanging12a"/>
      </w:pPr>
      <w:r w:rsidRPr="00272350">
        <w:t>Й.</w:t>
      </w:r>
      <w:r w:rsidRPr="00272350">
        <w:tab/>
        <w:t>като има предвид, че държавите членки представиха на ЕОБХ множество критични коментари по време на тримесечния период на консултации</w:t>
      </w:r>
      <w:r w:rsidRPr="00272350">
        <w:rPr>
          <w:rStyle w:val="FootnoteReference"/>
        </w:rPr>
        <w:footnoteReference w:id="9"/>
      </w:r>
      <w:r w:rsidRPr="00272350">
        <w:t xml:space="preserve">, включително че въпросният план за мониторинг не гарантира, че </w:t>
      </w:r>
      <w:proofErr w:type="spellStart"/>
      <w:r w:rsidRPr="00272350">
        <w:t>относимата</w:t>
      </w:r>
      <w:proofErr w:type="spellEnd"/>
      <w:r w:rsidRPr="00272350">
        <w:t xml:space="preserve"> информация за мониторинга на продукта е събрана и следователно не може да се счита за подходяща, че следва да бъде представена допълнителна информация, преди да може да бъде завършена оценката на риска, и че въпреки че ГМО не е предназначен за отглеждане, заявителят следва да предостави подробна информация за диворастящия роднина </w:t>
      </w:r>
      <w:proofErr w:type="spellStart"/>
      <w:r w:rsidRPr="00272350">
        <w:t>теосинт</w:t>
      </w:r>
      <w:proofErr w:type="spellEnd"/>
      <w:r w:rsidRPr="00272350">
        <w:t xml:space="preserve">, който е откриван многократно в полетата в Съюза, и че трябва да се предвиди разпиляването на семена от царевица по време на транспортирането; </w:t>
      </w:r>
    </w:p>
    <w:p w:rsidR="00220287" w:rsidRPr="00272350" w:rsidRDefault="00220287" w:rsidP="00506095">
      <w:pPr>
        <w:pStyle w:val="NormalHanging12a"/>
        <w:ind w:left="0" w:firstLine="0"/>
        <w:rPr>
          <w:b/>
          <w:i/>
        </w:rPr>
      </w:pPr>
      <w:r w:rsidRPr="00272350">
        <w:rPr>
          <w:b/>
          <w:i/>
        </w:rPr>
        <w:t>Гарантиране на еднакви условия на конкуренция в световен мащаб и спазване на международните задължения на Съюза</w:t>
      </w:r>
    </w:p>
    <w:p w:rsidR="00220287" w:rsidRPr="00272350" w:rsidRDefault="00220287" w:rsidP="00220287">
      <w:pPr>
        <w:pStyle w:val="NormalHanging12a"/>
      </w:pPr>
      <w:r w:rsidRPr="00272350">
        <w:t>К.</w:t>
      </w:r>
      <w:r w:rsidRPr="00272350">
        <w:tab/>
        <w:t>като има предвид, че в заключенията на стратегическия диалог относно бъдещето на селското стопанство в ЕС</w:t>
      </w:r>
      <w:r w:rsidRPr="00272350">
        <w:rPr>
          <w:rStyle w:val="FootnoteReference"/>
        </w:rPr>
        <w:footnoteReference w:id="10"/>
      </w:r>
      <w:r w:rsidRPr="00272350">
        <w:t xml:space="preserve"> Комисията се призовава да преразгледа своя подход към достъпа до пазара за вноса и износа на селскостопански хранителни продукти, като се има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и 2024 г.;</w:t>
      </w:r>
    </w:p>
    <w:p w:rsidR="00220287" w:rsidRPr="00272350" w:rsidRDefault="00220287" w:rsidP="00220287">
      <w:pPr>
        <w:pStyle w:val="NormalHanging12a"/>
      </w:pPr>
      <w:r w:rsidRPr="00272350">
        <w:t>Л.</w:t>
      </w:r>
      <w:r w:rsidRPr="00272350">
        <w:tab/>
        <w:t>като има предвид, че в доклад от 2017 г. на специалния докладчик на Организацията на обединените нации (ООН) относно правото на прехрана се посочва, че опасните пестициди оказват катастрофално въздействие върху здравето</w:t>
      </w:r>
      <w:r w:rsidRPr="00272350">
        <w:rPr>
          <w:rStyle w:val="FootnoteReference"/>
        </w:rPr>
        <w:footnoteReference w:id="11"/>
      </w:r>
      <w:r w:rsidRPr="00272350">
        <w:t>, особено в развиващите се страни; като има предвид, че в цел 3.9 от целите за устойчиво развитие на ООН (ЦУР на ООН) е заложено до 2030 г. да се постигне значително намаляване на смъртните случаи и заболяванията, причинени от опасни химикали и замърсяване на въздуха, водата и почвата и от заразяване</w:t>
      </w:r>
      <w:r w:rsidRPr="00272350">
        <w:rPr>
          <w:rStyle w:val="FootnoteReference"/>
        </w:rPr>
        <w:footnoteReference w:id="12"/>
      </w:r>
      <w:r w:rsidRPr="00272350">
        <w:t>;</w:t>
      </w:r>
    </w:p>
    <w:p w:rsidR="00220287" w:rsidRPr="00272350" w:rsidRDefault="00220287" w:rsidP="00220287">
      <w:pPr>
        <w:pStyle w:val="NormalHanging12a"/>
      </w:pPr>
      <w:r w:rsidRPr="00272350">
        <w:t>М.</w:t>
      </w:r>
      <w:r w:rsidRPr="00272350">
        <w:tab/>
        <w:t xml:space="preserve">като има предвид, че глобалната рамка за биологичното разнообразие Кунмин – Монреал („рамката Кунмин – Монреал“), договорена на 15-ата конференция на страните по Конвенцията на ООН за биологичното разнообразие (COP15) през декември 2022 г., включва глобална цел за намаляване на риска от пестициди с </w:t>
      </w:r>
      <w:r w:rsidRPr="00272350">
        <w:lastRenderedPageBreak/>
        <w:t>най-малко 50% до 2030 г.</w:t>
      </w:r>
      <w:r w:rsidRPr="00272350">
        <w:rPr>
          <w:rStyle w:val="FootnoteReference"/>
        </w:rPr>
        <w:footnoteReference w:id="13"/>
      </w:r>
      <w:r w:rsidRPr="00272350">
        <w:t>;</w:t>
      </w:r>
    </w:p>
    <w:p w:rsidR="00220287" w:rsidRPr="00272350" w:rsidRDefault="00220287" w:rsidP="00220287">
      <w:pPr>
        <w:pStyle w:val="NormalHanging12a"/>
      </w:pPr>
      <w:r w:rsidRPr="00272350">
        <w:t>Н.</w:t>
      </w:r>
      <w:r w:rsidRPr="00272350">
        <w:tab/>
        <w:t>като има предвид, че в Регламент (ЕО) № 1829/2003 се посочва, че генетично модифицираните храни и фуражи не трябва да имат отрицателни ефекти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законни фактори, свързани с разглеждания въпрос; като има предвид, че тези законни фактори следва да включват задълженията на Съюза съгласно ЦУР на ООН и Конвенцията на ООН за биологичното разнообразие;</w:t>
      </w:r>
    </w:p>
    <w:p w:rsidR="00220287" w:rsidRPr="00272350" w:rsidRDefault="00220287" w:rsidP="00220287">
      <w:pPr>
        <w:pStyle w:val="NormalHanging12a"/>
        <w:rPr>
          <w:b/>
          <w:i/>
        </w:rPr>
      </w:pPr>
      <w:r w:rsidRPr="00272350">
        <w:rPr>
          <w:b/>
          <w:i/>
        </w:rPr>
        <w:t>Намаляване на зависимостта от вносни фуражи</w:t>
      </w:r>
    </w:p>
    <w:p w:rsidR="00220287" w:rsidRPr="00272350" w:rsidRDefault="00220287" w:rsidP="00220287">
      <w:pPr>
        <w:pStyle w:val="NormalHanging12a"/>
      </w:pPr>
      <w:r w:rsidRPr="00272350">
        <w:t>О.</w:t>
      </w:r>
      <w:r w:rsidRPr="00272350">
        <w:tab/>
        <w:t xml:space="preserve">като има предвид, че една от поуките от кризата с COVID-19 и продължаващата война в Украйна е необходимостта Съюзът да сложи край на зависимостта от някои материали от критично значение; като има предвид, че в писмото за определяне на ресора до кандидата за член на Комисията Кристоф Хансен председателят на Комисията Урсула фон </w:t>
      </w:r>
      <w:proofErr w:type="spellStart"/>
      <w:r w:rsidRPr="00272350">
        <w:t>дер</w:t>
      </w:r>
      <w:proofErr w:type="spellEnd"/>
      <w:r w:rsidRPr="00272350">
        <w:t xml:space="preserve"> </w:t>
      </w:r>
      <w:proofErr w:type="spellStart"/>
      <w:r w:rsidRPr="00272350">
        <w:t>Лайен</w:t>
      </w:r>
      <w:proofErr w:type="spellEnd"/>
      <w:r w:rsidRPr="00272350">
        <w:t xml:space="preserve"> отправя искане към него да потърси начини за намаляване на вноса на стоки от критично значение</w:t>
      </w:r>
      <w:r w:rsidRPr="00272350">
        <w:rPr>
          <w:rStyle w:val="FootnoteReference"/>
        </w:rPr>
        <w:footnoteReference w:id="14"/>
      </w:r>
      <w:r w:rsidRPr="00272350">
        <w:t xml:space="preserve">; </w:t>
      </w:r>
    </w:p>
    <w:p w:rsidR="00220287" w:rsidRPr="00272350" w:rsidRDefault="00220287" w:rsidP="00220287">
      <w:pPr>
        <w:pStyle w:val="NormalHanging12a"/>
        <w:rPr>
          <w:b/>
          <w:i/>
        </w:rPr>
      </w:pPr>
      <w:r w:rsidRPr="00272350">
        <w:rPr>
          <w:b/>
          <w:i/>
        </w:rPr>
        <w:t>Недемократичен процес на вземане на решения</w:t>
      </w:r>
    </w:p>
    <w:p w:rsidR="00220287" w:rsidRPr="00272350" w:rsidRDefault="00220287" w:rsidP="00220287">
      <w:pPr>
        <w:pStyle w:val="NormalHanging12a"/>
      </w:pPr>
      <w:r w:rsidRPr="00272350">
        <w:t>П.</w:t>
      </w:r>
      <w:r w:rsidRPr="00272350">
        <w:tab/>
        <w:t>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през деветия си мандат Парламентът прие 38 възражения срещу пускането на ГМО на пазара;</w:t>
      </w:r>
    </w:p>
    <w:p w:rsidR="00220287" w:rsidRPr="00272350" w:rsidRDefault="00220287" w:rsidP="00220287">
      <w:pPr>
        <w:pStyle w:val="NormalHanging12a"/>
      </w:pPr>
      <w:r w:rsidRPr="00272350">
        <w:t>Р.</w:t>
      </w:r>
      <w:r w:rsidRPr="00272350">
        <w:tab/>
        <w:t>като има предвид, че макар самата тя да отчита недостатъчно демократичния характер на процедурата, липсата на подкрепа от държавите членки и възраженията на Парламента, Комисията продължава да разрешава ГМО;</w:t>
      </w:r>
    </w:p>
    <w:p w:rsidR="00220287" w:rsidRPr="00272350" w:rsidRDefault="00220287" w:rsidP="00220287">
      <w:pPr>
        <w:pStyle w:val="NormalHanging12a"/>
      </w:pPr>
      <w:r w:rsidRPr="00272350">
        <w:t>С.</w:t>
      </w:r>
      <w:r w:rsidRPr="00272350">
        <w:tab/>
        <w:t>като има предвид, че не се изисква промяна на законодателството, за да може Комисията да не разрешава ГМО, когато държавите членки не са изразили подкрепа с квалифицирано мнозинство в апелативния комитет</w:t>
      </w:r>
      <w:r w:rsidRPr="00272350">
        <w:rPr>
          <w:rStyle w:val="FootnoteReference"/>
        </w:rPr>
        <w:footnoteReference w:id="15"/>
      </w:r>
      <w:r w:rsidRPr="00272350">
        <w:t>;</w:t>
      </w:r>
    </w:p>
    <w:p w:rsidR="00220287" w:rsidRPr="00272350" w:rsidRDefault="00220287" w:rsidP="00220287">
      <w:pPr>
        <w:pStyle w:val="NormalHanging12a"/>
      </w:pPr>
      <w:r w:rsidRPr="00272350">
        <w:t>Т.</w:t>
      </w:r>
      <w:r w:rsidRPr="00272350">
        <w:tab/>
      </w:r>
      <w:r w:rsidRPr="00272350">
        <w:rPr>
          <w:shd w:val="clear" w:color="auto" w:fill="FFFFFF"/>
        </w:rPr>
        <w:t>като има предвид, че при гласуването на 8 юли 2024 г. в Постоянния комитет по растенията, животните, храните и фуражите, посочен в член 35 от Регламент (ЕО) № 1829/2003, не беше изразено становище, което означава, че разрешението не е подкрепено от квалифицирано мнозинство от държавите членки; като има предвид, че при гласуването в апелативния комитет на 3 септември 2024 г. също не беше изразено становище;</w:t>
      </w:r>
    </w:p>
    <w:p w:rsidR="00220287" w:rsidRPr="00272350" w:rsidRDefault="00220287" w:rsidP="005D52EF">
      <w:pPr>
        <w:pStyle w:val="NormalHanging12a"/>
      </w:pPr>
      <w:r w:rsidRPr="00272350">
        <w:t>1.</w:t>
      </w:r>
      <w:r w:rsidRPr="00272350">
        <w:tab/>
        <w:t xml:space="preserve">счита, че </w:t>
      </w:r>
      <w:r w:rsidR="005D52EF">
        <w:t>Р</w:t>
      </w:r>
      <w:r w:rsidRPr="00272350">
        <w:t>ешение за изпълнение</w:t>
      </w:r>
      <w:r w:rsidR="005D52EF">
        <w:t xml:space="preserve"> </w:t>
      </w:r>
      <w:r w:rsidR="005D52EF">
        <w:rPr>
          <w:lang w:val="en-GB"/>
        </w:rPr>
        <w:t>(E</w:t>
      </w:r>
      <w:r w:rsidR="005D52EF">
        <w:t>С</w:t>
      </w:r>
      <w:r w:rsidR="005D52EF" w:rsidRPr="005D52EF">
        <w:rPr>
          <w:lang w:val="en-GB"/>
        </w:rPr>
        <w:t>) 2024/2618</w:t>
      </w:r>
      <w:r w:rsidRPr="00272350">
        <w:t xml:space="preserve"> превишава изпълнителните правомощия, предвидени в Регламент (ЕО) № 1829/2003;</w:t>
      </w:r>
    </w:p>
    <w:p w:rsidR="00220287" w:rsidRPr="00272350" w:rsidRDefault="00220287" w:rsidP="005D52EF">
      <w:pPr>
        <w:pStyle w:val="NormalHanging12a"/>
      </w:pPr>
      <w:r w:rsidRPr="00272350">
        <w:t>2.</w:t>
      </w:r>
      <w:r w:rsidRPr="00272350">
        <w:tab/>
        <w:t xml:space="preserve">счита, че </w:t>
      </w:r>
      <w:r w:rsidR="005D52EF">
        <w:t>Р</w:t>
      </w:r>
      <w:r w:rsidRPr="00272350">
        <w:t xml:space="preserve">ешение за изпълнение </w:t>
      </w:r>
      <w:r w:rsidR="005D52EF">
        <w:rPr>
          <w:lang w:val="en-GB"/>
        </w:rPr>
        <w:t>(E</w:t>
      </w:r>
      <w:r w:rsidR="005D52EF">
        <w:t>С</w:t>
      </w:r>
      <w:r w:rsidR="005D52EF" w:rsidRPr="005D52EF">
        <w:rPr>
          <w:lang w:val="en-GB"/>
        </w:rPr>
        <w:t>) 2024/2618</w:t>
      </w:r>
      <w:r w:rsidR="005D52EF" w:rsidRPr="00272350">
        <w:t xml:space="preserve"> </w:t>
      </w:r>
      <w:r w:rsidRPr="00272350">
        <w:t xml:space="preserve">не е в съответствие с правото на </w:t>
      </w:r>
      <w:r w:rsidRPr="00272350">
        <w:lastRenderedPageBreak/>
        <w:t>Съюза, доколкото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272350">
        <w:rPr>
          <w:rStyle w:val="FootnoteReference"/>
        </w:rPr>
        <w:footnoteReference w:id="16"/>
      </w:r>
      <w:r w:rsidRPr="00272350">
        <w:t>, е да се предвиди основата за гарантиране на висока степен на защита на живота и здравето на човека, на здравето на животните и на хуманното отношение към тях и на интересите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w:t>
      </w:r>
    </w:p>
    <w:p w:rsidR="00506095" w:rsidRDefault="00220287" w:rsidP="005D52EF">
      <w:pPr>
        <w:pStyle w:val="NormalHanging12a"/>
      </w:pPr>
      <w:r w:rsidRPr="00272350">
        <w:t>3.</w:t>
      </w:r>
      <w:r w:rsidRPr="00272350">
        <w:tab/>
      </w:r>
      <w:r w:rsidR="00506095" w:rsidRPr="00506095">
        <w:t>призовава Комисията да гарантира сближаване на стандартите между Съюза и неговите партньори в преговорите за споразумения за свободна търговия, за да се спазват стандартите на Съюза за безопасност;</w:t>
      </w:r>
    </w:p>
    <w:p w:rsidR="00220287" w:rsidRPr="00272350" w:rsidRDefault="00506095" w:rsidP="005D52EF">
      <w:pPr>
        <w:pStyle w:val="NormalHanging12a"/>
      </w:pPr>
      <w:r>
        <w:rPr>
          <w:lang w:val="en-GB"/>
        </w:rPr>
        <w:t>4.</w:t>
      </w:r>
      <w:r>
        <w:rPr>
          <w:lang w:val="en-GB"/>
        </w:rPr>
        <w:tab/>
      </w:r>
      <w:proofErr w:type="gramStart"/>
      <w:r w:rsidR="00220287" w:rsidRPr="00272350">
        <w:t>отправя</w:t>
      </w:r>
      <w:proofErr w:type="gramEnd"/>
      <w:r w:rsidR="00220287" w:rsidRPr="00272350">
        <w:t xml:space="preserve"> искане към Комисията </w:t>
      </w:r>
      <w:r w:rsidR="005D52EF">
        <w:t>да отмени Р</w:t>
      </w:r>
      <w:r w:rsidR="00220287" w:rsidRPr="00272350">
        <w:t xml:space="preserve">ешение за изпълнение </w:t>
      </w:r>
      <w:r w:rsidR="005D52EF">
        <w:rPr>
          <w:lang w:val="en-GB"/>
        </w:rPr>
        <w:t>(E</w:t>
      </w:r>
      <w:r w:rsidR="005D52EF">
        <w:t>С</w:t>
      </w:r>
      <w:r w:rsidR="005D52EF" w:rsidRPr="005D52EF">
        <w:rPr>
          <w:lang w:val="en-GB"/>
        </w:rPr>
        <w:t>) 2024/2618</w:t>
      </w:r>
      <w:r w:rsidR="005D52EF" w:rsidRPr="00272350">
        <w:t xml:space="preserve"> </w:t>
      </w:r>
      <w:r w:rsidR="00220287" w:rsidRPr="00272350">
        <w:t>и да внесе нов проект в комисията;</w:t>
      </w:r>
    </w:p>
    <w:p w:rsidR="00220287" w:rsidRPr="00272350" w:rsidRDefault="004602A9" w:rsidP="00220287">
      <w:pPr>
        <w:pStyle w:val="NormalHanging12a"/>
      </w:pPr>
      <w:r>
        <w:t>5</w:t>
      </w:r>
      <w:r w:rsidR="00220287" w:rsidRPr="00272350">
        <w:t>.</w:t>
      </w:r>
      <w:r w:rsidR="00220287" w:rsidRPr="00272350">
        <w:tab/>
        <w:t>призовава Комисията да не разрешава устойчиви на хербициди генетично модифицирани култури поради свързаната с това повишена употреба на добавъчни хербициди и следователно повишените рискове за биологичното разнообразие, безопасността на храните и здравето на работниците, в съответствие с подхода „Едно здраве“;</w:t>
      </w:r>
    </w:p>
    <w:p w:rsidR="00220287" w:rsidRPr="00272350" w:rsidRDefault="004602A9" w:rsidP="00220287">
      <w:pPr>
        <w:pStyle w:val="NormalHanging12a"/>
      </w:pPr>
      <w:r>
        <w:t>6</w:t>
      </w:r>
      <w:r w:rsidR="00220287" w:rsidRPr="00272350">
        <w:t>.</w:t>
      </w:r>
      <w:r w:rsidR="00220287" w:rsidRPr="00272350">
        <w:tab/>
        <w:t xml:space="preserve">подчертава в това отношение, че разрешаването на вноса за употреба като храни или фуражи на каквито и да било генетично модифицирани растения, при които е създадена устойчивост спрямо забранени в Съюза хербициди, например </w:t>
      </w:r>
      <w:proofErr w:type="spellStart"/>
      <w:r w:rsidR="00220287" w:rsidRPr="00272350">
        <w:t>глуфосинат</w:t>
      </w:r>
      <w:proofErr w:type="spellEnd"/>
      <w:r w:rsidR="00220287" w:rsidRPr="00272350">
        <w:t>, не съответства на международните ангажименти на Съюза съгласно, наред с другото, ЦУР на ООН и Конвенцията на ООН за биологичното разнообразие, включително наскоро приетата рамка Кунмин – Монреал</w:t>
      </w:r>
      <w:r w:rsidR="00220287" w:rsidRPr="00272350">
        <w:rPr>
          <w:rStyle w:val="FootnoteReference"/>
        </w:rPr>
        <w:footnoteReference w:id="17"/>
      </w:r>
      <w:r w:rsidR="00220287" w:rsidRPr="00272350">
        <w:t>;</w:t>
      </w:r>
    </w:p>
    <w:p w:rsidR="00220287" w:rsidRPr="00272350" w:rsidRDefault="004602A9" w:rsidP="00220287">
      <w:pPr>
        <w:pStyle w:val="NormalHanging12a"/>
      </w:pPr>
      <w:r>
        <w:t>7</w:t>
      </w:r>
      <w:r w:rsidR="00220287" w:rsidRPr="00272350">
        <w:t>.</w:t>
      </w:r>
      <w:r w:rsidR="00220287" w:rsidRPr="00272350">
        <w:tab/>
        <w:t>очаква Комисията спешно да изпълни ангажимента си</w:t>
      </w:r>
      <w:r w:rsidR="00220287" w:rsidRPr="00272350">
        <w:rPr>
          <w:rStyle w:val="FootnoteReference"/>
        </w:rPr>
        <w:footnoteReference w:id="18"/>
      </w:r>
      <w:r w:rsidR="00220287" w:rsidRPr="00272350">
        <w:t xml:space="preserve"> да представи предложение, за да гарантира, че опасните химикали, забранени в Съюза, не се произвеждат за износ;</w:t>
      </w:r>
    </w:p>
    <w:p w:rsidR="00220287" w:rsidRPr="00272350" w:rsidRDefault="004602A9" w:rsidP="00220287">
      <w:pPr>
        <w:pStyle w:val="NormalHanging12a"/>
      </w:pPr>
      <w:r>
        <w:t>8</w:t>
      </w:r>
      <w:r w:rsidR="00220287" w:rsidRPr="00272350">
        <w:t>.</w:t>
      </w:r>
      <w:r w:rsidR="00220287" w:rsidRPr="00272350">
        <w:tab/>
        <w:t>приветства факта, че в писмо от 11 септември 2020 г. до членовете на ЕП Комисията в крайна сметка призна необходимостта да се взема предвид устойчивостта, когато става въпрос за решения за разрешаване на ГМО</w:t>
      </w:r>
      <w:r w:rsidR="00220287" w:rsidRPr="00272350">
        <w:rPr>
          <w:rStyle w:val="FootnoteReference"/>
        </w:rPr>
        <w:footnoteReference w:id="19"/>
      </w:r>
      <w:r w:rsidR="00220287" w:rsidRPr="00272350">
        <w:t xml:space="preserve">; изразява силно разочарование обаче, че след това Комисията продължи да разрешава вноса </w:t>
      </w:r>
      <w:r w:rsidR="00220287" w:rsidRPr="00272350">
        <w:lastRenderedPageBreak/>
        <w:t>на ГМО в Съюза въпреки продължаващите възражения от страна на Парламента и факта, че няма квалифицирано мнозинство от държави членки в подкрепа на това;</w:t>
      </w:r>
    </w:p>
    <w:p w:rsidR="00220287" w:rsidRPr="00272350" w:rsidRDefault="004602A9" w:rsidP="00220287">
      <w:pPr>
        <w:pStyle w:val="NormalHanging12a"/>
      </w:pPr>
      <w:r>
        <w:t>9</w:t>
      </w:r>
      <w:r w:rsidR="00220287" w:rsidRPr="00272350">
        <w:t>.</w:t>
      </w:r>
      <w:r w:rsidR="00220287" w:rsidRPr="00272350">
        <w:tab/>
        <w:t>отново настоятелно призовава Комисията да взема предвид задълженията на Съюза съгласно международни споразумения като Парижкото споразумение относно изменението на климата, Конвенцията на ООН за 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„ненанасяне на вреда“</w:t>
      </w:r>
      <w:r w:rsidR="00220287" w:rsidRPr="00272350">
        <w:rPr>
          <w:rStyle w:val="FootnoteReference"/>
        </w:rPr>
        <w:footnoteReference w:id="20"/>
      </w:r>
      <w:r w:rsidR="00220287" w:rsidRPr="00272350">
        <w:t xml:space="preserve">; </w:t>
      </w:r>
    </w:p>
    <w:p w:rsidR="00272350" w:rsidRPr="00272350" w:rsidRDefault="004602A9" w:rsidP="00272350">
      <w:pPr>
        <w:pStyle w:val="NormalHanging12a"/>
      </w:pPr>
      <w:r>
        <w:t>10</w:t>
      </w:r>
      <w:r w:rsidR="00220287" w:rsidRPr="00272350">
        <w:t>.</w:t>
      </w:r>
      <w:r w:rsidR="00220287" w:rsidRPr="00272350">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272350" w:rsidRDefault="00E365E1" w:rsidP="00220287">
      <w:bookmarkStart w:id="7" w:name="_GoBack"/>
      <w:bookmarkEnd w:id="7"/>
    </w:p>
    <w:sectPr w:rsidR="00E365E1" w:rsidRPr="00272350" w:rsidSect="0027235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914" w:rsidRPr="00272350" w:rsidRDefault="00E84914">
      <w:r w:rsidRPr="00272350">
        <w:separator/>
      </w:r>
    </w:p>
  </w:endnote>
  <w:endnote w:type="continuationSeparator" w:id="0">
    <w:p w:rsidR="00E84914" w:rsidRPr="00272350" w:rsidRDefault="00E84914">
      <w:r w:rsidRPr="002723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914" w:rsidRPr="00272350" w:rsidRDefault="00E84914">
      <w:r w:rsidRPr="00272350">
        <w:separator/>
      </w:r>
    </w:p>
  </w:footnote>
  <w:footnote w:type="continuationSeparator" w:id="0">
    <w:p w:rsidR="00E84914" w:rsidRPr="00272350" w:rsidRDefault="00E84914">
      <w:r w:rsidRPr="00272350">
        <w:continuationSeparator/>
      </w:r>
    </w:p>
  </w:footnote>
  <w:footnote w:id="1">
    <w:p w:rsidR="005D52EF" w:rsidRPr="00506095" w:rsidRDefault="005D52EF" w:rsidP="00506095">
      <w:pPr>
        <w:pStyle w:val="FootnoteText"/>
        <w:ind w:left="567" w:hanging="567"/>
        <w:rPr>
          <w:sz w:val="24"/>
          <w:szCs w:val="22"/>
          <w:lang w:val="bg-BG"/>
        </w:rPr>
      </w:pPr>
      <w:r>
        <w:rPr>
          <w:rStyle w:val="FootnoteReference"/>
        </w:rPr>
        <w:footnoteRef/>
      </w:r>
      <w:r>
        <w:t xml:space="preserve"> </w:t>
      </w:r>
      <w:r>
        <w:rPr>
          <w:lang w:val="bg-BG"/>
        </w:rPr>
        <w:tab/>
      </w:r>
      <w:r w:rsidRPr="005D52EF">
        <w:rPr>
          <w:sz w:val="24"/>
          <w:szCs w:val="22"/>
          <w:lang w:val="bg-BG"/>
        </w:rPr>
        <w:t>O</w:t>
      </w:r>
      <w:r>
        <w:rPr>
          <w:sz w:val="24"/>
          <w:szCs w:val="22"/>
          <w:lang w:val="bg-BG"/>
        </w:rPr>
        <w:t>В</w:t>
      </w:r>
      <w:r w:rsidRPr="00506095">
        <w:rPr>
          <w:sz w:val="24"/>
          <w:szCs w:val="22"/>
          <w:lang w:val="bg-BG"/>
        </w:rPr>
        <w:t xml:space="preserve"> L, 2024/2618, 10.10.2024</w:t>
      </w:r>
      <w:r>
        <w:rPr>
          <w:sz w:val="24"/>
          <w:szCs w:val="22"/>
          <w:lang w:val="bg-BG"/>
        </w:rPr>
        <w:t> г.</w:t>
      </w:r>
      <w:r w:rsidRPr="00506095">
        <w:rPr>
          <w:sz w:val="24"/>
          <w:szCs w:val="22"/>
          <w:lang w:val="bg-BG"/>
        </w:rPr>
        <w:t>, ELI: http://data.europa.eu/eli/dec_impl/2024/2618/oj.</w:t>
      </w:r>
    </w:p>
  </w:footnote>
  <w:footnote w:id="2">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ОВ L 268, 18.10.2003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72350">
          <w:rPr>
            <w:rStyle w:val="Hyperlink"/>
            <w:color w:val="337AB7"/>
            <w:sz w:val="24"/>
            <w:shd w:val="clear" w:color="auto" w:fill="FFFFFF"/>
            <w:lang w:val="bg-BG"/>
          </w:rPr>
          <w:t>http://data.europa.eu/eli/reg/2003/1829/oj</w:t>
        </w:r>
      </w:hyperlink>
    </w:p>
  </w:footnote>
  <w:footnote w:id="3">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ОВ L 55, 28.2.2011 г., стр. 13,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72350">
          <w:rPr>
            <w:rStyle w:val="Hyperlink"/>
            <w:color w:val="337AB7"/>
            <w:sz w:val="24"/>
            <w:shd w:val="clear" w:color="auto" w:fill="FFFFFF"/>
            <w:lang w:val="bg-BG"/>
          </w:rPr>
          <w:t>http://data.europa.eu/eli/reg/2011/182/oj</w:t>
        </w:r>
      </w:hyperlink>
    </w:p>
  </w:footnote>
  <w:footnote w:id="4">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Научно становище на Експертната група по генетично модифицирани организми на ЕОБХ във връзка с оценката на генетично модифицирана царевица DP202216 за употреба като храни и фуражи в съответствие с Регламент (ЕО) № 1829/2003 (заявление EFSA-GMO-NL-2019-159), Бюлетин на ЕОБХ, 2024 г.; 22(3):8655, </w:t>
      </w:r>
      <w:hyperlink r:id="rId3" w:history="1">
        <w:r w:rsidRPr="00272350">
          <w:rPr>
            <w:rStyle w:val="Hyperlink"/>
            <w:sz w:val="24"/>
            <w:lang w:val="bg-BG"/>
          </w:rPr>
          <w:t>https://doi.org/10.2903/j.efsa.2024.8655</w:t>
        </w:r>
      </w:hyperlink>
      <w:r w:rsidRPr="00272350">
        <w:rPr>
          <w:sz w:val="24"/>
          <w:lang w:val="bg-BG"/>
        </w:rPr>
        <w:t>.</w:t>
      </w:r>
    </w:p>
  </w:footnote>
  <w:footnote w:id="5">
    <w:p w:rsidR="00220287" w:rsidRPr="00272350" w:rsidRDefault="00220287" w:rsidP="00272350">
      <w:pPr>
        <w:pStyle w:val="FootnoteText"/>
        <w:ind w:left="567" w:hanging="567"/>
        <w:rPr>
          <w:sz w:val="24"/>
          <w:szCs w:val="22"/>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През осмия си мандат Парламентът прие 36 резолюции, а през деветия си мандат – 38 резолюции, в които възразява срещу разрешаването на ГМО.</w:t>
      </w:r>
      <w:r w:rsidRPr="00272350">
        <w:rPr>
          <w:color w:val="000000" w:themeColor="text1"/>
          <w:sz w:val="24"/>
          <w:lang w:val="bg-BG"/>
        </w:rPr>
        <w:t xml:space="preserve"> </w:t>
      </w:r>
    </w:p>
  </w:footnote>
  <w:footnote w:id="6">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Регламент за изпълнение (ЕС) № 503/2013 на Комисията от 3 април 2013 г. относно заявленията за разрешение за генетично модифицирани храни и фуражи в съответствие с Регламент (ЕО) № 1829/2003 на Европейския парламент и на Съвета и за изменение на регламенти (ЕО) № 641/2004 и (ЕО) № 1981/2006 на Комисията (ОВ L 157, 8.6.2013 г., стр. 1, ELI: </w:t>
      </w:r>
      <w:hyperlink r:id="rId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72350">
          <w:rPr>
            <w:rStyle w:val="Hyperlink"/>
            <w:sz w:val="24"/>
            <w:lang w:val="bg-BG"/>
          </w:rPr>
          <w:t>http://data.europa.eu/eli/reg_impl/2013/503/oj</w:t>
        </w:r>
      </w:hyperlink>
      <w:r w:rsidRPr="00272350">
        <w:rPr>
          <w:sz w:val="24"/>
          <w:lang w:val="bg-BG"/>
        </w:rPr>
        <w:t>).</w:t>
      </w:r>
    </w:p>
  </w:footnote>
  <w:footnote w:id="7">
    <w:p w:rsidR="00220287" w:rsidRPr="00272350" w:rsidRDefault="00220287" w:rsidP="00272350">
      <w:pPr>
        <w:pStyle w:val="FootnoteText"/>
        <w:ind w:left="567" w:hanging="567"/>
        <w:rPr>
          <w:sz w:val="24"/>
          <w:szCs w:val="22"/>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Вж., например, </w:t>
      </w:r>
      <w:proofErr w:type="spellStart"/>
      <w:r w:rsidRPr="00272350">
        <w:rPr>
          <w:sz w:val="24"/>
          <w:lang w:val="bg-BG"/>
        </w:rPr>
        <w:t>Schulz</w:t>
      </w:r>
      <w:proofErr w:type="spellEnd"/>
      <w:r w:rsidRPr="00272350">
        <w:rPr>
          <w:sz w:val="24"/>
          <w:lang w:val="bg-BG"/>
        </w:rPr>
        <w:t xml:space="preserve">, R., </w:t>
      </w:r>
      <w:proofErr w:type="spellStart"/>
      <w:r w:rsidRPr="00272350">
        <w:rPr>
          <w:sz w:val="24"/>
          <w:lang w:val="bg-BG"/>
        </w:rPr>
        <w:t>Bub</w:t>
      </w:r>
      <w:proofErr w:type="spellEnd"/>
      <w:r w:rsidRPr="00272350">
        <w:rPr>
          <w:sz w:val="24"/>
          <w:lang w:val="bg-BG"/>
        </w:rPr>
        <w:t xml:space="preserve">, S., </w:t>
      </w:r>
      <w:proofErr w:type="spellStart"/>
      <w:r w:rsidRPr="00272350">
        <w:rPr>
          <w:sz w:val="24"/>
          <w:lang w:val="bg-BG"/>
        </w:rPr>
        <w:t>Petschick</w:t>
      </w:r>
      <w:proofErr w:type="spellEnd"/>
      <w:r w:rsidRPr="00272350">
        <w:rPr>
          <w:sz w:val="24"/>
          <w:lang w:val="bg-BG"/>
        </w:rPr>
        <w:t xml:space="preserve">, L. L., </w:t>
      </w:r>
      <w:proofErr w:type="spellStart"/>
      <w:r w:rsidRPr="00272350">
        <w:rPr>
          <w:sz w:val="24"/>
          <w:lang w:val="bg-BG"/>
        </w:rPr>
        <w:t>Stehle</w:t>
      </w:r>
      <w:proofErr w:type="spellEnd"/>
      <w:r w:rsidRPr="00272350">
        <w:rPr>
          <w:sz w:val="24"/>
          <w:lang w:val="bg-BG"/>
        </w:rPr>
        <w:t xml:space="preserve">, S., </w:t>
      </w:r>
      <w:proofErr w:type="spellStart"/>
      <w:r w:rsidRPr="00272350">
        <w:rPr>
          <w:sz w:val="24"/>
          <w:lang w:val="bg-BG"/>
        </w:rPr>
        <w:t>Wolfram</w:t>
      </w:r>
      <w:proofErr w:type="spellEnd"/>
      <w:r w:rsidRPr="00272350">
        <w:rPr>
          <w:sz w:val="24"/>
          <w:lang w:val="bg-BG"/>
        </w:rPr>
        <w:t>, J. (2021) „</w:t>
      </w:r>
      <w:proofErr w:type="spellStart"/>
      <w:r w:rsidRPr="00272350">
        <w:rPr>
          <w:sz w:val="24"/>
          <w:lang w:val="bg-BG"/>
        </w:rPr>
        <w:t>Applied</w:t>
      </w:r>
      <w:proofErr w:type="spellEnd"/>
      <w:r w:rsidRPr="00272350">
        <w:rPr>
          <w:sz w:val="24"/>
          <w:lang w:val="bg-BG"/>
        </w:rPr>
        <w:t xml:space="preserve"> </w:t>
      </w:r>
      <w:proofErr w:type="spellStart"/>
      <w:r w:rsidRPr="00272350">
        <w:rPr>
          <w:sz w:val="24"/>
          <w:lang w:val="bg-BG"/>
        </w:rPr>
        <w:t>pesticide</w:t>
      </w:r>
      <w:proofErr w:type="spellEnd"/>
      <w:r w:rsidRPr="00272350">
        <w:rPr>
          <w:sz w:val="24"/>
          <w:lang w:val="bg-BG"/>
        </w:rPr>
        <w:t xml:space="preserve"> </w:t>
      </w:r>
      <w:proofErr w:type="spellStart"/>
      <w:r w:rsidRPr="00272350">
        <w:rPr>
          <w:sz w:val="24"/>
          <w:lang w:val="bg-BG"/>
        </w:rPr>
        <w:t>toxicity</w:t>
      </w:r>
      <w:proofErr w:type="spellEnd"/>
      <w:r w:rsidRPr="00272350">
        <w:rPr>
          <w:sz w:val="24"/>
          <w:lang w:val="bg-BG"/>
        </w:rPr>
        <w:t xml:space="preserve"> </w:t>
      </w:r>
      <w:proofErr w:type="spellStart"/>
      <w:r w:rsidRPr="00272350">
        <w:rPr>
          <w:sz w:val="24"/>
          <w:lang w:val="bg-BG"/>
        </w:rPr>
        <w:t>shifts</w:t>
      </w:r>
      <w:proofErr w:type="spellEnd"/>
      <w:r w:rsidRPr="00272350">
        <w:rPr>
          <w:sz w:val="24"/>
          <w:lang w:val="bg-BG"/>
        </w:rPr>
        <w:t xml:space="preserve"> </w:t>
      </w:r>
      <w:proofErr w:type="spellStart"/>
      <w:r w:rsidRPr="00272350">
        <w:rPr>
          <w:sz w:val="24"/>
          <w:lang w:val="bg-BG"/>
        </w:rPr>
        <w:t>toward</w:t>
      </w:r>
      <w:proofErr w:type="spellEnd"/>
      <w:r w:rsidRPr="00272350">
        <w:rPr>
          <w:sz w:val="24"/>
          <w:lang w:val="bg-BG"/>
        </w:rPr>
        <w:t xml:space="preserve"> </w:t>
      </w:r>
      <w:proofErr w:type="spellStart"/>
      <w:r w:rsidRPr="00272350">
        <w:rPr>
          <w:sz w:val="24"/>
          <w:lang w:val="bg-BG"/>
        </w:rPr>
        <w:t>plants</w:t>
      </w:r>
      <w:proofErr w:type="spellEnd"/>
      <w:r w:rsidRPr="00272350">
        <w:rPr>
          <w:sz w:val="24"/>
          <w:lang w:val="bg-BG"/>
        </w:rPr>
        <w:t xml:space="preserve"> </w:t>
      </w:r>
      <w:proofErr w:type="spellStart"/>
      <w:r w:rsidRPr="00272350">
        <w:rPr>
          <w:sz w:val="24"/>
          <w:lang w:val="bg-BG"/>
        </w:rPr>
        <w:t>and</w:t>
      </w:r>
      <w:proofErr w:type="spellEnd"/>
      <w:r w:rsidRPr="00272350">
        <w:rPr>
          <w:sz w:val="24"/>
          <w:lang w:val="bg-BG"/>
        </w:rPr>
        <w:t xml:space="preserve"> </w:t>
      </w:r>
      <w:proofErr w:type="spellStart"/>
      <w:r w:rsidRPr="00272350">
        <w:rPr>
          <w:sz w:val="24"/>
          <w:lang w:val="bg-BG"/>
        </w:rPr>
        <w:t>invertebrates</w:t>
      </w:r>
      <w:proofErr w:type="spellEnd"/>
      <w:r w:rsidRPr="00272350">
        <w:rPr>
          <w:sz w:val="24"/>
          <w:lang w:val="bg-BG"/>
        </w:rPr>
        <w:t xml:space="preserve">, </w:t>
      </w:r>
      <w:proofErr w:type="spellStart"/>
      <w:r w:rsidRPr="00272350">
        <w:rPr>
          <w:sz w:val="24"/>
          <w:lang w:val="bg-BG"/>
        </w:rPr>
        <w:t>even</w:t>
      </w:r>
      <w:proofErr w:type="spellEnd"/>
      <w:r w:rsidRPr="00272350">
        <w:rPr>
          <w:sz w:val="24"/>
          <w:lang w:val="bg-BG"/>
        </w:rPr>
        <w:t xml:space="preserve"> in GM </w:t>
      </w:r>
      <w:proofErr w:type="spellStart"/>
      <w:r w:rsidRPr="00272350">
        <w:rPr>
          <w:sz w:val="24"/>
          <w:lang w:val="bg-BG"/>
        </w:rPr>
        <w:t>crops</w:t>
      </w:r>
      <w:proofErr w:type="spellEnd"/>
      <w:r w:rsidRPr="00272350">
        <w:rPr>
          <w:sz w:val="24"/>
          <w:lang w:val="bg-BG"/>
        </w:rPr>
        <w:t xml:space="preserve">“ (Въздействие на токсичността на приложените пестициди върху растенията и безгръбначните, дори при генетично модифицираните култури), Science 372(6537), стр. 81 – 84, </w:t>
      </w:r>
      <w:hyperlink r:id="rId5" w:history="1">
        <w:r w:rsidRPr="00272350">
          <w:rPr>
            <w:rStyle w:val="Hyperlink"/>
            <w:sz w:val="24"/>
            <w:lang w:val="bg-BG"/>
          </w:rPr>
          <w:t>https://doi.org/10.1126/science.abe1148</w:t>
        </w:r>
      </w:hyperlink>
      <w:r w:rsidRPr="00272350">
        <w:rPr>
          <w:rStyle w:val="Hyperlink"/>
          <w:sz w:val="24"/>
          <w:lang w:val="bg-BG"/>
        </w:rPr>
        <w:t>;</w:t>
      </w:r>
      <w:r w:rsidRPr="00272350">
        <w:rPr>
          <w:sz w:val="24"/>
          <w:lang w:val="bg-BG"/>
        </w:rPr>
        <w:t xml:space="preserve"> </w:t>
      </w:r>
      <w:proofErr w:type="spellStart"/>
      <w:r w:rsidRPr="00272350">
        <w:rPr>
          <w:sz w:val="24"/>
          <w:lang w:val="bg-BG"/>
        </w:rPr>
        <w:t>Bonny</w:t>
      </w:r>
      <w:proofErr w:type="spellEnd"/>
      <w:r w:rsidRPr="00272350">
        <w:rPr>
          <w:sz w:val="24"/>
          <w:lang w:val="bg-BG"/>
        </w:rPr>
        <w:t>, S., „</w:t>
      </w:r>
      <w:proofErr w:type="spellStart"/>
      <w:r w:rsidRPr="00272350">
        <w:rPr>
          <w:sz w:val="24"/>
          <w:lang w:val="bg-BG"/>
        </w:rPr>
        <w:t>Genetically</w:t>
      </w:r>
      <w:proofErr w:type="spellEnd"/>
      <w:r w:rsidRPr="00272350">
        <w:rPr>
          <w:sz w:val="24"/>
          <w:lang w:val="bg-BG"/>
        </w:rPr>
        <w:t xml:space="preserve"> </w:t>
      </w:r>
      <w:proofErr w:type="spellStart"/>
      <w:r w:rsidRPr="00272350">
        <w:rPr>
          <w:sz w:val="24"/>
          <w:lang w:val="bg-BG"/>
        </w:rPr>
        <w:t>Modified</w:t>
      </w:r>
      <w:proofErr w:type="spellEnd"/>
      <w:r w:rsidRPr="00272350">
        <w:rPr>
          <w:sz w:val="24"/>
          <w:lang w:val="bg-BG"/>
        </w:rPr>
        <w:t xml:space="preserve"> </w:t>
      </w:r>
      <w:proofErr w:type="spellStart"/>
      <w:r w:rsidRPr="00272350">
        <w:rPr>
          <w:sz w:val="24"/>
          <w:lang w:val="bg-BG"/>
        </w:rPr>
        <w:t>Herbicide-Tolerant</w:t>
      </w:r>
      <w:proofErr w:type="spellEnd"/>
      <w:r w:rsidRPr="00272350">
        <w:rPr>
          <w:sz w:val="24"/>
          <w:lang w:val="bg-BG"/>
        </w:rPr>
        <w:t xml:space="preserve"> </w:t>
      </w:r>
      <w:proofErr w:type="spellStart"/>
      <w:r w:rsidRPr="00272350">
        <w:rPr>
          <w:sz w:val="24"/>
          <w:lang w:val="bg-BG"/>
        </w:rPr>
        <w:t>Crops</w:t>
      </w:r>
      <w:proofErr w:type="spellEnd"/>
      <w:r w:rsidRPr="00272350">
        <w:rPr>
          <w:sz w:val="24"/>
          <w:lang w:val="bg-BG"/>
        </w:rPr>
        <w:t xml:space="preserve">, </w:t>
      </w:r>
      <w:proofErr w:type="spellStart"/>
      <w:r w:rsidRPr="00272350">
        <w:rPr>
          <w:sz w:val="24"/>
          <w:lang w:val="bg-BG"/>
        </w:rPr>
        <w:t>Weeds</w:t>
      </w:r>
      <w:proofErr w:type="spellEnd"/>
      <w:r w:rsidRPr="00272350">
        <w:rPr>
          <w:sz w:val="24"/>
          <w:lang w:val="bg-BG"/>
        </w:rPr>
        <w:t xml:space="preserve">, </w:t>
      </w:r>
      <w:proofErr w:type="spellStart"/>
      <w:r w:rsidRPr="00272350">
        <w:rPr>
          <w:sz w:val="24"/>
          <w:lang w:val="bg-BG"/>
        </w:rPr>
        <w:t>and</w:t>
      </w:r>
      <w:proofErr w:type="spellEnd"/>
      <w:r w:rsidRPr="00272350">
        <w:rPr>
          <w:sz w:val="24"/>
          <w:lang w:val="bg-BG"/>
        </w:rPr>
        <w:t xml:space="preserve"> </w:t>
      </w:r>
      <w:proofErr w:type="spellStart"/>
      <w:r w:rsidRPr="00272350">
        <w:rPr>
          <w:sz w:val="24"/>
          <w:lang w:val="bg-BG"/>
        </w:rPr>
        <w:t>Herbicides</w:t>
      </w:r>
      <w:proofErr w:type="spellEnd"/>
      <w:r w:rsidRPr="00272350">
        <w:rPr>
          <w:sz w:val="24"/>
          <w:lang w:val="bg-BG"/>
        </w:rPr>
        <w:t xml:space="preserve">: </w:t>
      </w:r>
      <w:proofErr w:type="spellStart"/>
      <w:r w:rsidRPr="00272350">
        <w:rPr>
          <w:sz w:val="24"/>
          <w:lang w:val="bg-BG"/>
        </w:rPr>
        <w:t>Overview</w:t>
      </w:r>
      <w:proofErr w:type="spellEnd"/>
      <w:r w:rsidRPr="00272350">
        <w:rPr>
          <w:sz w:val="24"/>
          <w:lang w:val="bg-BG"/>
        </w:rPr>
        <w:t xml:space="preserve"> </w:t>
      </w:r>
      <w:proofErr w:type="spellStart"/>
      <w:r w:rsidRPr="00272350">
        <w:rPr>
          <w:sz w:val="24"/>
          <w:lang w:val="bg-BG"/>
        </w:rPr>
        <w:t>and</w:t>
      </w:r>
      <w:proofErr w:type="spellEnd"/>
      <w:r w:rsidRPr="00272350">
        <w:rPr>
          <w:sz w:val="24"/>
          <w:lang w:val="bg-BG"/>
        </w:rPr>
        <w:t xml:space="preserve"> </w:t>
      </w:r>
      <w:proofErr w:type="spellStart"/>
      <w:r w:rsidRPr="00272350">
        <w:rPr>
          <w:sz w:val="24"/>
          <w:lang w:val="bg-BG"/>
        </w:rPr>
        <w:t>Impact</w:t>
      </w:r>
      <w:proofErr w:type="spellEnd"/>
      <w:r w:rsidRPr="00272350">
        <w:rPr>
          <w:sz w:val="24"/>
          <w:lang w:val="bg-BG"/>
        </w:rPr>
        <w:t xml:space="preserve">“ (Устойчиви на хербициди генетично модифицирани култури, плевели и хербициди: преглед и въздействие), </w:t>
      </w:r>
      <w:proofErr w:type="spellStart"/>
      <w:r w:rsidRPr="00272350">
        <w:rPr>
          <w:sz w:val="24"/>
          <w:lang w:val="bg-BG"/>
        </w:rPr>
        <w:t>Environmental</w:t>
      </w:r>
      <w:proofErr w:type="spellEnd"/>
      <w:r w:rsidRPr="00272350">
        <w:rPr>
          <w:sz w:val="24"/>
          <w:lang w:val="bg-BG"/>
        </w:rPr>
        <w:t xml:space="preserve"> </w:t>
      </w:r>
      <w:proofErr w:type="spellStart"/>
      <w:r w:rsidRPr="00272350">
        <w:rPr>
          <w:sz w:val="24"/>
          <w:lang w:val="bg-BG"/>
        </w:rPr>
        <w:t>Management</w:t>
      </w:r>
      <w:proofErr w:type="spellEnd"/>
      <w:r w:rsidRPr="00272350">
        <w:rPr>
          <w:sz w:val="24"/>
          <w:lang w:val="bg-BG"/>
        </w:rPr>
        <w:t xml:space="preserve">, януари 2016 г.; 57(1), стр. 31 – 48, </w:t>
      </w:r>
      <w:hyperlink r:id="rId6" w:history="1">
        <w:r w:rsidRPr="00272350">
          <w:rPr>
            <w:rStyle w:val="Hyperlink"/>
            <w:sz w:val="24"/>
            <w:lang w:val="bg-BG"/>
          </w:rPr>
          <w:t>https://www.ncbi.nlm.nih.gov/pubmed/26296738</w:t>
        </w:r>
      </w:hyperlink>
      <w:r w:rsidRPr="00272350">
        <w:rPr>
          <w:sz w:val="24"/>
          <w:lang w:val="bg-BG"/>
        </w:rPr>
        <w:t xml:space="preserve">; и </w:t>
      </w:r>
      <w:proofErr w:type="spellStart"/>
      <w:r w:rsidRPr="00272350">
        <w:rPr>
          <w:sz w:val="24"/>
          <w:lang w:val="bg-BG"/>
        </w:rPr>
        <w:t>Benbrook</w:t>
      </w:r>
      <w:proofErr w:type="spellEnd"/>
      <w:r w:rsidRPr="00272350">
        <w:rPr>
          <w:sz w:val="24"/>
          <w:lang w:val="bg-BG"/>
        </w:rPr>
        <w:t>, C.M., „</w:t>
      </w:r>
      <w:proofErr w:type="spellStart"/>
      <w:r w:rsidRPr="00272350">
        <w:rPr>
          <w:sz w:val="24"/>
          <w:lang w:val="bg-BG"/>
        </w:rPr>
        <w:t>Impacts</w:t>
      </w:r>
      <w:proofErr w:type="spellEnd"/>
      <w:r w:rsidRPr="00272350">
        <w:rPr>
          <w:sz w:val="24"/>
          <w:lang w:val="bg-BG"/>
        </w:rPr>
        <w:t xml:space="preserve"> </w:t>
      </w:r>
      <w:proofErr w:type="spellStart"/>
      <w:r w:rsidRPr="00272350">
        <w:rPr>
          <w:sz w:val="24"/>
          <w:lang w:val="bg-BG"/>
        </w:rPr>
        <w:t>of</w:t>
      </w:r>
      <w:proofErr w:type="spellEnd"/>
      <w:r w:rsidRPr="00272350">
        <w:rPr>
          <w:sz w:val="24"/>
          <w:lang w:val="bg-BG"/>
        </w:rPr>
        <w:t xml:space="preserve"> </w:t>
      </w:r>
      <w:proofErr w:type="spellStart"/>
      <w:r w:rsidRPr="00272350">
        <w:rPr>
          <w:sz w:val="24"/>
          <w:lang w:val="bg-BG"/>
        </w:rPr>
        <w:t>genetically</w:t>
      </w:r>
      <w:proofErr w:type="spellEnd"/>
      <w:r w:rsidRPr="00272350">
        <w:rPr>
          <w:sz w:val="24"/>
          <w:lang w:val="bg-BG"/>
        </w:rPr>
        <w:t xml:space="preserve"> </w:t>
      </w:r>
      <w:proofErr w:type="spellStart"/>
      <w:r w:rsidRPr="00272350">
        <w:rPr>
          <w:sz w:val="24"/>
          <w:lang w:val="bg-BG"/>
        </w:rPr>
        <w:t>engineered</w:t>
      </w:r>
      <w:proofErr w:type="spellEnd"/>
      <w:r w:rsidRPr="00272350">
        <w:rPr>
          <w:sz w:val="24"/>
          <w:lang w:val="bg-BG"/>
        </w:rPr>
        <w:t xml:space="preserve"> </w:t>
      </w:r>
      <w:proofErr w:type="spellStart"/>
      <w:r w:rsidRPr="00272350">
        <w:rPr>
          <w:sz w:val="24"/>
          <w:lang w:val="bg-BG"/>
        </w:rPr>
        <w:t>crops</w:t>
      </w:r>
      <w:proofErr w:type="spellEnd"/>
      <w:r w:rsidRPr="00272350">
        <w:rPr>
          <w:sz w:val="24"/>
          <w:lang w:val="bg-BG"/>
        </w:rPr>
        <w:t xml:space="preserve"> </w:t>
      </w:r>
      <w:proofErr w:type="spellStart"/>
      <w:r w:rsidRPr="00272350">
        <w:rPr>
          <w:sz w:val="24"/>
          <w:lang w:val="bg-BG"/>
        </w:rPr>
        <w:t>on</w:t>
      </w:r>
      <w:proofErr w:type="spellEnd"/>
      <w:r w:rsidRPr="00272350">
        <w:rPr>
          <w:sz w:val="24"/>
          <w:lang w:val="bg-BG"/>
        </w:rPr>
        <w:t xml:space="preserve"> </w:t>
      </w:r>
      <w:proofErr w:type="spellStart"/>
      <w:r w:rsidRPr="00272350">
        <w:rPr>
          <w:sz w:val="24"/>
          <w:lang w:val="bg-BG"/>
        </w:rPr>
        <w:t>pesticide</w:t>
      </w:r>
      <w:proofErr w:type="spellEnd"/>
      <w:r w:rsidRPr="00272350">
        <w:rPr>
          <w:sz w:val="24"/>
          <w:lang w:val="bg-BG"/>
        </w:rPr>
        <w:t xml:space="preserve"> </w:t>
      </w:r>
      <w:proofErr w:type="spellStart"/>
      <w:r w:rsidRPr="00272350">
        <w:rPr>
          <w:sz w:val="24"/>
          <w:lang w:val="bg-BG"/>
        </w:rPr>
        <w:t>use</w:t>
      </w:r>
      <w:proofErr w:type="spellEnd"/>
      <w:r w:rsidRPr="00272350">
        <w:rPr>
          <w:sz w:val="24"/>
          <w:lang w:val="bg-BG"/>
        </w:rPr>
        <w:t xml:space="preserve"> in </w:t>
      </w:r>
      <w:proofErr w:type="spellStart"/>
      <w:r w:rsidRPr="00272350">
        <w:rPr>
          <w:sz w:val="24"/>
          <w:lang w:val="bg-BG"/>
        </w:rPr>
        <w:t>the</w:t>
      </w:r>
      <w:proofErr w:type="spellEnd"/>
      <w:r w:rsidRPr="00272350">
        <w:rPr>
          <w:sz w:val="24"/>
          <w:lang w:val="bg-BG"/>
        </w:rPr>
        <w:t xml:space="preserve"> U.S. – </w:t>
      </w:r>
      <w:proofErr w:type="spellStart"/>
      <w:r w:rsidRPr="00272350">
        <w:rPr>
          <w:sz w:val="24"/>
          <w:lang w:val="bg-BG"/>
        </w:rPr>
        <w:t>the</w:t>
      </w:r>
      <w:proofErr w:type="spellEnd"/>
      <w:r w:rsidRPr="00272350">
        <w:rPr>
          <w:sz w:val="24"/>
          <w:lang w:val="bg-BG"/>
        </w:rPr>
        <w:t xml:space="preserve"> </w:t>
      </w:r>
      <w:proofErr w:type="spellStart"/>
      <w:r w:rsidRPr="00272350">
        <w:rPr>
          <w:sz w:val="24"/>
          <w:lang w:val="bg-BG"/>
        </w:rPr>
        <w:t>first</w:t>
      </w:r>
      <w:proofErr w:type="spellEnd"/>
      <w:r w:rsidRPr="00272350">
        <w:rPr>
          <w:sz w:val="24"/>
          <w:lang w:val="bg-BG"/>
        </w:rPr>
        <w:t xml:space="preserve"> </w:t>
      </w:r>
      <w:proofErr w:type="spellStart"/>
      <w:r w:rsidRPr="00272350">
        <w:rPr>
          <w:sz w:val="24"/>
          <w:lang w:val="bg-BG"/>
        </w:rPr>
        <w:t>sixteen</w:t>
      </w:r>
      <w:proofErr w:type="spellEnd"/>
      <w:r w:rsidRPr="00272350">
        <w:rPr>
          <w:sz w:val="24"/>
          <w:lang w:val="bg-BG"/>
        </w:rPr>
        <w:t xml:space="preserve"> </w:t>
      </w:r>
      <w:proofErr w:type="spellStart"/>
      <w:r w:rsidRPr="00272350">
        <w:rPr>
          <w:sz w:val="24"/>
          <w:lang w:val="bg-BG"/>
        </w:rPr>
        <w:t>years</w:t>
      </w:r>
      <w:proofErr w:type="spellEnd"/>
      <w:r w:rsidRPr="00272350">
        <w:rPr>
          <w:sz w:val="24"/>
          <w:lang w:val="bg-BG"/>
        </w:rPr>
        <w:t xml:space="preserve">“ (Въздействие на генетично създадени култури върху използването на пестициди в САЩ – първите шестнадесет години), </w:t>
      </w:r>
      <w:proofErr w:type="spellStart"/>
      <w:r w:rsidRPr="00272350">
        <w:rPr>
          <w:sz w:val="24"/>
          <w:lang w:val="bg-BG"/>
        </w:rPr>
        <w:t>Environmental</w:t>
      </w:r>
      <w:proofErr w:type="spellEnd"/>
      <w:r w:rsidRPr="00272350">
        <w:rPr>
          <w:sz w:val="24"/>
          <w:lang w:val="bg-BG"/>
        </w:rPr>
        <w:t xml:space="preserve"> </w:t>
      </w:r>
      <w:proofErr w:type="spellStart"/>
      <w:r w:rsidRPr="00272350">
        <w:rPr>
          <w:sz w:val="24"/>
          <w:lang w:val="bg-BG"/>
        </w:rPr>
        <w:t>Sciences</w:t>
      </w:r>
      <w:proofErr w:type="spellEnd"/>
      <w:r w:rsidRPr="00272350">
        <w:rPr>
          <w:sz w:val="24"/>
          <w:lang w:val="bg-BG"/>
        </w:rPr>
        <w:t xml:space="preserve"> </w:t>
      </w:r>
      <w:proofErr w:type="spellStart"/>
      <w:r w:rsidRPr="00272350">
        <w:rPr>
          <w:sz w:val="24"/>
          <w:lang w:val="bg-BG"/>
        </w:rPr>
        <w:t>Europe</w:t>
      </w:r>
      <w:proofErr w:type="spellEnd"/>
      <w:r w:rsidRPr="00272350">
        <w:rPr>
          <w:sz w:val="24"/>
          <w:lang w:val="bg-BG"/>
        </w:rPr>
        <w:t xml:space="preserve">, 28 септември 2012 г., 24(1), </w:t>
      </w:r>
      <w:hyperlink r:id="rId7" w:history="1">
        <w:r w:rsidRPr="00272350">
          <w:rPr>
            <w:rStyle w:val="Hyperlink"/>
            <w:sz w:val="24"/>
            <w:lang w:val="bg-BG"/>
          </w:rPr>
          <w:t>https://enveurope.springeropen.com/articles/10.1186/2190-4715-24-24</w:t>
        </w:r>
      </w:hyperlink>
      <w:r w:rsidRPr="00272350">
        <w:rPr>
          <w:sz w:val="24"/>
          <w:lang w:val="bg-BG"/>
        </w:rPr>
        <w:t>.</w:t>
      </w:r>
    </w:p>
  </w:footnote>
  <w:footnote w:id="8">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hyperlink r:id="rId8"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72350">
          <w:rPr>
            <w:rStyle w:val="Hyperlink"/>
            <w:sz w:val="24"/>
            <w:lang w:val="bg-BG"/>
          </w:rPr>
          <w:t>http://data.europa.eu/eli/reg/2009/1107/oj</w:t>
        </w:r>
      </w:hyperlink>
      <w:r w:rsidRPr="00272350">
        <w:rPr>
          <w:sz w:val="24"/>
          <w:lang w:val="bg-BG"/>
        </w:rPr>
        <w:t>).</w:t>
      </w:r>
    </w:p>
  </w:footnote>
  <w:footnote w:id="9">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hyperlink r:id="rId9" w:history="1">
        <w:r w:rsidRPr="00272350">
          <w:rPr>
            <w:rStyle w:val="Hyperlink"/>
            <w:sz w:val="24"/>
            <w:lang w:val="bg-BG"/>
          </w:rPr>
          <w:t>https://efsa.onlinelibrary.wiley.com/action/downloadSupplement?doi=10.2903%‌2Fj.efsa.2024.8655&amp;file=efs28655-sup-0008-Annex8.pdf</w:t>
        </w:r>
      </w:hyperlink>
      <w:r w:rsidRPr="00272350">
        <w:rPr>
          <w:rStyle w:val="Hyperlink"/>
          <w:sz w:val="24"/>
          <w:lang w:val="bg-BG"/>
        </w:rPr>
        <w:t>.</w:t>
      </w:r>
    </w:p>
  </w:footnote>
  <w:footnote w:id="10">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w:t>
      </w:r>
      <w:proofErr w:type="spellStart"/>
      <w:r w:rsidRPr="00272350">
        <w:rPr>
          <w:sz w:val="24"/>
          <w:lang w:val="bg-BG"/>
        </w:rPr>
        <w:t>Strategic</w:t>
      </w:r>
      <w:proofErr w:type="spellEnd"/>
      <w:r w:rsidRPr="00272350">
        <w:rPr>
          <w:sz w:val="24"/>
          <w:lang w:val="bg-BG"/>
        </w:rPr>
        <w:t xml:space="preserve"> </w:t>
      </w:r>
      <w:proofErr w:type="spellStart"/>
      <w:r w:rsidRPr="00272350">
        <w:rPr>
          <w:sz w:val="24"/>
          <w:lang w:val="bg-BG"/>
        </w:rPr>
        <w:t>Dialogue</w:t>
      </w:r>
      <w:proofErr w:type="spellEnd"/>
      <w:r w:rsidRPr="00272350">
        <w:rPr>
          <w:sz w:val="24"/>
          <w:lang w:val="bg-BG"/>
        </w:rPr>
        <w:t xml:space="preserve"> </w:t>
      </w:r>
      <w:proofErr w:type="spellStart"/>
      <w:r w:rsidRPr="00272350">
        <w:rPr>
          <w:sz w:val="24"/>
          <w:lang w:val="bg-BG"/>
        </w:rPr>
        <w:t>on</w:t>
      </w:r>
      <w:proofErr w:type="spellEnd"/>
      <w:r w:rsidRPr="00272350">
        <w:rPr>
          <w:sz w:val="24"/>
          <w:lang w:val="bg-BG"/>
        </w:rPr>
        <w:t xml:space="preserve"> </w:t>
      </w:r>
      <w:proofErr w:type="spellStart"/>
      <w:r w:rsidRPr="00272350">
        <w:rPr>
          <w:sz w:val="24"/>
          <w:lang w:val="bg-BG"/>
        </w:rPr>
        <w:t>the</w:t>
      </w:r>
      <w:proofErr w:type="spellEnd"/>
      <w:r w:rsidRPr="00272350">
        <w:rPr>
          <w:sz w:val="24"/>
          <w:lang w:val="bg-BG"/>
        </w:rPr>
        <w:t xml:space="preserve"> </w:t>
      </w:r>
      <w:proofErr w:type="spellStart"/>
      <w:r w:rsidRPr="00272350">
        <w:rPr>
          <w:sz w:val="24"/>
          <w:lang w:val="bg-BG"/>
        </w:rPr>
        <w:t>Future</w:t>
      </w:r>
      <w:proofErr w:type="spellEnd"/>
      <w:r w:rsidRPr="00272350">
        <w:rPr>
          <w:sz w:val="24"/>
          <w:lang w:val="bg-BG"/>
        </w:rPr>
        <w:t xml:space="preserve"> </w:t>
      </w:r>
      <w:proofErr w:type="spellStart"/>
      <w:r w:rsidRPr="00272350">
        <w:rPr>
          <w:sz w:val="24"/>
          <w:lang w:val="bg-BG"/>
        </w:rPr>
        <w:t>of</w:t>
      </w:r>
      <w:proofErr w:type="spellEnd"/>
      <w:r w:rsidRPr="00272350">
        <w:rPr>
          <w:sz w:val="24"/>
          <w:lang w:val="bg-BG"/>
        </w:rPr>
        <w:t xml:space="preserve"> EU </w:t>
      </w:r>
      <w:proofErr w:type="spellStart"/>
      <w:r w:rsidRPr="00272350">
        <w:rPr>
          <w:sz w:val="24"/>
          <w:lang w:val="bg-BG"/>
        </w:rPr>
        <w:t>Agriculture</w:t>
      </w:r>
      <w:proofErr w:type="spellEnd"/>
      <w:r w:rsidRPr="00272350">
        <w:rPr>
          <w:sz w:val="24"/>
          <w:lang w:val="bg-BG"/>
        </w:rPr>
        <w:t xml:space="preserve"> - A </w:t>
      </w:r>
      <w:proofErr w:type="spellStart"/>
      <w:r w:rsidRPr="00272350">
        <w:rPr>
          <w:sz w:val="24"/>
          <w:lang w:val="bg-BG"/>
        </w:rPr>
        <w:t>shared</w:t>
      </w:r>
      <w:proofErr w:type="spellEnd"/>
      <w:r w:rsidRPr="00272350">
        <w:rPr>
          <w:sz w:val="24"/>
          <w:lang w:val="bg-BG"/>
        </w:rPr>
        <w:t xml:space="preserve"> </w:t>
      </w:r>
      <w:proofErr w:type="spellStart"/>
      <w:r w:rsidRPr="00272350">
        <w:rPr>
          <w:sz w:val="24"/>
          <w:lang w:val="bg-BG"/>
        </w:rPr>
        <w:t>prospect</w:t>
      </w:r>
      <w:proofErr w:type="spellEnd"/>
      <w:r w:rsidRPr="00272350">
        <w:rPr>
          <w:sz w:val="24"/>
          <w:lang w:val="bg-BG"/>
        </w:rPr>
        <w:t xml:space="preserve"> </w:t>
      </w:r>
      <w:proofErr w:type="spellStart"/>
      <w:r w:rsidRPr="00272350">
        <w:rPr>
          <w:sz w:val="24"/>
          <w:lang w:val="bg-BG"/>
        </w:rPr>
        <w:t>for</w:t>
      </w:r>
      <w:proofErr w:type="spellEnd"/>
      <w:r w:rsidRPr="00272350">
        <w:rPr>
          <w:sz w:val="24"/>
          <w:lang w:val="bg-BG"/>
        </w:rPr>
        <w:t xml:space="preserve"> </w:t>
      </w:r>
      <w:proofErr w:type="spellStart"/>
      <w:r w:rsidRPr="00272350">
        <w:rPr>
          <w:sz w:val="24"/>
          <w:lang w:val="bg-BG"/>
        </w:rPr>
        <w:t>farming</w:t>
      </w:r>
      <w:proofErr w:type="spellEnd"/>
      <w:r w:rsidRPr="00272350">
        <w:rPr>
          <w:sz w:val="24"/>
          <w:lang w:val="bg-BG"/>
        </w:rPr>
        <w:t xml:space="preserve"> </w:t>
      </w:r>
      <w:proofErr w:type="spellStart"/>
      <w:r w:rsidRPr="00272350">
        <w:rPr>
          <w:sz w:val="24"/>
          <w:lang w:val="bg-BG"/>
        </w:rPr>
        <w:t>and</w:t>
      </w:r>
      <w:proofErr w:type="spellEnd"/>
      <w:r w:rsidRPr="00272350">
        <w:rPr>
          <w:sz w:val="24"/>
          <w:lang w:val="bg-BG"/>
        </w:rPr>
        <w:t xml:space="preserve"> </w:t>
      </w:r>
      <w:proofErr w:type="spellStart"/>
      <w:r w:rsidRPr="00272350">
        <w:rPr>
          <w:sz w:val="24"/>
          <w:lang w:val="bg-BG"/>
        </w:rPr>
        <w:t>food</w:t>
      </w:r>
      <w:proofErr w:type="spellEnd"/>
      <w:r w:rsidRPr="00272350">
        <w:rPr>
          <w:sz w:val="24"/>
          <w:lang w:val="bg-BG"/>
        </w:rPr>
        <w:t xml:space="preserve"> in </w:t>
      </w:r>
      <w:proofErr w:type="spellStart"/>
      <w:r w:rsidRPr="00272350">
        <w:rPr>
          <w:sz w:val="24"/>
          <w:lang w:val="bg-BG"/>
        </w:rPr>
        <w:t>Europe</w:t>
      </w:r>
      <w:proofErr w:type="spellEnd"/>
      <w:r w:rsidRPr="00272350">
        <w:rPr>
          <w:sz w:val="24"/>
          <w:lang w:val="bg-BG"/>
        </w:rPr>
        <w:t xml:space="preserve">“ (Стратегически диалог относно бъдещето на селското стопанство в ЕС – споделена перспектива за земеделието и храните в Европа), септември 2024 г., </w:t>
      </w:r>
      <w:hyperlink r:id="rId10" w:history="1">
        <w:r w:rsidRPr="00272350">
          <w:rPr>
            <w:rStyle w:val="Hyperlink"/>
            <w:sz w:val="24"/>
            <w:lang w:val="bg-BG"/>
          </w:rPr>
          <w:t>https://agriculture.ec.europa.eu/document/download/171329ff-0f50-4fa5-946f-aea11032172e_en?filename=strategic-dialogue-report-2024_en.pdf</w:t>
        </w:r>
      </w:hyperlink>
      <w:r w:rsidRPr="00272350">
        <w:rPr>
          <w:rStyle w:val="Hyperlink"/>
          <w:sz w:val="24"/>
          <w:lang w:val="bg-BG"/>
        </w:rPr>
        <w:t>.</w:t>
      </w:r>
    </w:p>
  </w:footnote>
  <w:footnote w:id="11">
    <w:p w:rsidR="00220287" w:rsidRPr="00272350" w:rsidRDefault="00220287" w:rsidP="00272350">
      <w:pPr>
        <w:pStyle w:val="FootnoteText"/>
        <w:ind w:left="567" w:hanging="567"/>
        <w:rPr>
          <w:sz w:val="24"/>
          <w:szCs w:val="22"/>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hyperlink r:id="rId11" w:history="1">
        <w:r w:rsidRPr="00272350">
          <w:rPr>
            <w:rStyle w:val="Hyperlink"/>
            <w:sz w:val="24"/>
            <w:lang w:val="bg-BG"/>
          </w:rPr>
          <w:t>https://www.ohchr.org/en/documents/thematic-reports/ahrc3448-report-special-rapporteur-right-food</w:t>
        </w:r>
      </w:hyperlink>
      <w:r w:rsidRPr="00272350">
        <w:rPr>
          <w:sz w:val="24"/>
          <w:lang w:val="bg-BG"/>
        </w:rPr>
        <w:t>.</w:t>
      </w:r>
    </w:p>
  </w:footnote>
  <w:footnote w:id="12">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hyperlink r:id="rId12" w:history="1">
        <w:r w:rsidRPr="00272350">
          <w:rPr>
            <w:rStyle w:val="Hyperlink"/>
            <w:sz w:val="24"/>
            <w:lang w:val="bg-BG"/>
          </w:rPr>
          <w:t>https://indicators.report/targets/3-9/</w:t>
        </w:r>
      </w:hyperlink>
      <w:r w:rsidRPr="00272350">
        <w:rPr>
          <w:rStyle w:val="Hyperlink"/>
          <w:sz w:val="24"/>
          <w:lang w:val="bg-BG"/>
        </w:rPr>
        <w:t>.</w:t>
      </w:r>
    </w:p>
  </w:footnote>
  <w:footnote w:id="13">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Вж. </w:t>
      </w:r>
      <w:hyperlink r:id="rId13" w:history="1">
        <w:r w:rsidRPr="00272350">
          <w:rPr>
            <w:rStyle w:val="Hyperlink"/>
            <w:sz w:val="24"/>
            <w:lang w:val="bg-BG"/>
          </w:rPr>
          <w:t>https://ec.europa.eu/commission/presscorner/detail/bg/ip_22_7834</w:t>
        </w:r>
      </w:hyperlink>
      <w:r w:rsidRPr="00272350">
        <w:rPr>
          <w:sz w:val="24"/>
          <w:lang w:val="bg-BG"/>
        </w:rPr>
        <w:t>.</w:t>
      </w:r>
    </w:p>
  </w:footnote>
  <w:footnote w:id="14">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hyperlink r:id="rId14" w:history="1">
        <w:r w:rsidRPr="00272350">
          <w:rPr>
            <w:rStyle w:val="Hyperlink"/>
            <w:sz w:val="24"/>
            <w:lang w:val="bg-BG"/>
          </w:rPr>
          <w:t>https://commission.europa.eu/document/2c64e540-c07a-4376-a1da-368d289f4afe_en</w:t>
        </w:r>
      </w:hyperlink>
    </w:p>
  </w:footnote>
  <w:footnote w:id="15">
    <w:p w:rsidR="00220287" w:rsidRPr="00272350" w:rsidRDefault="00220287" w:rsidP="00272350">
      <w:pPr>
        <w:pStyle w:val="FootnoteText"/>
        <w:ind w:left="567" w:hanging="567"/>
        <w:rPr>
          <w:sz w:val="24"/>
          <w:szCs w:val="22"/>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Комисията „може“, а не „трябва“ да предоставя разрешение, когато държавите членки не са изразили подкрепа с квалифицирано мнозинство в апелативния комитет, в съответствие с член 6, параграф 3 от Регламент (ЕС) № 182/2011.</w:t>
      </w:r>
    </w:p>
  </w:footnote>
  <w:footnote w:id="16">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15"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72350">
          <w:rPr>
            <w:rStyle w:val="Hyperlink"/>
            <w:sz w:val="24"/>
            <w:lang w:val="bg-BG"/>
          </w:rPr>
          <w:t>http://data.europa.eu/eli/reg/2002/178/oj</w:t>
        </w:r>
      </w:hyperlink>
      <w:r w:rsidRPr="00272350">
        <w:rPr>
          <w:sz w:val="24"/>
          <w:lang w:val="bg-BG"/>
        </w:rPr>
        <w:t>).</w:t>
      </w:r>
    </w:p>
  </w:footnote>
  <w:footnote w:id="17">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През декември 2022 г. на 15‑ата конференция на страните по Конвенцията на ООН за биологичното разнообразие (COP15) беше договорена глобалната рамка за биологичното разнообразие, която включва глобална цел за намаляване на риска от пестициди с най-малко 50% до 2030 г. (вж. </w:t>
      </w:r>
      <w:hyperlink r:id="rId16" w:history="1">
        <w:r w:rsidRPr="00272350">
          <w:rPr>
            <w:rStyle w:val="Hyperlink"/>
            <w:sz w:val="24"/>
            <w:lang w:val="bg-BG"/>
          </w:rPr>
          <w:t>https://ec.europa.eu/commission/presscorner/detail/bg/ip_22_7834</w:t>
        </w:r>
      </w:hyperlink>
      <w:r w:rsidRPr="00272350">
        <w:rPr>
          <w:sz w:val="24"/>
          <w:lang w:val="bg-BG"/>
        </w:rPr>
        <w:t>).</w:t>
      </w:r>
    </w:p>
  </w:footnote>
  <w:footnote w:id="18">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 xml:space="preserve">Както е посочено в приложението към съобщението на Комисията от 14 октомври 2020 г., озаглавено „ Стратегия за устойчивост в областта на химикалите. Към нетоксична околна среда“, COM(2020)0667, </w:t>
      </w:r>
      <w:hyperlink r:id="rId17" w:anchor="document2" w:history="1">
        <w:r w:rsidRPr="00272350">
          <w:rPr>
            <w:rStyle w:val="Hyperlink"/>
            <w:sz w:val="24"/>
            <w:lang w:val="bg-BG"/>
          </w:rPr>
          <w:t>https://eur-lex.europa.eu/legal-content/BG/TXT/?uri=COM%3A2020%3A667%3AFIN#document2</w:t>
        </w:r>
      </w:hyperlink>
      <w:r w:rsidRPr="00272350">
        <w:rPr>
          <w:sz w:val="24"/>
          <w:lang w:val="bg-BG"/>
        </w:rPr>
        <w:t>.</w:t>
      </w:r>
    </w:p>
  </w:footnote>
  <w:footnote w:id="19">
    <w:p w:rsidR="00220287" w:rsidRPr="00272350" w:rsidRDefault="00220287" w:rsidP="00272350">
      <w:pPr>
        <w:pStyle w:val="FootnoteText"/>
        <w:ind w:left="567" w:hanging="567"/>
        <w:rPr>
          <w:sz w:val="24"/>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hyperlink r:id="rId18" w:history="1">
        <w:r w:rsidRPr="00272350">
          <w:rPr>
            <w:rStyle w:val="Hyperlink"/>
            <w:sz w:val="24"/>
            <w:lang w:val="bg-BG"/>
          </w:rPr>
          <w:t>https://tillymetz.lu/wp-content/uploads/2020/09/Co-signed-letter-MEP-Metz.pdf</w:t>
        </w:r>
      </w:hyperlink>
      <w:r w:rsidRPr="00272350">
        <w:rPr>
          <w:rStyle w:val="Hyperlink"/>
          <w:sz w:val="24"/>
          <w:lang w:val="bg-BG"/>
        </w:rPr>
        <w:t>.</w:t>
      </w:r>
    </w:p>
  </w:footnote>
  <w:footnote w:id="20">
    <w:p w:rsidR="00220287" w:rsidRPr="00272350" w:rsidRDefault="00220287" w:rsidP="00272350">
      <w:pPr>
        <w:pStyle w:val="FootnoteText"/>
        <w:ind w:left="567" w:hanging="567"/>
        <w:rPr>
          <w:sz w:val="24"/>
          <w:szCs w:val="22"/>
          <w:lang w:val="bg-BG"/>
        </w:rPr>
      </w:pPr>
      <w:r w:rsidRPr="00272350">
        <w:rPr>
          <w:rStyle w:val="FootnoteReference"/>
          <w:sz w:val="24"/>
          <w:lang w:val="bg-BG"/>
        </w:rPr>
        <w:footnoteRef/>
      </w:r>
      <w:r w:rsidR="00272350" w:rsidRPr="00272350">
        <w:rPr>
          <w:sz w:val="24"/>
          <w:lang w:val="bg-BG"/>
        </w:rPr>
        <w:t xml:space="preserve"> </w:t>
      </w:r>
      <w:r w:rsidR="00272350" w:rsidRPr="00272350">
        <w:rPr>
          <w:sz w:val="24"/>
          <w:lang w:val="bg-BG"/>
        </w:rPr>
        <w:tab/>
      </w:r>
      <w:r w:rsidRPr="00272350">
        <w:rPr>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BG"/>
    <w:docVar w:name="dvnumam" w:val="0"/>
    <w:docVar w:name="dvpe" w:val="763.293"/>
    <w:docVar w:name="dvtitre" w:val="Резолюция на Европейския парламент от ...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D098501/04 – 2024/2837(RSP))"/>
  </w:docVars>
  <w:rsids>
    <w:rsidRoot w:val="00E84914"/>
    <w:rsid w:val="00002272"/>
    <w:rsid w:val="00064002"/>
    <w:rsid w:val="000677B9"/>
    <w:rsid w:val="000831BA"/>
    <w:rsid w:val="000A42CC"/>
    <w:rsid w:val="000E7DD9"/>
    <w:rsid w:val="0010095E"/>
    <w:rsid w:val="00125B37"/>
    <w:rsid w:val="00187494"/>
    <w:rsid w:val="001F32AE"/>
    <w:rsid w:val="00220287"/>
    <w:rsid w:val="00272350"/>
    <w:rsid w:val="002767FF"/>
    <w:rsid w:val="002B18FE"/>
    <w:rsid w:val="002B5493"/>
    <w:rsid w:val="00343214"/>
    <w:rsid w:val="00361C00"/>
    <w:rsid w:val="00395FA1"/>
    <w:rsid w:val="003E15D4"/>
    <w:rsid w:val="00411CCE"/>
    <w:rsid w:val="0041666E"/>
    <w:rsid w:val="00421060"/>
    <w:rsid w:val="004602A9"/>
    <w:rsid w:val="00471C19"/>
    <w:rsid w:val="004867E3"/>
    <w:rsid w:val="00494A28"/>
    <w:rsid w:val="004C0004"/>
    <w:rsid w:val="004C5D52"/>
    <w:rsid w:val="0050519A"/>
    <w:rsid w:val="00506095"/>
    <w:rsid w:val="005072A1"/>
    <w:rsid w:val="00514517"/>
    <w:rsid w:val="00545827"/>
    <w:rsid w:val="00560270"/>
    <w:rsid w:val="005C2568"/>
    <w:rsid w:val="005D52EF"/>
    <w:rsid w:val="005F1B17"/>
    <w:rsid w:val="006037C0"/>
    <w:rsid w:val="006631B6"/>
    <w:rsid w:val="00680577"/>
    <w:rsid w:val="006F74FA"/>
    <w:rsid w:val="00731ADD"/>
    <w:rsid w:val="00734777"/>
    <w:rsid w:val="00747932"/>
    <w:rsid w:val="00751A4A"/>
    <w:rsid w:val="00756632"/>
    <w:rsid w:val="00762C74"/>
    <w:rsid w:val="00786EC0"/>
    <w:rsid w:val="007D1690"/>
    <w:rsid w:val="007D64EB"/>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914"/>
    <w:rsid w:val="00EB006A"/>
    <w:rsid w:val="00EB4772"/>
    <w:rsid w:val="00ED169E"/>
    <w:rsid w:val="00ED4235"/>
    <w:rsid w:val="00F04346"/>
    <w:rsid w:val="00F075DC"/>
    <w:rsid w:val="00F149E9"/>
    <w:rsid w:val="00F5134D"/>
    <w:rsid w:val="00F74202"/>
    <w:rsid w:val="00F87713"/>
    <w:rsid w:val="00F91BA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ADF8C0-8CB9-4D82-A509-9ABE792B2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0287"/>
    <w:pPr>
      <w:spacing w:before="480" w:after="240"/>
    </w:pPr>
  </w:style>
  <w:style w:type="paragraph" w:customStyle="1" w:styleId="NormalHanging12a">
    <w:name w:val="NormalHanging12a"/>
    <w:basedOn w:val="Normal"/>
    <w:rsid w:val="00220287"/>
    <w:pPr>
      <w:spacing w:after="240"/>
      <w:ind w:left="567" w:hanging="567"/>
    </w:pPr>
  </w:style>
  <w:style w:type="character" w:styleId="Hyperlink">
    <w:name w:val="Hyperlink"/>
    <w:basedOn w:val="DefaultParagraphFont"/>
    <w:uiPriority w:val="99"/>
    <w:rsid w:val="00220287"/>
    <w:rPr>
      <w:color w:val="0563C1" w:themeColor="hyperlink"/>
      <w:u w:val="single"/>
    </w:rPr>
  </w:style>
  <w:style w:type="paragraph" w:styleId="BalloonText">
    <w:name w:val="Balloon Text"/>
    <w:basedOn w:val="Normal"/>
    <w:link w:val="BalloonTextChar"/>
    <w:rsid w:val="00F91BAC"/>
    <w:rPr>
      <w:rFonts w:ascii="Segoe UI" w:hAnsi="Segoe UI" w:cs="Segoe UI"/>
      <w:sz w:val="18"/>
      <w:szCs w:val="18"/>
    </w:rPr>
  </w:style>
  <w:style w:type="character" w:customStyle="1" w:styleId="BalloonTextChar">
    <w:name w:val="Balloon Text Char"/>
    <w:basedOn w:val="DefaultParagraphFont"/>
    <w:link w:val="BalloonText"/>
    <w:rsid w:val="00F91BA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bg/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BG/TXT/?uri=COM:2020:667:FIN"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bg/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data.europa.eu/eli/reg/2002/178/oj"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DBEEA-3925-404F-9840-77AC5D3A5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2043</Words>
  <Characters>11494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2024-11-26T14:14:00Z</dcterms:created>
  <dcterms:modified xsi:type="dcterms:W3CDTF">2024-11-26T14:14:00Z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B10-0152/2024</vt:lpwstr>
  </property>
  <property fmtid="{D5CDD505-2E9C-101B-9397-08002B2CF9AE}" pid="4" name="&lt;Type&gt;">
    <vt:lpwstr>RR</vt:lpwstr>
  </property>
</Properties>
</file>