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4B45" w:rsidTr="0010095E">
        <w:trPr>
          <w:trHeight w:hRule="exact" w:val="1418"/>
        </w:trPr>
        <w:tc>
          <w:tcPr>
            <w:tcW w:w="6804" w:type="dxa"/>
            <w:shd w:val="clear" w:color="auto" w:fill="auto"/>
            <w:vAlign w:val="center"/>
          </w:tcPr>
          <w:p w:rsidR="00751A4A" w:rsidRPr="00A24B45" w:rsidRDefault="008E03A8" w:rsidP="0010095E">
            <w:pPr>
              <w:pStyle w:val="EPName"/>
            </w:pPr>
            <w:r w:rsidRPr="00A24B45">
              <w:t>Euroopa Parlament</w:t>
            </w:r>
          </w:p>
          <w:p w:rsidR="00751A4A" w:rsidRPr="00A24B45" w:rsidRDefault="005F1B17" w:rsidP="005F1B17">
            <w:pPr>
              <w:pStyle w:val="EPTerm"/>
              <w:rPr>
                <w:rStyle w:val="HideTWBExt"/>
                <w:noProof w:val="0"/>
                <w:vanish w:val="0"/>
                <w:color w:val="auto"/>
              </w:rPr>
            </w:pPr>
            <w:r w:rsidRPr="00A24B45">
              <w:t>2024</w:t>
            </w:r>
            <w:r w:rsidR="00817416" w:rsidRPr="00A24B45">
              <w:t>-202</w:t>
            </w:r>
            <w:r w:rsidRPr="00A24B45">
              <w:t>9</w:t>
            </w:r>
          </w:p>
        </w:tc>
        <w:tc>
          <w:tcPr>
            <w:tcW w:w="2268" w:type="dxa"/>
            <w:shd w:val="clear" w:color="auto" w:fill="auto"/>
          </w:tcPr>
          <w:p w:rsidR="00751A4A" w:rsidRPr="00A24B45" w:rsidRDefault="00187494" w:rsidP="0010095E">
            <w:pPr>
              <w:pStyle w:val="EPLogo"/>
            </w:pPr>
            <w:r w:rsidRPr="00A24B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4B45" w:rsidRDefault="00D058B8" w:rsidP="004C5D52">
      <w:pPr>
        <w:pStyle w:val="LineTop"/>
      </w:pPr>
    </w:p>
    <w:p w:rsidR="00680577" w:rsidRPr="00A24B45" w:rsidRDefault="008E03A8" w:rsidP="00680577">
      <w:pPr>
        <w:pStyle w:val="EPBodyTA1"/>
      </w:pPr>
      <w:r w:rsidRPr="00A24B45">
        <w:t>VASTUVÕETUD TEKSTID</w:t>
      </w:r>
    </w:p>
    <w:p w:rsidR="00D058B8" w:rsidRPr="00A24B45" w:rsidRDefault="00D058B8" w:rsidP="00D058B8">
      <w:pPr>
        <w:pStyle w:val="LineBottom"/>
      </w:pPr>
    </w:p>
    <w:p w:rsidR="008E03A8" w:rsidRPr="00A24B45" w:rsidRDefault="008E03A8" w:rsidP="008E03A8">
      <w:pPr>
        <w:pStyle w:val="ATHeading1"/>
      </w:pPr>
      <w:bookmarkStart w:id="0" w:name="TANumber"/>
      <w:r w:rsidRPr="00A24B45">
        <w:t>P10_TA(2024)00</w:t>
      </w:r>
      <w:r w:rsidR="009E1EFB" w:rsidRPr="00A24B45">
        <w:t>44</w:t>
      </w:r>
      <w:bookmarkEnd w:id="0"/>
    </w:p>
    <w:p w:rsidR="008E03A8" w:rsidRPr="00A24B45" w:rsidRDefault="00B50AE7" w:rsidP="008E03A8">
      <w:pPr>
        <w:pStyle w:val="ATHeading2"/>
      </w:pPr>
      <w:bookmarkStart w:id="1" w:name="title"/>
      <w:r w:rsidRPr="00A24B45">
        <w:t>G</w:t>
      </w:r>
      <w:r w:rsidR="008E03A8" w:rsidRPr="00A24B45">
        <w:t>eneetiliselt muundatud mais DP202216</w:t>
      </w:r>
      <w:bookmarkEnd w:id="1"/>
    </w:p>
    <w:p w:rsidR="008E03A8" w:rsidRPr="00A24B45" w:rsidRDefault="008E03A8" w:rsidP="008E03A8">
      <w:pPr>
        <w:rPr>
          <w:i/>
          <w:vanish/>
        </w:rPr>
      </w:pPr>
      <w:r w:rsidRPr="00A24B45">
        <w:rPr>
          <w:i/>
        </w:rPr>
        <w:fldChar w:fldCharType="begin"/>
      </w:r>
      <w:r w:rsidRPr="00A24B45">
        <w:rPr>
          <w:i/>
        </w:rPr>
        <w:instrText xml:space="preserve"> TC"(</w:instrText>
      </w:r>
      <w:bookmarkStart w:id="2" w:name="DocNumber"/>
      <w:r w:rsidRPr="00A24B45">
        <w:rPr>
          <w:i/>
        </w:rPr>
        <w:instrText>B10-0152/2024</w:instrText>
      </w:r>
      <w:bookmarkEnd w:id="2"/>
      <w:r w:rsidRPr="00A24B45">
        <w:rPr>
          <w:i/>
        </w:rPr>
        <w:instrText xml:space="preserve">)"\l3 \n&gt; \* MERGEFORMAT </w:instrText>
      </w:r>
      <w:r w:rsidRPr="00A24B45">
        <w:rPr>
          <w:i/>
        </w:rPr>
        <w:fldChar w:fldCharType="end"/>
      </w:r>
    </w:p>
    <w:p w:rsidR="008E03A8" w:rsidRPr="00A24B45" w:rsidRDefault="008E03A8" w:rsidP="008E03A8">
      <w:pPr>
        <w:rPr>
          <w:vanish/>
        </w:rPr>
      </w:pPr>
      <w:bookmarkStart w:id="3" w:name="PE"/>
      <w:r w:rsidRPr="00A24B45">
        <w:rPr>
          <w:vanish/>
        </w:rPr>
        <w:t>PE763.293</w:t>
      </w:r>
      <w:bookmarkEnd w:id="3"/>
    </w:p>
    <w:p w:rsidR="008E03A8" w:rsidRPr="00A24B45" w:rsidRDefault="00B50AE7" w:rsidP="008E03A8">
      <w:pPr>
        <w:pStyle w:val="ATHeading3"/>
      </w:pPr>
      <w:bookmarkStart w:id="4" w:name="Sujet"/>
      <w:r w:rsidRPr="00A24B45">
        <w:t>Euroopa Parlamendi 26</w:t>
      </w:r>
      <w:r w:rsidR="008E03A8" w:rsidRPr="00A24B45">
        <w:t>.</w:t>
      </w:r>
      <w:r w:rsidRPr="00A24B45">
        <w:t> novembri 2024. </w:t>
      </w:r>
      <w:r w:rsidR="008E03A8" w:rsidRPr="00A24B45">
        <w:t xml:space="preserve">aasta resolutsioon komisjoni rakendusotsuse </w:t>
      </w:r>
      <w:r w:rsidRPr="00A24B45">
        <w:t>(EL) 2024/2618</w:t>
      </w:r>
      <w:r w:rsidR="008E03A8" w:rsidRPr="00A24B45">
        <w:t xml:space="preserve"> kohta, millega lubatakse viia turule geneetiliselt muundatud maisi </w:t>
      </w:r>
      <w:r w:rsidRPr="00A24B45">
        <w:t xml:space="preserve">DP202216 </w:t>
      </w:r>
      <w:r w:rsidR="008E03A8" w:rsidRPr="00A24B45">
        <w:t>sisaldavaid, sellest koosnevaid või sellest toodetud tooteid vastavalt Euroopa Parlamendi ja nõukogu</w:t>
      </w:r>
      <w:r w:rsidRPr="00A24B45">
        <w:t xml:space="preserve"> määrusele (EÜ) nr </w:t>
      </w:r>
      <w:r w:rsidR="008E03A8" w:rsidRPr="00A24B45">
        <w:t>1829/2003</w:t>
      </w:r>
      <w:bookmarkEnd w:id="4"/>
      <w:r w:rsidR="008E03A8" w:rsidRPr="00A24B45">
        <w:t xml:space="preserve"> </w:t>
      </w:r>
      <w:bookmarkStart w:id="5" w:name="References"/>
      <w:r w:rsidR="008E03A8" w:rsidRPr="00A24B45">
        <w:t>(2024/2837(RSP))</w:t>
      </w:r>
      <w:bookmarkEnd w:id="5"/>
    </w:p>
    <w:p w:rsidR="006B191F" w:rsidRPr="00A24B45" w:rsidRDefault="006B191F" w:rsidP="006B191F">
      <w:pPr>
        <w:pStyle w:val="EPComma"/>
      </w:pPr>
      <w:bookmarkStart w:id="6" w:name="TextBodyBegin"/>
      <w:bookmarkEnd w:id="6"/>
      <w:r w:rsidRPr="00A24B45">
        <w:rPr>
          <w:i/>
          <w:iCs/>
        </w:rPr>
        <w:t>Euroopa Parlament</w:t>
      </w:r>
      <w:r w:rsidRPr="00A24B45">
        <w:t>,</w:t>
      </w:r>
    </w:p>
    <w:p w:rsidR="006B191F" w:rsidRPr="00A24B45" w:rsidRDefault="006B191F" w:rsidP="006B191F">
      <w:pPr>
        <w:pStyle w:val="NormalHanging12a"/>
      </w:pPr>
      <w:r w:rsidRPr="00A24B45">
        <w:t>–</w:t>
      </w:r>
      <w:r w:rsidRPr="00A24B45">
        <w:tab/>
        <w:t>võttes arvesse komisjoni rakendusotsus</w:t>
      </w:r>
      <w:r w:rsidR="00B50AE7" w:rsidRPr="00A24B45">
        <w:t>t (EL) 2024/2618</w:t>
      </w:r>
      <w:r w:rsidRPr="00A24B45">
        <w:t xml:space="preserve">, millega lubatakse viia turule geneetiliselt muundatud maisi </w:t>
      </w:r>
      <w:r w:rsidR="00B50AE7" w:rsidRPr="00A24B45">
        <w:t>DP202216</w:t>
      </w:r>
      <w:r w:rsidRPr="00A24B45">
        <w:t xml:space="preserve"> sisaldavaid, sellest koosnevaid või sellest toodetud tooteid vastavalt Euroopa Parlamen</w:t>
      </w:r>
      <w:r w:rsidR="00B50AE7" w:rsidRPr="00A24B45">
        <w:t>di ja nõukogu määrusele (EÜ) nr </w:t>
      </w:r>
      <w:r w:rsidRPr="00A24B45">
        <w:t>1829/2003</w:t>
      </w:r>
      <w:r w:rsidR="00B50AE7" w:rsidRPr="00A24B45">
        <w:rPr>
          <w:rStyle w:val="FootnoteReference"/>
        </w:rPr>
        <w:footnoteReference w:id="1"/>
      </w:r>
      <w:r w:rsidRPr="00A24B45">
        <w:t>,</w:t>
      </w:r>
    </w:p>
    <w:p w:rsidR="006B191F" w:rsidRPr="00A24B45" w:rsidRDefault="006B191F" w:rsidP="006B191F">
      <w:pPr>
        <w:pStyle w:val="NormalHanging12a"/>
      </w:pPr>
      <w:r w:rsidRPr="00A24B45">
        <w:t>–</w:t>
      </w:r>
      <w:r w:rsidRPr="00A24B45">
        <w:tab/>
        <w:t>võttes arvesse Euroopa Parlamendi ja nõukogu 22. septembri 2003. aasta määrust (EÜ) nr 1829/2003 geneetiliselt muundatud toidu ja sööda kohta</w:t>
      </w:r>
      <w:r w:rsidRPr="00A24B45">
        <w:rPr>
          <w:rStyle w:val="FootnoteReference"/>
        </w:rPr>
        <w:footnoteReference w:id="2"/>
      </w:r>
      <w:r w:rsidRPr="00A24B45">
        <w:t>, eriti selle artikli 7 lõiget 3 ja artikli 19 lõiget 3,</w:t>
      </w:r>
    </w:p>
    <w:p w:rsidR="006B191F" w:rsidRPr="00A24B45" w:rsidRDefault="006B191F" w:rsidP="006B191F">
      <w:pPr>
        <w:pStyle w:val="NormalHanging12a"/>
      </w:pPr>
      <w:r w:rsidRPr="00A24B45">
        <w:t>–</w:t>
      </w:r>
      <w:r w:rsidRPr="00A24B45">
        <w:tab/>
        <w:t xml:space="preserve">võttes arvesse määruse (EÜ) nr 1829/2003 artiklis 35 </w:t>
      </w:r>
      <w:r w:rsidRPr="00A24B45">
        <w:rPr>
          <w:shd w:val="clear" w:color="auto" w:fill="FFFFFF"/>
        </w:rPr>
        <w:t>osutatud alalises taime-, loo</w:t>
      </w:r>
      <w:r w:rsidR="00B50AE7" w:rsidRPr="00A24B45">
        <w:rPr>
          <w:shd w:val="clear" w:color="auto" w:fill="FFFFFF"/>
        </w:rPr>
        <w:t>ma-, toidu- ja söödakomitees 8. </w:t>
      </w:r>
      <w:r w:rsidRPr="00A24B45">
        <w:rPr>
          <w:shd w:val="clear" w:color="auto" w:fill="FFFFFF"/>
        </w:rPr>
        <w:t xml:space="preserve">juulil 2024 toimunud hääletust, mille tulemusel arvamust </w:t>
      </w:r>
      <w:r w:rsidR="00B50AE7" w:rsidRPr="00A24B45">
        <w:rPr>
          <w:shd w:val="clear" w:color="auto" w:fill="FFFFFF"/>
        </w:rPr>
        <w:t>ei esitatud, ning 3. </w:t>
      </w:r>
      <w:r w:rsidRPr="00A24B45">
        <w:rPr>
          <w:shd w:val="clear" w:color="auto" w:fill="FFFFFF"/>
        </w:rPr>
        <w:t>septembril 2024 apellatsioonikomitees toimunud hääletust, mille tulemusel samuti arvamust</w:t>
      </w:r>
      <w:r w:rsidRPr="00A24B45">
        <w:t xml:space="preserve"> ei esitatud,</w:t>
      </w:r>
    </w:p>
    <w:p w:rsidR="006B191F" w:rsidRPr="00A24B45" w:rsidRDefault="006B191F" w:rsidP="006B191F">
      <w:pPr>
        <w:pStyle w:val="NormalHanging12a"/>
      </w:pPr>
      <w:r w:rsidRPr="00A24B45">
        <w:t>–</w:t>
      </w:r>
      <w:r w:rsidRPr="00A24B45">
        <w:tab/>
        <w:t>võttes arvesse Eu</w:t>
      </w:r>
      <w:r w:rsidR="00B50AE7" w:rsidRPr="00A24B45">
        <w:t>roopa Parlamendi ja nõukogu 16. veebruari 2011. aasta määruse (EL) nr </w:t>
      </w:r>
      <w:r w:rsidRPr="00A24B45">
        <w:t xml:space="preserve">182/2011 (millega kehtestatakse eeskirjad ja </w:t>
      </w:r>
      <w:proofErr w:type="spellStart"/>
      <w:r w:rsidRPr="00A24B45">
        <w:t>üldpõhimõtted</w:t>
      </w:r>
      <w:proofErr w:type="spellEnd"/>
      <w:r w:rsidRPr="00A24B45">
        <w:t>, mis käsitlevad liikmesriikide läbiviidava kontrolli mehhanisme, mida kohaldatakse komisjoni rakendamisvolituste teostamise suhtes)</w:t>
      </w:r>
      <w:r w:rsidRPr="00A24B45">
        <w:rPr>
          <w:rStyle w:val="FootnoteReference"/>
        </w:rPr>
        <w:footnoteReference w:id="3"/>
      </w:r>
      <w:r w:rsidR="00B50AE7" w:rsidRPr="00A24B45">
        <w:t xml:space="preserve"> artiklit </w:t>
      </w:r>
      <w:r w:rsidRPr="00A24B45">
        <w:t>11,</w:t>
      </w:r>
    </w:p>
    <w:p w:rsidR="006B191F" w:rsidRPr="00A24B45" w:rsidRDefault="006B191F" w:rsidP="006B191F">
      <w:pPr>
        <w:pStyle w:val="NormalHanging12a"/>
      </w:pPr>
      <w:r w:rsidRPr="00A24B45">
        <w:t>–</w:t>
      </w:r>
      <w:r w:rsidRPr="00A24B45">
        <w:tab/>
        <w:t>võttes arvesse Euroopa Toiduo</w:t>
      </w:r>
      <w:r w:rsidR="00B50AE7" w:rsidRPr="00A24B45">
        <w:t>hutusameti (EFSA) 7. veebruaril </w:t>
      </w:r>
      <w:r w:rsidRPr="00A24B45">
        <w:t>2024 vastu võetud ja 20. märtsi</w:t>
      </w:r>
      <w:r w:rsidR="00B50AE7" w:rsidRPr="00A24B45">
        <w:t>l </w:t>
      </w:r>
      <w:r w:rsidRPr="00A24B45">
        <w:t>2024 avaldatud arvamust</w:t>
      </w:r>
      <w:r w:rsidRPr="00A24B45">
        <w:rPr>
          <w:rStyle w:val="FootnoteReference"/>
        </w:rPr>
        <w:footnoteReference w:id="4"/>
      </w:r>
      <w:r w:rsidRPr="00A24B45">
        <w:t>,</w:t>
      </w:r>
    </w:p>
    <w:p w:rsidR="006B191F" w:rsidRPr="00A24B45" w:rsidRDefault="006B191F" w:rsidP="006B191F">
      <w:pPr>
        <w:pStyle w:val="NormalHanging12a"/>
        <w:rPr>
          <w:szCs w:val="24"/>
          <w:shd w:val="clear" w:color="auto" w:fill="FFFFFF"/>
        </w:rPr>
      </w:pPr>
      <w:r w:rsidRPr="00A24B45">
        <w:t>–</w:t>
      </w:r>
      <w:r w:rsidRPr="00A24B45">
        <w:rPr>
          <w:shd w:val="clear" w:color="auto" w:fill="FFFFFF"/>
        </w:rPr>
        <w:tab/>
        <w:t xml:space="preserve">võttes arvesse oma varasemaid resolutsioone, milles väljendatakse </w:t>
      </w:r>
      <w:r w:rsidR="008554AB" w:rsidRPr="00A24B45">
        <w:rPr>
          <w:shd w:val="clear" w:color="auto" w:fill="FFFFFF"/>
        </w:rPr>
        <w:t xml:space="preserve">vastuseisu </w:t>
      </w:r>
      <w:r w:rsidRPr="00A24B45">
        <w:rPr>
          <w:shd w:val="clear" w:color="auto" w:fill="FFFFFF"/>
        </w:rPr>
        <w:lastRenderedPageBreak/>
        <w:t>geneetiliselt muundatud organismide (</w:t>
      </w:r>
      <w:proofErr w:type="spellStart"/>
      <w:r w:rsidRPr="00A24B45">
        <w:rPr>
          <w:shd w:val="clear" w:color="auto" w:fill="FFFFFF"/>
        </w:rPr>
        <w:t>GMOd</w:t>
      </w:r>
      <w:proofErr w:type="spellEnd"/>
      <w:r w:rsidRPr="00A24B45">
        <w:rPr>
          <w:shd w:val="clear" w:color="auto" w:fill="FFFFFF"/>
        </w:rPr>
        <w:t>) lubamisele</w:t>
      </w:r>
      <w:r w:rsidRPr="00A24B45">
        <w:rPr>
          <w:szCs w:val="24"/>
          <w:shd w:val="clear" w:color="auto" w:fill="FFFFFF"/>
          <w:vertAlign w:val="superscript"/>
        </w:rPr>
        <w:footnoteReference w:id="5"/>
      </w:r>
      <w:r w:rsidRPr="00A24B45">
        <w:rPr>
          <w:shd w:val="clear" w:color="auto" w:fill="FFFFFF"/>
        </w:rPr>
        <w:t>,</w:t>
      </w:r>
    </w:p>
    <w:p w:rsidR="006B191F" w:rsidRPr="00A24B45" w:rsidRDefault="006B191F" w:rsidP="006B191F">
      <w:pPr>
        <w:pStyle w:val="NormalHanging12a"/>
      </w:pPr>
      <w:r w:rsidRPr="00A24B45">
        <w:t>–</w:t>
      </w:r>
      <w:r w:rsidRPr="00A24B45">
        <w:tab/>
        <w:t>võttes arvesse kodukorra artikli</w:t>
      </w:r>
      <w:r w:rsidR="00B50AE7" w:rsidRPr="00A24B45">
        <w:t> 115 lõikeid 2 ja </w:t>
      </w:r>
      <w:r w:rsidRPr="00A24B45">
        <w:t>3,</w:t>
      </w:r>
    </w:p>
    <w:p w:rsidR="006B191F" w:rsidRPr="00A24B45" w:rsidRDefault="006B191F" w:rsidP="006B191F">
      <w:pPr>
        <w:pStyle w:val="NormalHanging12a"/>
      </w:pPr>
      <w:r w:rsidRPr="00A24B45">
        <w:t>–</w:t>
      </w:r>
      <w:r w:rsidRPr="00A24B45">
        <w:tab/>
        <w:t>võttes arvesse keskkonna-, rahvatervise ja toiduohutuse komisjoni resolutsiooni ettepanekut,</w:t>
      </w:r>
    </w:p>
    <w:p w:rsidR="006B191F" w:rsidRPr="00A24B45" w:rsidRDefault="006B191F" w:rsidP="006B191F">
      <w:pPr>
        <w:pStyle w:val="NormalHanging12a"/>
      </w:pPr>
      <w:r w:rsidRPr="00A24B45">
        <w:t>A.</w:t>
      </w:r>
      <w:r w:rsidRPr="00A24B45">
        <w:tab/>
        <w:t>arvestades, et Belgias asuv äriühing Pioneer</w:t>
      </w:r>
      <w:r w:rsidR="00B50AE7" w:rsidRPr="00A24B45">
        <w:t xml:space="preserve"> </w:t>
      </w:r>
      <w:proofErr w:type="spellStart"/>
      <w:r w:rsidR="00B50AE7" w:rsidRPr="00A24B45">
        <w:t>Overseas</w:t>
      </w:r>
      <w:proofErr w:type="spellEnd"/>
      <w:r w:rsidR="00B50AE7" w:rsidRPr="00A24B45">
        <w:t xml:space="preserve"> Corporation esitas 1. juulil </w:t>
      </w:r>
      <w:r w:rsidRPr="00A24B45">
        <w:t>2019 Ameerika Ühendriik</w:t>
      </w:r>
      <w:r w:rsidR="00B50AE7" w:rsidRPr="00A24B45">
        <w:t xml:space="preserve">ides asuva äriühingu Pioneer </w:t>
      </w:r>
      <w:proofErr w:type="spellStart"/>
      <w:r w:rsidR="00B50AE7" w:rsidRPr="00A24B45">
        <w:t>Hi</w:t>
      </w:r>
      <w:r w:rsidR="00B50AE7" w:rsidRPr="00A24B45">
        <w:noBreakHyphen/>
      </w:r>
      <w:r w:rsidRPr="00A24B45">
        <w:t>Bred</w:t>
      </w:r>
      <w:proofErr w:type="spellEnd"/>
      <w:r w:rsidRPr="00A24B45">
        <w:t xml:space="preserve"> International Inc. nimel kooskõlas määruse</w:t>
      </w:r>
      <w:r w:rsidR="00B50AE7" w:rsidRPr="00A24B45">
        <w:t xml:space="preserve"> (EÜ) nr 1829/2003 artiklitega 5 </w:t>
      </w:r>
      <w:r w:rsidRPr="00A24B45">
        <w:t xml:space="preserve">ja 17 Madalmaade pädevale asutusele taotluse geneetiliselt muundatud maisi DP202216 (edaspidi „geneetiliselt muundatud mais“) sisaldavate, sellest koosnevate või sellest valmistatud toidu, toidu koostisosade ja sööda </w:t>
      </w:r>
      <w:proofErr w:type="spellStart"/>
      <w:r w:rsidRPr="00A24B45">
        <w:t>turuleviimiseks</w:t>
      </w:r>
      <w:proofErr w:type="spellEnd"/>
      <w:r w:rsidRPr="00A24B45">
        <w:t xml:space="preserve">; arvestades, et taotlus hõlmas ka selliste toodete turule laskmist, mis sisaldavad geneetiliselt muundatud maisi või koosnevad sellest ning mida kasutatakse muul otstarbel kui toiduks või söödaks, kuid ei kasutata viljelemiseks; </w:t>
      </w:r>
    </w:p>
    <w:p w:rsidR="006B191F" w:rsidRPr="00A24B45" w:rsidRDefault="006B191F" w:rsidP="006B191F">
      <w:pPr>
        <w:pStyle w:val="NormalHanging12a"/>
      </w:pPr>
      <w:r w:rsidRPr="00A24B45">
        <w:t>B.</w:t>
      </w:r>
      <w:r w:rsidRPr="00A24B45">
        <w:tab/>
        <w:t>arvestades, e</w:t>
      </w:r>
      <w:r w:rsidR="00B50AE7" w:rsidRPr="00A24B45">
        <w:t>t EFSA võttis 7. </w:t>
      </w:r>
      <w:r w:rsidRPr="00A24B45">
        <w:t>veebruaril 2024 vastu heakski</w:t>
      </w:r>
      <w:r w:rsidR="00B50AE7" w:rsidRPr="00A24B45">
        <w:t>itva arvamuse, mis avaldati 20. </w:t>
      </w:r>
      <w:r w:rsidRPr="00A24B45">
        <w:t>märtsil 2024;</w:t>
      </w:r>
    </w:p>
    <w:p w:rsidR="006B191F" w:rsidRPr="00A24B45" w:rsidRDefault="006B191F" w:rsidP="006B191F">
      <w:pPr>
        <w:pStyle w:val="NormalHanging12a"/>
      </w:pPr>
      <w:r w:rsidRPr="00A24B45">
        <w:t>C.</w:t>
      </w:r>
      <w:r w:rsidRPr="00A24B45">
        <w:tab/>
        <w:t xml:space="preserve">arvestades, et geneetiliselt muundatud mais sisaldab </w:t>
      </w:r>
      <w:proofErr w:type="spellStart"/>
      <w:r w:rsidRPr="00A24B45">
        <w:t>glufosinaadi</w:t>
      </w:r>
      <w:proofErr w:type="spellEnd"/>
      <w:r w:rsidRPr="00A24B45">
        <w:t xml:space="preserve"> suhtes resistentseid geene ja </w:t>
      </w:r>
      <w:r w:rsidRPr="00A24B45">
        <w:rPr>
          <w:color w:val="000000"/>
          <w:shd w:val="clear" w:color="auto" w:fill="FFFFFF"/>
        </w:rPr>
        <w:t>tal on eeldatavasti suurem saagikus;</w:t>
      </w:r>
      <w:r w:rsidRPr="00A24B45">
        <w:rPr>
          <w:rFonts w:ascii="Segoe UI" w:hAnsi="Segoe UI"/>
          <w:color w:val="000000"/>
          <w:sz w:val="22"/>
          <w:shd w:val="clear" w:color="auto" w:fill="FFFFFF"/>
        </w:rPr>
        <w:t xml:space="preserve"> </w:t>
      </w:r>
    </w:p>
    <w:p w:rsidR="006B191F" w:rsidRPr="00A24B45" w:rsidRDefault="006B191F" w:rsidP="00B50AE7">
      <w:pPr>
        <w:pStyle w:val="NormalHanging12a"/>
        <w:keepNext/>
        <w:keepLines/>
        <w:rPr>
          <w:b/>
          <w:i/>
        </w:rPr>
      </w:pPr>
      <w:r w:rsidRPr="00A24B45">
        <w:rPr>
          <w:b/>
          <w:i/>
        </w:rPr>
        <w:t>Lisaherbitsiidi käsitleva hinnangu puudumine</w:t>
      </w:r>
    </w:p>
    <w:p w:rsidR="006B191F" w:rsidRPr="00A24B45" w:rsidRDefault="006B191F" w:rsidP="006B191F">
      <w:pPr>
        <w:pStyle w:val="NormalHanging12a"/>
      </w:pPr>
      <w:r w:rsidRPr="00A24B45">
        <w:t>D.</w:t>
      </w:r>
      <w:r w:rsidRPr="00A24B45">
        <w:tab/>
        <w:t>arvestades, et komisjoni rakendusmääruse (EL) nr 503/2013</w:t>
      </w:r>
      <w:r w:rsidRPr="00A24B45">
        <w:rPr>
          <w:rStyle w:val="FootnoteReference"/>
        </w:rPr>
        <w:footnoteReference w:id="6"/>
      </w:r>
      <w:r w:rsidRPr="00A24B45">
        <w:t xml:space="preserve"> kohaselt tuleb hinnata, kas eeldatavad põllumajandustavad mõjutavad uuritud lõpp-produktide tulemust; arvestades, et rakendusmääruse kohaselt on see eriti oluline herbitsiiditolerantsete taimede puhul;</w:t>
      </w:r>
    </w:p>
    <w:p w:rsidR="006B191F" w:rsidRPr="00A24B45" w:rsidRDefault="006B191F" w:rsidP="006B191F">
      <w:pPr>
        <w:pStyle w:val="NormalHanging12a"/>
      </w:pPr>
      <w:r w:rsidRPr="00A24B45">
        <w:t>E.</w:t>
      </w:r>
      <w:r w:rsidRPr="00A24B45">
        <w:tab/>
        <w:t xml:space="preserve">arvestades, et valdavat osa geneetiliselt muundatud kultuuridest on geneetiliselt muundatud nii, et need on tolerantsed vähemalt veel ühe lisaherbitsiidi suhtes, mida saab kasutada kogu geneetiliselt muundatud kultuuri kasvatamise ajal, ilma et taimed sureks, nagu juhtuks herbitsiidide suhtes mittetolerantsete kultuuride puhul; arvestades, et mitu uuringut on näidanud, et herbitsiiditolerantsete geneetiliselt muundatud kultuuride kasvatamise tõttu hakatakse rohkem kasutama lisaherbitsiide, seda peamiselt </w:t>
      </w:r>
      <w:r w:rsidRPr="00A24B45">
        <w:lastRenderedPageBreak/>
        <w:t>herbitsiiditolerantse umbrohu tekke tõttu</w:t>
      </w:r>
      <w:r w:rsidRPr="00A24B45">
        <w:rPr>
          <w:rStyle w:val="FootnoteReference"/>
        </w:rPr>
        <w:footnoteReference w:id="7"/>
      </w:r>
      <w:r w:rsidRPr="00A24B45">
        <w:t>;</w:t>
      </w:r>
    </w:p>
    <w:p w:rsidR="006B191F" w:rsidRPr="00A24B45" w:rsidRDefault="006B191F" w:rsidP="006B191F">
      <w:pPr>
        <w:pStyle w:val="NormalHanging12a"/>
      </w:pPr>
      <w:r w:rsidRPr="00A24B45">
        <w:t>F.</w:t>
      </w:r>
      <w:r w:rsidRPr="00A24B45">
        <w:tab/>
        <w:t>arvestades, et herbitsiiditolerantseid geneetiliselt muundatud kultuure kasvatades sõltuvad põllumajandustootjad umbrohutõrjesüsteemist, mis põhineb suures osas või täielikult herbitsiididel, seda seetõttu, et geneetiliselt muundatud seemnete eest võetakse lisatasu, mis on õigustatud vaid siis, kui neid ostvad põllumajandustootjad kasutavad ka lisaherbitsiide; arvestades, et geneetiliselt muundatud kultuure kasvatavate põllumajandusettevõtjate suurem sõltuvus lisaherbitsiididest kiirendab nende herbitsiidide suhtes resistentse umbrohu teket ja levikut ning suurendab seega veelgi vajadust herbitsiidide kasutamise järele, tekitades nõiaringi, kus nendest loobuda on keeruline;</w:t>
      </w:r>
    </w:p>
    <w:p w:rsidR="006B191F" w:rsidRPr="00A24B45" w:rsidRDefault="006B191F" w:rsidP="006B191F">
      <w:pPr>
        <w:pStyle w:val="NormalHanging12a"/>
      </w:pPr>
      <w:r w:rsidRPr="00A24B45">
        <w:t>G.</w:t>
      </w:r>
      <w:r w:rsidRPr="00A24B45">
        <w:tab/>
        <w:t>arvestades, et seega suureneb herbitsiidide liigsest kasutamisest tingitud kahjulik mõju mulla seisundile, vee kvaliteedile ning maapealsele ja -alusele elurikkusele, samuti suureneb inimeste ja loomade kokkupuude herbitsiididega, võimalik, et ka toidus ja söödas leiduvate herbitsiidijääkide suurenemise tõttu;</w:t>
      </w:r>
    </w:p>
    <w:p w:rsidR="006B191F" w:rsidRPr="00A24B45" w:rsidRDefault="006B191F" w:rsidP="006B191F">
      <w:pPr>
        <w:pStyle w:val="NormalHanging12a"/>
      </w:pPr>
      <w:r w:rsidRPr="00A24B45">
        <w:t>H.</w:t>
      </w:r>
      <w:r w:rsidRPr="00A24B45">
        <w:tab/>
        <w:t xml:space="preserve">arvestades, et </w:t>
      </w:r>
      <w:proofErr w:type="spellStart"/>
      <w:r w:rsidRPr="00A24B45">
        <w:t>glufosinaat</w:t>
      </w:r>
      <w:proofErr w:type="spellEnd"/>
      <w:r w:rsidRPr="00A24B45">
        <w:t xml:space="preserve"> on klassifitseeritud kategooria 1B reproduktiivtoksiliseks aineks ning seetõttu kehtivad selle suhtes Euroopa Parlamendi ja nõukogu määruses (EÜ) nr 1107/2009</w:t>
      </w:r>
      <w:r w:rsidRPr="00A24B45">
        <w:rPr>
          <w:rStyle w:val="FootnoteReference"/>
        </w:rPr>
        <w:footnoteReference w:id="8"/>
      </w:r>
      <w:r w:rsidRPr="00A24B45">
        <w:t xml:space="preserve"> sätestatud piirkriteeriumid; arvestades, et </w:t>
      </w:r>
      <w:proofErr w:type="spellStart"/>
      <w:r w:rsidRPr="00A24B45">
        <w:t>glufosinaat</w:t>
      </w:r>
      <w:proofErr w:type="spellEnd"/>
      <w:r w:rsidRPr="00A24B45">
        <w:t xml:space="preserve"> oli liidus kasutamiseks heaks kiidetud ajavahemikuks, mis lõppes 31. juulil 2018;</w:t>
      </w:r>
    </w:p>
    <w:p w:rsidR="006B191F" w:rsidRPr="00A24B45" w:rsidRDefault="006B191F" w:rsidP="006B191F">
      <w:pPr>
        <w:pStyle w:val="NormalHanging12a"/>
      </w:pPr>
      <w:r w:rsidRPr="00A24B45">
        <w:t>I.</w:t>
      </w:r>
      <w:r w:rsidRPr="00A24B45">
        <w:tab/>
        <w:t xml:space="preserve">arvestades, et geneetiliselt muundatud taimede herbitsiidijääkide ja neis leitud metaboliitide hindamist ei loeta EFSA geneetiliselt muundatud organismide komisjoni pädevusse kuuluvaks ning seetõttu seda </w:t>
      </w:r>
      <w:proofErr w:type="spellStart"/>
      <w:r w:rsidRPr="00A24B45">
        <w:t>GMOde</w:t>
      </w:r>
      <w:proofErr w:type="spellEnd"/>
      <w:r w:rsidRPr="00A24B45">
        <w:t xml:space="preserve"> loamenetluse raames ei tehta;</w:t>
      </w:r>
    </w:p>
    <w:p w:rsidR="006B191F" w:rsidRPr="00A24B45" w:rsidRDefault="006B191F" w:rsidP="00B50AE7">
      <w:pPr>
        <w:pStyle w:val="NormalHanging12a"/>
        <w:keepNext/>
        <w:keepLines/>
        <w:rPr>
          <w:b/>
          <w:i/>
        </w:rPr>
      </w:pPr>
      <w:r w:rsidRPr="00A24B45">
        <w:rPr>
          <w:b/>
          <w:i/>
        </w:rPr>
        <w:t>Liikmesriikide pädevate asutuste ja sidusrühmade kommentaarid</w:t>
      </w:r>
    </w:p>
    <w:p w:rsidR="006B191F" w:rsidRPr="00A24B45" w:rsidRDefault="006B191F" w:rsidP="006B191F">
      <w:pPr>
        <w:pStyle w:val="NormalHanging12a"/>
      </w:pPr>
      <w:r w:rsidRPr="00A24B45">
        <w:t>J.</w:t>
      </w:r>
      <w:r w:rsidRPr="00A24B45">
        <w:tab/>
        <w:t>arvestades,</w:t>
      </w:r>
      <w:r w:rsidR="00B50AE7" w:rsidRPr="00A24B45">
        <w:t xml:space="preserve"> et liikmesriigid esitasid EFSA</w:t>
      </w:r>
      <w:r w:rsidR="00B50AE7" w:rsidRPr="00A24B45">
        <w:noBreakHyphen/>
      </w:r>
      <w:proofErr w:type="spellStart"/>
      <w:r w:rsidRPr="00A24B45">
        <w:t>le</w:t>
      </w:r>
      <w:proofErr w:type="spellEnd"/>
      <w:r w:rsidRPr="00A24B45">
        <w:t xml:space="preserve"> kolmekuulise konsultatsiooniperioodi</w:t>
      </w:r>
      <w:r w:rsidRPr="00A24B45">
        <w:rPr>
          <w:rStyle w:val="FootnoteReference"/>
        </w:rPr>
        <w:footnoteReference w:id="9"/>
      </w:r>
      <w:r w:rsidRPr="00A24B45">
        <w:t xml:space="preserve"> jooksul palju kriitilisi märkusi, sealhulgas asjaolu, et kõnealune seirekava ei taga toote seireks vajaliku asjakohase teabe kogumist ja seetõttu ei saa seda pidada piisavaks, et enne riskihindamise </w:t>
      </w:r>
      <w:proofErr w:type="spellStart"/>
      <w:r w:rsidRPr="00A24B45">
        <w:t>lõpuleviimist</w:t>
      </w:r>
      <w:proofErr w:type="spellEnd"/>
      <w:r w:rsidRPr="00A24B45">
        <w:t xml:space="preserve"> tuleks esitada täiendav teave ning et kuigi GMO ei ole ette nähtud viljelemiseks, peaks taotleja esitama üksikasjaliku teabe loodusliku sugulase </w:t>
      </w:r>
      <w:proofErr w:type="spellStart"/>
      <w:r w:rsidRPr="00A24B45">
        <w:t>teosinte</w:t>
      </w:r>
      <w:proofErr w:type="spellEnd"/>
      <w:r w:rsidRPr="00A24B45">
        <w:t xml:space="preserve"> kohta, mida on korduvalt leitud liidu põldudel, ning et tuleb ennetada maisiseemnete leke transpordi ajal; </w:t>
      </w:r>
    </w:p>
    <w:p w:rsidR="006B191F" w:rsidRPr="00A24B45" w:rsidRDefault="006B191F" w:rsidP="00B50AE7">
      <w:pPr>
        <w:pStyle w:val="NormalHanging12a"/>
        <w:keepNext/>
        <w:keepLines/>
        <w:rPr>
          <w:b/>
          <w:i/>
        </w:rPr>
      </w:pPr>
      <w:r w:rsidRPr="00A24B45">
        <w:rPr>
          <w:b/>
          <w:i/>
        </w:rPr>
        <w:lastRenderedPageBreak/>
        <w:t>Võrdsete võimaluste tagamine kogu maailmas ja liidu rahvusvaheliste kohustuste täitmine</w:t>
      </w:r>
    </w:p>
    <w:p w:rsidR="006B191F" w:rsidRPr="00A24B45" w:rsidRDefault="006B191F" w:rsidP="006B191F">
      <w:pPr>
        <w:pStyle w:val="NormalHanging12a"/>
      </w:pPr>
      <w:r w:rsidRPr="00A24B45">
        <w:t>K.</w:t>
      </w:r>
      <w:r w:rsidRPr="00A24B45">
        <w:tab/>
        <w:t>arvestades, et ELi põllumajanduse tulevikku käsitleva strateegilise dialoogi</w:t>
      </w:r>
      <w:r w:rsidRPr="00A24B45">
        <w:rPr>
          <w:rStyle w:val="FootnoteReference"/>
        </w:rPr>
        <w:footnoteReference w:id="10"/>
      </w:r>
      <w:r w:rsidRPr="00A24B45">
        <w:t xml:space="preserve"> järeldustes palutakse, et komisjon hindaks oma lähenemisviisi põllumajanduslike toiduainete impordi ja ekspordi </w:t>
      </w:r>
      <w:proofErr w:type="spellStart"/>
      <w:r w:rsidRPr="00A24B45">
        <w:t>turulepääsule</w:t>
      </w:r>
      <w:proofErr w:type="spellEnd"/>
      <w:r w:rsidRPr="00A24B45">
        <w:t xml:space="preserve"> ümber, kuna liidu ja tema kaubanduspartnerite standardite lahknemine põhjustab probleeme; arvestades, et õiglasemad kaubandussuhted ülemaailmsel tasandil, mis on kooskõlas tervisliku kes</w:t>
      </w:r>
      <w:r w:rsidR="00B50AE7" w:rsidRPr="00A24B45">
        <w:t>kkonna eesmärkidega, olid 2023. ja 2024. </w:t>
      </w:r>
      <w:r w:rsidRPr="00A24B45">
        <w:t>aasta meeleavaldustel põllumajandustootjate üks peamisi nõudmisi;</w:t>
      </w:r>
    </w:p>
    <w:p w:rsidR="006B191F" w:rsidRPr="00A24B45" w:rsidRDefault="006B191F" w:rsidP="006B191F">
      <w:pPr>
        <w:pStyle w:val="NormalHanging12a"/>
      </w:pPr>
      <w:r w:rsidRPr="00A24B45">
        <w:t>L.</w:t>
      </w:r>
      <w:r w:rsidRPr="00A24B45">
        <w:tab/>
        <w:t>arvestades, et Ühinenud Rahvaste Organisatsiooni (ÜRO) õigusega toidule tegeleva eriraportööri 2017. aasta aruandes leiti, et ohtlikel pestitsiididel on tervisele laastav mõju, eelkõige arengumaades</w:t>
      </w:r>
      <w:r w:rsidRPr="00A24B45">
        <w:rPr>
          <w:rStyle w:val="FootnoteReference"/>
        </w:rPr>
        <w:footnoteReference w:id="11"/>
      </w:r>
      <w:r w:rsidRPr="00A24B45">
        <w:t>; arvestades, et ÜRO kestliku arengu eesmärgi 3.9 abil soovitakse 2030. aastaks oluliselt vähendada selliste surmade ja haiguste arvu, mille on põhjustanud ohtlikud kemikaalid ning õhu, vee ja pinnase reostus ja saastumine</w:t>
      </w:r>
      <w:r w:rsidRPr="00A24B45">
        <w:rPr>
          <w:rStyle w:val="FootnoteReference"/>
        </w:rPr>
        <w:footnoteReference w:id="12"/>
      </w:r>
      <w:r w:rsidRPr="00A24B45">
        <w:t>;</w:t>
      </w:r>
    </w:p>
    <w:p w:rsidR="006B191F" w:rsidRPr="00A24B45" w:rsidRDefault="006B191F" w:rsidP="006B191F">
      <w:pPr>
        <w:pStyle w:val="NormalHanging12a"/>
      </w:pPr>
      <w:r w:rsidRPr="00A24B45">
        <w:t>M.</w:t>
      </w:r>
      <w:r w:rsidRPr="00A24B45">
        <w:tab/>
        <w:t xml:space="preserve">arvestades, et 2022. aasta detsembris lepiti ÜRO bioloogilise mitmekesisuse konventsiooni osaliste konverentsi </w:t>
      </w:r>
      <w:r w:rsidR="00B50AE7" w:rsidRPr="00A24B45">
        <w:t xml:space="preserve">15. istungjärgul kokku </w:t>
      </w:r>
      <w:proofErr w:type="spellStart"/>
      <w:r w:rsidR="00B50AE7" w:rsidRPr="00A24B45">
        <w:t>Kunmingi</w:t>
      </w:r>
      <w:proofErr w:type="spellEnd"/>
      <w:r w:rsidR="00B50AE7" w:rsidRPr="00A24B45">
        <w:noBreakHyphen/>
      </w:r>
      <w:r w:rsidRPr="00A24B45">
        <w:t xml:space="preserve">Montreali üleilmses elurikkuse </w:t>
      </w:r>
      <w:r w:rsidR="00B50AE7" w:rsidRPr="00A24B45">
        <w:t>raamistikus (edaspidi „</w:t>
      </w:r>
      <w:proofErr w:type="spellStart"/>
      <w:r w:rsidR="00B50AE7" w:rsidRPr="00A24B45">
        <w:t>Kunmingi</w:t>
      </w:r>
      <w:proofErr w:type="spellEnd"/>
      <w:r w:rsidR="00B50AE7" w:rsidRPr="00A24B45">
        <w:noBreakHyphen/>
      </w:r>
      <w:r w:rsidRPr="00A24B45">
        <w:t>Montreali raamistik“), mis sisaldab üleilmset eesmärki vähendada taimekaitsevahenditest tulenevaid</w:t>
      </w:r>
      <w:r w:rsidR="00B50AE7" w:rsidRPr="00A24B45">
        <w:t xml:space="preserve"> ohte 2030. aastaks vähemalt 50 </w:t>
      </w:r>
      <w:r w:rsidRPr="00A24B45">
        <w:t>%</w:t>
      </w:r>
      <w:r w:rsidRPr="00A24B45">
        <w:rPr>
          <w:rStyle w:val="FootnoteReference"/>
        </w:rPr>
        <w:footnoteReference w:id="13"/>
      </w:r>
      <w:r w:rsidRPr="00A24B45">
        <w:t>;</w:t>
      </w:r>
    </w:p>
    <w:p w:rsidR="006B191F" w:rsidRPr="00A24B45" w:rsidRDefault="006B191F" w:rsidP="006B191F">
      <w:pPr>
        <w:pStyle w:val="NormalHanging12a"/>
      </w:pPr>
      <w:r w:rsidRPr="00A24B45">
        <w:t>N.</w:t>
      </w:r>
      <w:r w:rsidRPr="00A24B45">
        <w:tab/>
        <w:t>arvestades, et määruses (EÜ) nr 1829/2003 on sätestatud, et geneetiliselt muundatud toit ja sööt ei tohi avaldada inimeste ja loomade tervisele ega keskkonnale kahjulikku mõju, ning nõutakse, et komisjon võtaks oma otsuse koostamisel arvesse kõiki liidu õigusaktide asjakohaseid sätteid ning teisi selle küsimusega seotud õiguspäraseid tegureid; arvestades, et sellised õiguspärased tegurid peaksid hõlmama liidu kohustusi, mis tulenevad ÜRO kestliku arengu eesmärkidest ja ÜRO bioloogilise mitmekesisuse konventsioonist;</w:t>
      </w:r>
    </w:p>
    <w:p w:rsidR="006B191F" w:rsidRPr="00A24B45" w:rsidRDefault="006B191F" w:rsidP="00B50AE7">
      <w:pPr>
        <w:pStyle w:val="NormalHanging12a"/>
        <w:keepNext/>
        <w:keepLines/>
        <w:rPr>
          <w:b/>
          <w:i/>
        </w:rPr>
      </w:pPr>
      <w:r w:rsidRPr="00A24B45">
        <w:rPr>
          <w:b/>
          <w:i/>
        </w:rPr>
        <w:t>Imporditud söödast sõltuvuse vähendamine</w:t>
      </w:r>
    </w:p>
    <w:p w:rsidR="006B191F" w:rsidRPr="00A24B45" w:rsidRDefault="00B50AE7" w:rsidP="006B191F">
      <w:pPr>
        <w:pStyle w:val="NormalHanging12a"/>
      </w:pPr>
      <w:r w:rsidRPr="00A24B45">
        <w:t>O.</w:t>
      </w:r>
      <w:r w:rsidRPr="00A24B45">
        <w:tab/>
        <w:t>arvestades, et COVID</w:t>
      </w:r>
      <w:r w:rsidRPr="00A24B45">
        <w:noBreakHyphen/>
      </w:r>
      <w:r w:rsidR="006B191F" w:rsidRPr="00A24B45">
        <w:t>19 kriisist ja Ukrainas ikka veel jätkuvast sõjast saadud õppetund on, et liit peab lõpetama sõltuvuse mõnest kriitilise tähtsusega materjalist; arvestades, et</w:t>
      </w:r>
      <w:r w:rsidRPr="00A24B45">
        <w:t xml:space="preserve"> komisjoni president Ursula von </w:t>
      </w:r>
      <w:proofErr w:type="spellStart"/>
      <w:r w:rsidRPr="00A24B45">
        <w:t>der</w:t>
      </w:r>
      <w:proofErr w:type="spellEnd"/>
      <w:r w:rsidRPr="00A24B45">
        <w:t> </w:t>
      </w:r>
      <w:proofErr w:type="spellStart"/>
      <w:r w:rsidR="006B191F" w:rsidRPr="00A24B45">
        <w:t>Leyen</w:t>
      </w:r>
      <w:proofErr w:type="spellEnd"/>
      <w:r w:rsidR="006B191F" w:rsidRPr="00A24B45">
        <w:t xml:space="preserve"> palub volinikukandidaadile Christophe Hansenile saadetud missioonikirjas tal uurida võimalusi kriitilise tähtsusega kaupade impordi vähendamiseks</w:t>
      </w:r>
      <w:r w:rsidR="006B191F" w:rsidRPr="00A24B45">
        <w:rPr>
          <w:rStyle w:val="FootnoteReference"/>
        </w:rPr>
        <w:footnoteReference w:id="14"/>
      </w:r>
      <w:r w:rsidR="006B191F" w:rsidRPr="00A24B45">
        <w:t xml:space="preserve">; </w:t>
      </w:r>
    </w:p>
    <w:p w:rsidR="006B191F" w:rsidRPr="00A24B45" w:rsidRDefault="006B191F" w:rsidP="00B50AE7">
      <w:pPr>
        <w:pStyle w:val="NormalHanging12a"/>
        <w:keepNext/>
        <w:keepLines/>
        <w:rPr>
          <w:b/>
          <w:i/>
        </w:rPr>
      </w:pPr>
      <w:r w:rsidRPr="00A24B45">
        <w:rPr>
          <w:b/>
          <w:i/>
        </w:rPr>
        <w:t>Ebademokraatlik otsustamine</w:t>
      </w:r>
    </w:p>
    <w:p w:rsidR="006B191F" w:rsidRPr="00A24B45" w:rsidRDefault="006B191F" w:rsidP="006B191F">
      <w:pPr>
        <w:pStyle w:val="NormalHanging12a"/>
      </w:pPr>
      <w:r w:rsidRPr="00A24B45">
        <w:t>P.</w:t>
      </w:r>
      <w:r w:rsidRPr="00A24B45">
        <w:tab/>
        <w:t xml:space="preserve">arvestades, et Euroopa Parlament võttis oma kaheksandal ametiajal vastu 36 resolutsiooni, milles väljendatakse vastuseisu toiduks ja söödaks mõeldud </w:t>
      </w:r>
      <w:proofErr w:type="spellStart"/>
      <w:r w:rsidRPr="00A24B45">
        <w:t>GMOde</w:t>
      </w:r>
      <w:proofErr w:type="spellEnd"/>
      <w:r w:rsidRPr="00A24B45">
        <w:t xml:space="preserve"> turule laskmisele (33 resolutsiooni) ning </w:t>
      </w:r>
      <w:proofErr w:type="spellStart"/>
      <w:r w:rsidRPr="00A24B45">
        <w:t>GMOde</w:t>
      </w:r>
      <w:proofErr w:type="spellEnd"/>
      <w:r w:rsidRPr="00A24B45">
        <w:t xml:space="preserve"> kasvatamisele liidus (kolm </w:t>
      </w:r>
      <w:r w:rsidRPr="00A24B45">
        <w:lastRenderedPageBreak/>
        <w:t xml:space="preserve">resolutsiooni); arvestades, et üheksandal ametiajal on Euroopa Parlament väljendanud </w:t>
      </w:r>
      <w:proofErr w:type="spellStart"/>
      <w:r w:rsidRPr="00A24B45">
        <w:t>GMOde</w:t>
      </w:r>
      <w:proofErr w:type="spellEnd"/>
      <w:r w:rsidRPr="00A24B45">
        <w:t xml:space="preserve"> turule laskmisele vastuseisu 38 korral;</w:t>
      </w:r>
    </w:p>
    <w:p w:rsidR="006B191F" w:rsidRPr="00A24B45" w:rsidRDefault="006B191F" w:rsidP="006B191F">
      <w:pPr>
        <w:pStyle w:val="NormalHanging12a"/>
      </w:pPr>
      <w:r w:rsidRPr="00A24B45">
        <w:t>Q.</w:t>
      </w:r>
      <w:r w:rsidRPr="00A24B45">
        <w:tab/>
        <w:t xml:space="preserve">arvestades, et kuigi komisjon tunnistab puudujääke demokraatlikus protsessis, liikmesriikide toetuse puudumist ja Euroopa Parlamendi vastuväiteid, jätkab ta siiski </w:t>
      </w:r>
      <w:proofErr w:type="spellStart"/>
      <w:r w:rsidRPr="00A24B45">
        <w:t>GMOdele</w:t>
      </w:r>
      <w:proofErr w:type="spellEnd"/>
      <w:r w:rsidRPr="00A24B45">
        <w:t xml:space="preserve"> lubade andmist;</w:t>
      </w:r>
    </w:p>
    <w:p w:rsidR="006B191F" w:rsidRPr="00A24B45" w:rsidRDefault="006B191F" w:rsidP="006B191F">
      <w:pPr>
        <w:pStyle w:val="NormalHanging12a"/>
      </w:pPr>
      <w:r w:rsidRPr="00A24B45">
        <w:t>R.</w:t>
      </w:r>
      <w:r w:rsidRPr="00A24B45">
        <w:tab/>
        <w:t xml:space="preserve">arvestades, et selleks, et komisjon saaks keelduda </w:t>
      </w:r>
      <w:proofErr w:type="spellStart"/>
      <w:r w:rsidRPr="00A24B45">
        <w:t>GMOdele</w:t>
      </w:r>
      <w:proofErr w:type="spellEnd"/>
      <w:r w:rsidRPr="00A24B45">
        <w:t xml:space="preserve"> loa andmisest, kui apellatsioonikomitees ei ole saavutatud selle toetuseks liikmesriikide kvalifitseeritud häälteenamust, ei ole vaja õigusakte muuta</w:t>
      </w:r>
      <w:r w:rsidRPr="00A24B45">
        <w:rPr>
          <w:rStyle w:val="FootnoteReference"/>
        </w:rPr>
        <w:footnoteReference w:id="15"/>
      </w:r>
      <w:r w:rsidRPr="00A24B45">
        <w:t>;</w:t>
      </w:r>
    </w:p>
    <w:p w:rsidR="006B191F" w:rsidRPr="00A24B45" w:rsidRDefault="006B191F" w:rsidP="006B191F">
      <w:pPr>
        <w:pStyle w:val="NormalHanging12a"/>
      </w:pPr>
      <w:r w:rsidRPr="00A24B45">
        <w:t>S.</w:t>
      </w:r>
      <w:r w:rsidRPr="00A24B45">
        <w:tab/>
      </w:r>
      <w:r w:rsidRPr="00A24B45">
        <w:rPr>
          <w:shd w:val="clear" w:color="auto" w:fill="FFFFFF"/>
        </w:rPr>
        <w:t>arvestades, et määruse (EÜ) nr 1829/2003 artiklis 35 osutatud alalises taime-, looma-, toidu- ja söödakomitees 8. juulil 2024 toimunud hääletuse tulemusel arvamust ei esitatud, mis tähendab seda, et loa andmise ettepanek ei saanud liikmesriikide kvalifitseeritud häälteenamust; arvestades</w:t>
      </w:r>
      <w:r w:rsidR="00B50AE7" w:rsidRPr="00A24B45">
        <w:rPr>
          <w:shd w:val="clear" w:color="auto" w:fill="FFFFFF"/>
        </w:rPr>
        <w:t>, et arvamust ei esitatud ka 3. </w:t>
      </w:r>
      <w:r w:rsidRPr="00A24B45">
        <w:rPr>
          <w:shd w:val="clear" w:color="auto" w:fill="FFFFFF"/>
        </w:rPr>
        <w:t>septembril 2024 apellatsioonikomitees toimunud hääletuse tulemusel;</w:t>
      </w:r>
    </w:p>
    <w:p w:rsidR="006B191F" w:rsidRPr="00A24B45" w:rsidRDefault="006B191F" w:rsidP="006B191F">
      <w:pPr>
        <w:pStyle w:val="NormalHanging12a"/>
      </w:pPr>
      <w:r w:rsidRPr="00A24B45">
        <w:t>1.</w:t>
      </w:r>
      <w:r w:rsidRPr="00A24B45">
        <w:tab/>
        <w:t>on seisukohal, et rakendusotsus</w:t>
      </w:r>
      <w:r w:rsidR="00B50AE7" w:rsidRPr="00A24B45">
        <w:t xml:space="preserve"> (EL) 2024/2618</w:t>
      </w:r>
      <w:r w:rsidRPr="00A24B45">
        <w:t xml:space="preserve"> ületab määruses (EÜ) nr 1829/2003 sätestatud rakendamisvolitusi;</w:t>
      </w:r>
    </w:p>
    <w:p w:rsidR="006B191F" w:rsidRPr="00A24B45" w:rsidRDefault="006B191F" w:rsidP="006B191F">
      <w:pPr>
        <w:pStyle w:val="NormalHanging12a"/>
      </w:pPr>
      <w:r w:rsidRPr="00A24B45">
        <w:t>2.</w:t>
      </w:r>
      <w:r w:rsidRPr="00A24B45">
        <w:tab/>
        <w:t>on seisukohal, et rakendusotsus</w:t>
      </w:r>
      <w:r w:rsidR="00B50AE7" w:rsidRPr="00A24B45">
        <w:t xml:space="preserve"> (EL) 2024/2618</w:t>
      </w:r>
      <w:r w:rsidRPr="00A24B45">
        <w:t xml:space="preserve"> on vastuolus liidu õigusega, sest see ei ole kooskõlas määruse (EÜ) nr 1829/2003 eesmärgiga, milleks Euroopa Parlamendi ja nõukogu määruses (EÜ) nr 178/2002</w:t>
      </w:r>
      <w:r w:rsidRPr="00A24B45">
        <w:rPr>
          <w:rStyle w:val="FootnoteReference"/>
        </w:rPr>
        <w:footnoteReference w:id="16"/>
      </w:r>
      <w:r w:rsidRPr="00A24B45">
        <w:t xml:space="preserve"> sätestatud </w:t>
      </w:r>
      <w:proofErr w:type="spellStart"/>
      <w:r w:rsidRPr="00A24B45">
        <w:t>üldpõhimõtete</w:t>
      </w:r>
      <w:proofErr w:type="spellEnd"/>
      <w:r w:rsidRPr="00A24B45">
        <w:t xml:space="preserve"> kohaselt on luua alus inimeste elu ja tervise, loomade tervise ja heaolu ning keskkonna ja tarbijate huvide kaitse kõrge taseme tagamiseks seoses geneetiliselt muundatud toidu ja sööda kasutamisega ning tagada samal ajal ka siseturu </w:t>
      </w:r>
      <w:r w:rsidR="00B50AE7" w:rsidRPr="00A24B45">
        <w:t>tulemuslik</w:t>
      </w:r>
      <w:r w:rsidRPr="00A24B45">
        <w:t xml:space="preserve"> toimimine;</w:t>
      </w:r>
    </w:p>
    <w:p w:rsidR="009E1EFB" w:rsidRPr="00A24B45" w:rsidRDefault="007A6E79" w:rsidP="006B191F">
      <w:pPr>
        <w:pStyle w:val="NormalHanging12a"/>
      </w:pPr>
      <w:r w:rsidRPr="00A24B45">
        <w:t>3.</w:t>
      </w:r>
      <w:r w:rsidR="009E1EFB" w:rsidRPr="00A24B45">
        <w:tab/>
        <w:t>kutsub komisjoni üles tagama vabakaubanduslepingute üle peetavatel läbirääkimistel liidu ja tema partnerite standardite lähendamise, et järgida liidu ohutusstandardeid;</w:t>
      </w:r>
    </w:p>
    <w:p w:rsidR="006B191F" w:rsidRPr="00A24B45" w:rsidRDefault="007A6E79" w:rsidP="006B191F">
      <w:pPr>
        <w:pStyle w:val="NormalHanging12a"/>
      </w:pPr>
      <w:r w:rsidRPr="00A24B45">
        <w:t>4</w:t>
      </w:r>
      <w:r w:rsidR="006B191F" w:rsidRPr="00A24B45">
        <w:t>.</w:t>
      </w:r>
      <w:r w:rsidR="006B191F" w:rsidRPr="00A24B45">
        <w:tab/>
        <w:t>palub komisjonil rakendusotsus</w:t>
      </w:r>
      <w:r w:rsidR="00B50AE7" w:rsidRPr="00A24B45">
        <w:t xml:space="preserve"> (EL) 2024/26</w:t>
      </w:r>
      <w:r w:rsidR="00BA3FF6">
        <w:t>1</w:t>
      </w:r>
      <w:r w:rsidR="00B50AE7" w:rsidRPr="00A24B45">
        <w:t>8 kehtetuks tunnistada</w:t>
      </w:r>
      <w:r w:rsidR="006B191F" w:rsidRPr="00A24B45">
        <w:t xml:space="preserve"> ja esitada komiteele uue eelnõu;</w:t>
      </w:r>
    </w:p>
    <w:p w:rsidR="006B191F" w:rsidRPr="00A24B45" w:rsidRDefault="007A6E79" w:rsidP="006B191F">
      <w:pPr>
        <w:pStyle w:val="NormalHanging12a"/>
      </w:pPr>
      <w:r w:rsidRPr="00A24B45">
        <w:t>5</w:t>
      </w:r>
      <w:r w:rsidR="006B191F" w:rsidRPr="00A24B45">
        <w:t>.</w:t>
      </w:r>
      <w:r w:rsidR="006B191F" w:rsidRPr="00A24B45">
        <w:tab/>
        <w:t>kutsub komisjoni üles mitte andma herbitsiiditolerantsete geneetiliselt muundatud põllukultuuridele luba, kuna sellega kaasneb lisaherbits</w:t>
      </w:r>
      <w:bookmarkStart w:id="7" w:name="_GoBack"/>
      <w:bookmarkEnd w:id="7"/>
      <w:r w:rsidR="006B191F" w:rsidRPr="00A24B45">
        <w:t>iidide kasutamise suurenemine ning seetõttu suuremad riskid elurikkusele, toiduohutusele ja töötajate tervisele kooskõlas terviseühtsuse põhimõttega;</w:t>
      </w:r>
    </w:p>
    <w:p w:rsidR="006B191F" w:rsidRPr="00A24B45" w:rsidRDefault="007A6E79" w:rsidP="006B191F">
      <w:pPr>
        <w:pStyle w:val="NormalHanging12a"/>
      </w:pPr>
      <w:r w:rsidRPr="00A24B45">
        <w:t>6</w:t>
      </w:r>
      <w:r w:rsidR="006B191F" w:rsidRPr="00A24B45">
        <w:t>.</w:t>
      </w:r>
      <w:r w:rsidR="006B191F" w:rsidRPr="00A24B45">
        <w:tab/>
        <w:t xml:space="preserve">rõhutab sellega seoses, et liidus keelatud herbitsiidide, näiteks </w:t>
      </w:r>
      <w:proofErr w:type="spellStart"/>
      <w:r w:rsidR="006B191F" w:rsidRPr="00A24B45">
        <w:t>glufosinaadi</w:t>
      </w:r>
      <w:proofErr w:type="spellEnd"/>
      <w:r w:rsidR="006B191F" w:rsidRPr="00A24B45">
        <w:t xml:space="preserve"> suhtes tolerantseks muudetud geneetiliselt muundatud taimede importimise lubamine toidu või söödana kasutamiseks on vastuolus liidu rahvusvaheliste kohustustega, mis tulenevad muu hulgas ÜRO kestliku arengu eesmärkidest ja ÜRO bioloogilise mitmekesisuse </w:t>
      </w:r>
      <w:r w:rsidR="006B191F" w:rsidRPr="00A24B45">
        <w:lastRenderedPageBreak/>
        <w:t>konventsioonist, sealhulga</w:t>
      </w:r>
      <w:r w:rsidR="00B50AE7" w:rsidRPr="00A24B45">
        <w:t xml:space="preserve">s hiljuti vastu võetud </w:t>
      </w:r>
      <w:proofErr w:type="spellStart"/>
      <w:r w:rsidR="00B50AE7" w:rsidRPr="00A24B45">
        <w:t>Kunmingi</w:t>
      </w:r>
      <w:proofErr w:type="spellEnd"/>
      <w:r w:rsidR="00B50AE7" w:rsidRPr="00A24B45">
        <w:noBreakHyphen/>
      </w:r>
      <w:r w:rsidR="006B191F" w:rsidRPr="00A24B45">
        <w:t>Montreali raamistikust</w:t>
      </w:r>
      <w:r w:rsidR="006B191F" w:rsidRPr="00A24B45">
        <w:rPr>
          <w:rStyle w:val="FootnoteReference"/>
        </w:rPr>
        <w:footnoteReference w:id="17"/>
      </w:r>
      <w:r w:rsidR="006B191F" w:rsidRPr="00A24B45">
        <w:t>;</w:t>
      </w:r>
    </w:p>
    <w:p w:rsidR="006B191F" w:rsidRPr="00A24B45" w:rsidRDefault="007A6E79" w:rsidP="006B191F">
      <w:pPr>
        <w:pStyle w:val="NormalHanging12a"/>
      </w:pPr>
      <w:r w:rsidRPr="00A24B45">
        <w:t>7</w:t>
      </w:r>
      <w:r w:rsidR="006B191F" w:rsidRPr="00A24B45">
        <w:t>.</w:t>
      </w:r>
      <w:r w:rsidR="006B191F" w:rsidRPr="00A24B45">
        <w:tab/>
        <w:t>eeldab, et komisjon täidab kiiremas korras oma kohustuse</w:t>
      </w:r>
      <w:r w:rsidR="006B191F" w:rsidRPr="00A24B45">
        <w:rPr>
          <w:rStyle w:val="FootnoteReference"/>
        </w:rPr>
        <w:footnoteReference w:id="18"/>
      </w:r>
      <w:r w:rsidR="006B191F" w:rsidRPr="00A24B45">
        <w:t xml:space="preserve"> esitada ettepanek tagamaks, et liidus keelatud ohtlikke kemikaale ei toodeta ekspordiks;</w:t>
      </w:r>
    </w:p>
    <w:p w:rsidR="006B191F" w:rsidRPr="00A24B45" w:rsidRDefault="007A6E79" w:rsidP="006B191F">
      <w:pPr>
        <w:pStyle w:val="NormalHanging12a"/>
      </w:pPr>
      <w:r w:rsidRPr="00A24B45">
        <w:t>8</w:t>
      </w:r>
      <w:r w:rsidR="006B191F" w:rsidRPr="00A24B45">
        <w:t>.</w:t>
      </w:r>
      <w:r w:rsidR="006B191F" w:rsidRPr="00A24B45">
        <w:tab/>
        <w:t xml:space="preserve">väljendab heameelt, et komisjon tunnistas lõpuks oma 11. septembri 2020. aasta kirjas parlamendiliikmetele, et </w:t>
      </w:r>
      <w:proofErr w:type="spellStart"/>
      <w:r w:rsidR="006B191F" w:rsidRPr="00A24B45">
        <w:t>GMOde</w:t>
      </w:r>
      <w:proofErr w:type="spellEnd"/>
      <w:r w:rsidR="006B191F" w:rsidRPr="00A24B45">
        <w:t xml:space="preserve"> lubamise otsuste tegemisel on vaja arvesse võtta kestlikkust</w:t>
      </w:r>
      <w:r w:rsidR="006B191F" w:rsidRPr="00A24B45">
        <w:rPr>
          <w:rStyle w:val="FootnoteReference"/>
        </w:rPr>
        <w:footnoteReference w:id="19"/>
      </w:r>
      <w:r w:rsidR="006B191F" w:rsidRPr="00A24B45">
        <w:t xml:space="preserve">; väljendab siiski sügavat pettumust, et komisjon on sellest ajast saadik jätkuvalt andnud lube </w:t>
      </w:r>
      <w:proofErr w:type="spellStart"/>
      <w:r w:rsidR="006B191F" w:rsidRPr="00A24B45">
        <w:t>GMOde</w:t>
      </w:r>
      <w:proofErr w:type="spellEnd"/>
      <w:r w:rsidR="006B191F" w:rsidRPr="00A24B45">
        <w:t xml:space="preserve"> liitu importimiseks, hoolimata Euroopa Parlamendi jätkuvast vastuseisust ja et selle poolt ei ole liikmesriikide kvalifitseeritud häälteenamust;</w:t>
      </w:r>
    </w:p>
    <w:p w:rsidR="006B191F" w:rsidRPr="00A24B45" w:rsidRDefault="007A6E79" w:rsidP="006B191F">
      <w:pPr>
        <w:pStyle w:val="NormalHanging12a"/>
      </w:pPr>
      <w:r w:rsidRPr="00A24B45">
        <w:t>9</w:t>
      </w:r>
      <w:r w:rsidR="006B191F" w:rsidRPr="00A24B45">
        <w:t>.</w:t>
      </w:r>
      <w:r w:rsidR="006B191F" w:rsidRPr="00A24B45">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006B191F" w:rsidRPr="00A24B45">
        <w:rPr>
          <w:rStyle w:val="FootnoteReference"/>
        </w:rPr>
        <w:footnoteReference w:id="20"/>
      </w:r>
      <w:r w:rsidR="006B191F" w:rsidRPr="00A24B45">
        <w:t xml:space="preserve">; </w:t>
      </w:r>
    </w:p>
    <w:p w:rsidR="001D7218" w:rsidRPr="00A24B45" w:rsidRDefault="007A6E79" w:rsidP="001D7218">
      <w:pPr>
        <w:pStyle w:val="NormalHanging12a"/>
      </w:pPr>
      <w:r w:rsidRPr="00A24B45">
        <w:t>10</w:t>
      </w:r>
      <w:r w:rsidR="006B191F" w:rsidRPr="00A24B45">
        <w:t>.</w:t>
      </w:r>
      <w:r w:rsidR="006B191F" w:rsidRPr="00A24B45">
        <w:tab/>
        <w:t>teeb presidendile ülesandeks edastada käesolev resolutsioon nõukogule ja komisjonile ning liikmesriikide valitsustele ja parlamentidele.</w:t>
      </w:r>
    </w:p>
    <w:p w:rsidR="00E365E1" w:rsidRPr="00A24B45" w:rsidRDefault="00E365E1" w:rsidP="008E03A8"/>
    <w:sectPr w:rsidR="00E365E1" w:rsidRPr="00A24B45" w:rsidSect="001D721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3A8" w:rsidRPr="001D7218" w:rsidRDefault="008E03A8">
      <w:r w:rsidRPr="001D7218">
        <w:separator/>
      </w:r>
    </w:p>
  </w:endnote>
  <w:endnote w:type="continuationSeparator" w:id="0">
    <w:p w:rsidR="008E03A8" w:rsidRPr="001D7218" w:rsidRDefault="008E03A8">
      <w:r w:rsidRPr="001D7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3A8" w:rsidRPr="001D7218" w:rsidRDefault="008E03A8">
      <w:r w:rsidRPr="001D7218">
        <w:separator/>
      </w:r>
    </w:p>
  </w:footnote>
  <w:footnote w:type="continuationSeparator" w:id="0">
    <w:p w:rsidR="008E03A8" w:rsidRPr="001D7218" w:rsidRDefault="008E03A8">
      <w:r w:rsidRPr="001D7218">
        <w:continuationSeparator/>
      </w:r>
    </w:p>
  </w:footnote>
  <w:footnote w:id="1">
    <w:p w:rsidR="00B50AE7" w:rsidRPr="001D7218" w:rsidRDefault="00B50AE7" w:rsidP="00B50AE7">
      <w:pPr>
        <w:pStyle w:val="FootnoteText"/>
        <w:ind w:left="567" w:hanging="567"/>
        <w:rPr>
          <w:sz w:val="24"/>
          <w:lang w:val="et-EE"/>
        </w:rPr>
      </w:pPr>
      <w:r w:rsidRPr="001D7218">
        <w:rPr>
          <w:rStyle w:val="FootnoteReference"/>
          <w:sz w:val="24"/>
          <w:lang w:val="et-EE"/>
        </w:rPr>
        <w:footnoteRef/>
      </w:r>
      <w:r w:rsidRPr="001D7218">
        <w:rPr>
          <w:sz w:val="24"/>
          <w:lang w:val="et-EE"/>
        </w:rPr>
        <w:t xml:space="preserve"> </w:t>
      </w:r>
      <w:r w:rsidRPr="001D7218">
        <w:rPr>
          <w:sz w:val="24"/>
          <w:lang w:val="et-EE"/>
        </w:rPr>
        <w:tab/>
      </w:r>
      <w:r>
        <w:rPr>
          <w:sz w:val="24"/>
          <w:lang w:val="et-EE"/>
        </w:rPr>
        <w:t>ELT </w:t>
      </w:r>
      <w:r w:rsidRPr="00B50AE7">
        <w:rPr>
          <w:sz w:val="24"/>
          <w:lang w:val="et-EE"/>
        </w:rPr>
        <w:t xml:space="preserve">L, 2024/2618, 10.10.2024, ELI: </w:t>
      </w:r>
      <w:hyperlink r:id="rId1" w:history="1">
        <w:r w:rsidRPr="0088526A">
          <w:rPr>
            <w:rStyle w:val="Hyperlink"/>
            <w:sz w:val="24"/>
            <w:lang w:val="et-EE"/>
          </w:rPr>
          <w:t>http://data.europa.eu/eli/dec_impl/2024/2618/oj</w:t>
        </w:r>
      </w:hyperlink>
      <w:r w:rsidRPr="00B50AE7">
        <w:rPr>
          <w:sz w:val="24"/>
          <w:lang w:val="et-EE"/>
        </w:rPr>
        <w:t>.</w:t>
      </w:r>
    </w:p>
  </w:footnote>
  <w:footnote w:id="2">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00B50AE7">
        <w:rPr>
          <w:sz w:val="24"/>
          <w:lang w:val="et-EE"/>
        </w:rPr>
        <w:t>ELT L 268, 18.10.2003, lk </w:t>
      </w:r>
      <w:r w:rsidRPr="001D7218">
        <w:rPr>
          <w:sz w:val="24"/>
          <w:lang w:val="et-EE"/>
        </w:rPr>
        <w:t>1, ELI:</w:t>
      </w:r>
      <w:r w:rsidR="00B50AE7">
        <w:rPr>
          <w:sz w:val="24"/>
          <w:lang w:val="et-EE"/>
        </w:rPr>
        <w:t> </w:t>
      </w:r>
      <w:hyperlink r:id="rId2" w:tooltip="Juurdepääs dokumendile ELI URI kaudu." w:history="1">
        <w:r w:rsidRPr="001D7218">
          <w:rPr>
            <w:rStyle w:val="Hyperlink"/>
            <w:color w:val="337AB7"/>
            <w:sz w:val="24"/>
            <w:shd w:val="clear" w:color="auto" w:fill="FFFFFF"/>
            <w:lang w:val="et-EE"/>
          </w:rPr>
          <w:t>http://data.europa.eu/eli/reg/2003/1829/oj</w:t>
        </w:r>
      </w:hyperlink>
    </w:p>
  </w:footnote>
  <w:footnote w:id="3">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00B50AE7">
        <w:rPr>
          <w:sz w:val="24"/>
          <w:lang w:val="et-EE"/>
        </w:rPr>
        <w:t>ELT L </w:t>
      </w:r>
      <w:r w:rsidRPr="001D7218">
        <w:rPr>
          <w:sz w:val="24"/>
          <w:lang w:val="et-EE"/>
        </w:rPr>
        <w:t>55, 28.2.2011, lk 13, ELI:</w:t>
      </w:r>
      <w:r w:rsidR="00B50AE7">
        <w:rPr>
          <w:sz w:val="24"/>
          <w:lang w:val="et-EE"/>
        </w:rPr>
        <w:t> </w:t>
      </w:r>
      <w:hyperlink r:id="rId3" w:tooltip="Juurdepääs dokumendile ELI URI kaudu." w:history="1">
        <w:r w:rsidRPr="001D7218">
          <w:rPr>
            <w:rStyle w:val="Hyperlink"/>
            <w:color w:val="337AB7"/>
            <w:sz w:val="24"/>
            <w:shd w:val="clear" w:color="auto" w:fill="FFFFFF"/>
            <w:lang w:val="et-EE"/>
          </w:rPr>
          <w:t>http://data.europa.eu/eli/reg/2011/182/oj</w:t>
        </w:r>
      </w:hyperlink>
    </w:p>
  </w:footnote>
  <w:footnote w:id="4">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EFSA geneetiliselt muundatud organismide komisjoni teaduslik arvamus geneetiliselt muundatud maisi DP202216 kasutamise kohta toiduks ja sööd</w:t>
      </w:r>
      <w:r w:rsidR="00B50AE7">
        <w:rPr>
          <w:sz w:val="24"/>
          <w:lang w:val="et-EE"/>
        </w:rPr>
        <w:t>aks vastavalt määrusele (EÜ) nr </w:t>
      </w:r>
      <w:r w:rsidRPr="001D7218">
        <w:rPr>
          <w:sz w:val="24"/>
          <w:lang w:val="et-EE"/>
        </w:rPr>
        <w:t xml:space="preserve">1829/2003 (taotlus EFSA-GMO-NL-2019-159), EFSA </w:t>
      </w:r>
      <w:proofErr w:type="spellStart"/>
      <w:r w:rsidRPr="001D7218">
        <w:rPr>
          <w:sz w:val="24"/>
          <w:lang w:val="et-EE"/>
        </w:rPr>
        <w:t>Journal</w:t>
      </w:r>
      <w:proofErr w:type="spellEnd"/>
      <w:r w:rsidRPr="001D7218">
        <w:rPr>
          <w:sz w:val="24"/>
          <w:lang w:val="et-EE"/>
        </w:rPr>
        <w:t xml:space="preserve"> 2024;22(3):8655, </w:t>
      </w:r>
      <w:hyperlink r:id="rId4" w:history="1">
        <w:r w:rsidRPr="001D7218">
          <w:rPr>
            <w:rStyle w:val="Hyperlink"/>
            <w:sz w:val="24"/>
            <w:lang w:val="et-EE"/>
          </w:rPr>
          <w:t>https://doi.org/10.2903/j.efsa.2024.8483</w:t>
        </w:r>
      </w:hyperlink>
      <w:r w:rsidRPr="001D7218">
        <w:rPr>
          <w:sz w:val="24"/>
          <w:lang w:val="et-EE"/>
        </w:rPr>
        <w:t>.</w:t>
      </w:r>
    </w:p>
  </w:footnote>
  <w:footnote w:id="5">
    <w:p w:rsidR="006B191F" w:rsidRPr="001D7218" w:rsidRDefault="006B191F" w:rsidP="001D7218">
      <w:pPr>
        <w:pStyle w:val="FootnoteText"/>
        <w:ind w:left="567" w:hanging="567"/>
        <w:rPr>
          <w:sz w:val="24"/>
          <w:szCs w:val="22"/>
          <w:lang w:val="et-EE"/>
        </w:rPr>
      </w:pPr>
      <w:r w:rsidRPr="001D7218">
        <w:rPr>
          <w:rStyle w:val="FootnoteReference"/>
          <w:sz w:val="24"/>
          <w:lang w:val="et-EE"/>
        </w:rPr>
        <w:footnoteRef/>
      </w:r>
      <w:r w:rsidR="001D7218" w:rsidRPr="001D7218">
        <w:rPr>
          <w:color w:val="000000" w:themeColor="text1"/>
          <w:sz w:val="24"/>
          <w:lang w:val="et-EE"/>
        </w:rPr>
        <w:t xml:space="preserve"> </w:t>
      </w:r>
      <w:r w:rsidR="001D7218" w:rsidRPr="001D7218">
        <w:rPr>
          <w:color w:val="000000" w:themeColor="text1"/>
          <w:sz w:val="24"/>
          <w:lang w:val="et-EE"/>
        </w:rPr>
        <w:tab/>
      </w:r>
      <w:r w:rsidRPr="001D7218">
        <w:rPr>
          <w:color w:val="000000" w:themeColor="text1"/>
          <w:sz w:val="24"/>
          <w:lang w:val="et-EE"/>
        </w:rPr>
        <w:t>Parlament võttis kahek</w:t>
      </w:r>
      <w:r w:rsidR="00B50AE7">
        <w:rPr>
          <w:color w:val="000000" w:themeColor="text1"/>
          <w:sz w:val="24"/>
          <w:lang w:val="et-EE"/>
        </w:rPr>
        <w:t>sandal ametiajal vastu 36 </w:t>
      </w:r>
      <w:r w:rsidRPr="001D7218">
        <w:rPr>
          <w:color w:val="000000" w:themeColor="text1"/>
          <w:sz w:val="24"/>
          <w:lang w:val="et-EE"/>
        </w:rPr>
        <w:t>resolutsi</w:t>
      </w:r>
      <w:r w:rsidR="00B50AE7">
        <w:rPr>
          <w:color w:val="000000" w:themeColor="text1"/>
          <w:sz w:val="24"/>
          <w:lang w:val="et-EE"/>
        </w:rPr>
        <w:t>ooni ja üheksandal ametiajal 38 </w:t>
      </w:r>
      <w:r w:rsidRPr="001D7218">
        <w:rPr>
          <w:color w:val="000000" w:themeColor="text1"/>
          <w:sz w:val="24"/>
          <w:lang w:val="et-EE"/>
        </w:rPr>
        <w:t xml:space="preserve">resolutsiooni, milles väljendatakse </w:t>
      </w:r>
      <w:proofErr w:type="spellStart"/>
      <w:r w:rsidRPr="001D7218">
        <w:rPr>
          <w:color w:val="000000" w:themeColor="text1"/>
          <w:sz w:val="24"/>
          <w:lang w:val="et-EE"/>
        </w:rPr>
        <w:t>GMOde</w:t>
      </w:r>
      <w:proofErr w:type="spellEnd"/>
      <w:r w:rsidRPr="001D7218">
        <w:rPr>
          <w:color w:val="000000" w:themeColor="text1"/>
          <w:sz w:val="24"/>
          <w:lang w:val="et-EE"/>
        </w:rPr>
        <w:t xml:space="preserve"> lubamisele vastuseisu. </w:t>
      </w:r>
    </w:p>
  </w:footnote>
  <w:footnote w:id="6">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00B50AE7">
        <w:rPr>
          <w:sz w:val="24"/>
          <w:lang w:val="et-EE"/>
        </w:rPr>
        <w:t>Komisjoni 3. aprilli 2013. aasta rakendusmäärus (EL) nr </w:t>
      </w:r>
      <w:r w:rsidRPr="001D7218">
        <w:rPr>
          <w:sz w:val="24"/>
          <w:lang w:val="et-EE"/>
        </w:rPr>
        <w:t>503/2013, mis käsitleb loa taotlemist geneetiliselt muundatud toidule ja söödale Euroopa Parlam</w:t>
      </w:r>
      <w:r w:rsidR="00B50AE7">
        <w:rPr>
          <w:sz w:val="24"/>
          <w:lang w:val="et-EE"/>
        </w:rPr>
        <w:t>endi ja nõukogu määruse (EÜ) nr </w:t>
      </w:r>
      <w:r w:rsidRPr="001D7218">
        <w:rPr>
          <w:sz w:val="24"/>
          <w:lang w:val="et-EE"/>
        </w:rPr>
        <w:t>1829/2003 kohaselt ning mil</w:t>
      </w:r>
      <w:r w:rsidR="00B50AE7">
        <w:rPr>
          <w:sz w:val="24"/>
          <w:lang w:val="et-EE"/>
        </w:rPr>
        <w:t>lega muudetakse määrusi (EÜ) nr 641/2004 ja (EÜ) nr 1981/2006 (ELT </w:t>
      </w:r>
      <w:r w:rsidRPr="001D7218">
        <w:rPr>
          <w:sz w:val="24"/>
          <w:lang w:val="et-EE"/>
        </w:rPr>
        <w:t>L 157, 8.6.2013, lk 1, ELI:</w:t>
      </w:r>
      <w:r w:rsidR="00B50AE7">
        <w:rPr>
          <w:sz w:val="24"/>
          <w:lang w:val="et-EE"/>
        </w:rPr>
        <w:t> </w:t>
      </w:r>
      <w:hyperlink r:id="rId5" w:tooltip="Juurdepääs dokumendile ELI URI kaudu." w:history="1">
        <w:r w:rsidRPr="001D7218">
          <w:rPr>
            <w:rStyle w:val="Hyperlink"/>
            <w:sz w:val="24"/>
            <w:lang w:val="et-EE"/>
          </w:rPr>
          <w:t>http://data.europa.eu/eli/reg_impl/2013/503/oj</w:t>
        </w:r>
      </w:hyperlink>
      <w:r w:rsidRPr="001D7218">
        <w:rPr>
          <w:sz w:val="24"/>
          <w:lang w:val="et-EE"/>
        </w:rPr>
        <w:t>).</w:t>
      </w:r>
    </w:p>
  </w:footnote>
  <w:footnote w:id="7">
    <w:p w:rsidR="006B191F" w:rsidRPr="001D7218" w:rsidRDefault="006B191F" w:rsidP="001D7218">
      <w:pPr>
        <w:pStyle w:val="FootnoteText"/>
        <w:ind w:left="567" w:hanging="567"/>
        <w:rPr>
          <w:sz w:val="24"/>
          <w:szCs w:val="22"/>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Vt näiteks </w:t>
      </w:r>
      <w:proofErr w:type="spellStart"/>
      <w:r w:rsidRPr="001D7218">
        <w:rPr>
          <w:sz w:val="24"/>
          <w:lang w:val="et-EE"/>
        </w:rPr>
        <w:t>Schulz</w:t>
      </w:r>
      <w:proofErr w:type="spellEnd"/>
      <w:r w:rsidRPr="001D7218">
        <w:rPr>
          <w:sz w:val="24"/>
          <w:lang w:val="et-EE"/>
        </w:rPr>
        <w:t xml:space="preserve">, R., </w:t>
      </w:r>
      <w:proofErr w:type="spellStart"/>
      <w:r w:rsidRPr="001D7218">
        <w:rPr>
          <w:sz w:val="24"/>
          <w:lang w:val="et-EE"/>
        </w:rPr>
        <w:t>Bub</w:t>
      </w:r>
      <w:proofErr w:type="spellEnd"/>
      <w:r w:rsidRPr="001D7218">
        <w:rPr>
          <w:sz w:val="24"/>
          <w:lang w:val="et-EE"/>
        </w:rPr>
        <w:t xml:space="preserve">, S., </w:t>
      </w:r>
      <w:proofErr w:type="spellStart"/>
      <w:r w:rsidRPr="001D7218">
        <w:rPr>
          <w:sz w:val="24"/>
          <w:lang w:val="et-EE"/>
        </w:rPr>
        <w:t>Petschick</w:t>
      </w:r>
      <w:proofErr w:type="spellEnd"/>
      <w:r w:rsidRPr="001D7218">
        <w:rPr>
          <w:sz w:val="24"/>
          <w:lang w:val="et-EE"/>
        </w:rPr>
        <w:t xml:space="preserve">, L. L., </w:t>
      </w:r>
      <w:proofErr w:type="spellStart"/>
      <w:r w:rsidRPr="001D7218">
        <w:rPr>
          <w:sz w:val="24"/>
          <w:lang w:val="et-EE"/>
        </w:rPr>
        <w:t>Stehle</w:t>
      </w:r>
      <w:proofErr w:type="spellEnd"/>
      <w:r w:rsidRPr="001D7218">
        <w:rPr>
          <w:sz w:val="24"/>
          <w:lang w:val="et-EE"/>
        </w:rPr>
        <w:t>, S., Wolfram, J. (2021) „</w:t>
      </w:r>
      <w:proofErr w:type="spellStart"/>
      <w:r w:rsidRPr="001D7218">
        <w:rPr>
          <w:sz w:val="24"/>
          <w:lang w:val="et-EE"/>
        </w:rPr>
        <w:t>Applied</w:t>
      </w:r>
      <w:proofErr w:type="spellEnd"/>
      <w:r w:rsidRPr="001D7218">
        <w:rPr>
          <w:sz w:val="24"/>
          <w:lang w:val="et-EE"/>
        </w:rPr>
        <w:t xml:space="preserve"> </w:t>
      </w:r>
      <w:proofErr w:type="spellStart"/>
      <w:r w:rsidRPr="001D7218">
        <w:rPr>
          <w:sz w:val="24"/>
          <w:lang w:val="et-EE"/>
        </w:rPr>
        <w:t>pesticide</w:t>
      </w:r>
      <w:proofErr w:type="spellEnd"/>
      <w:r w:rsidRPr="001D7218">
        <w:rPr>
          <w:sz w:val="24"/>
          <w:lang w:val="et-EE"/>
        </w:rPr>
        <w:t xml:space="preserve"> </w:t>
      </w:r>
      <w:proofErr w:type="spellStart"/>
      <w:r w:rsidRPr="001D7218">
        <w:rPr>
          <w:sz w:val="24"/>
          <w:lang w:val="et-EE"/>
        </w:rPr>
        <w:t>toxicity</w:t>
      </w:r>
      <w:proofErr w:type="spellEnd"/>
      <w:r w:rsidRPr="001D7218">
        <w:rPr>
          <w:sz w:val="24"/>
          <w:lang w:val="et-EE"/>
        </w:rPr>
        <w:t xml:space="preserve"> </w:t>
      </w:r>
      <w:proofErr w:type="spellStart"/>
      <w:r w:rsidRPr="001D7218">
        <w:rPr>
          <w:sz w:val="24"/>
          <w:lang w:val="et-EE"/>
        </w:rPr>
        <w:t>shifts</w:t>
      </w:r>
      <w:proofErr w:type="spellEnd"/>
      <w:r w:rsidRPr="001D7218">
        <w:rPr>
          <w:sz w:val="24"/>
          <w:lang w:val="et-EE"/>
        </w:rPr>
        <w:t xml:space="preserve"> </w:t>
      </w:r>
      <w:proofErr w:type="spellStart"/>
      <w:r w:rsidRPr="001D7218">
        <w:rPr>
          <w:sz w:val="24"/>
          <w:lang w:val="et-EE"/>
        </w:rPr>
        <w:t>toward</w:t>
      </w:r>
      <w:proofErr w:type="spellEnd"/>
      <w:r w:rsidRPr="001D7218">
        <w:rPr>
          <w:sz w:val="24"/>
          <w:lang w:val="et-EE"/>
        </w:rPr>
        <w:t xml:space="preserve"> </w:t>
      </w:r>
      <w:proofErr w:type="spellStart"/>
      <w:r w:rsidRPr="001D7218">
        <w:rPr>
          <w:sz w:val="24"/>
          <w:lang w:val="et-EE"/>
        </w:rPr>
        <w:t>plant</w:t>
      </w:r>
      <w:proofErr w:type="spellEnd"/>
      <w:r w:rsidRPr="001D7218">
        <w:rPr>
          <w:sz w:val="24"/>
          <w:lang w:val="et-EE"/>
        </w:rPr>
        <w:t xml:space="preserve"> and </w:t>
      </w:r>
      <w:proofErr w:type="spellStart"/>
      <w:r w:rsidRPr="001D7218">
        <w:rPr>
          <w:sz w:val="24"/>
          <w:lang w:val="et-EE"/>
        </w:rPr>
        <w:t>invertebrates</w:t>
      </w:r>
      <w:proofErr w:type="spellEnd"/>
      <w:r w:rsidRPr="001D7218">
        <w:rPr>
          <w:sz w:val="24"/>
          <w:lang w:val="et-EE"/>
        </w:rPr>
        <w:t xml:space="preserve">, </w:t>
      </w:r>
      <w:proofErr w:type="spellStart"/>
      <w:r w:rsidRPr="001D7218">
        <w:rPr>
          <w:sz w:val="24"/>
          <w:lang w:val="et-EE"/>
        </w:rPr>
        <w:t>even</w:t>
      </w:r>
      <w:proofErr w:type="spellEnd"/>
      <w:r w:rsidRPr="001D7218">
        <w:rPr>
          <w:sz w:val="24"/>
          <w:lang w:val="et-EE"/>
        </w:rPr>
        <w:t xml:space="preserve"> in GM </w:t>
      </w:r>
      <w:proofErr w:type="spellStart"/>
      <w:r w:rsidRPr="001D7218">
        <w:rPr>
          <w:sz w:val="24"/>
          <w:lang w:val="et-EE"/>
        </w:rPr>
        <w:t>crops</w:t>
      </w:r>
      <w:proofErr w:type="spellEnd"/>
      <w:r w:rsidRPr="001D7218">
        <w:rPr>
          <w:sz w:val="24"/>
          <w:lang w:val="et-EE"/>
        </w:rPr>
        <w:t xml:space="preserve">“, </w:t>
      </w:r>
      <w:proofErr w:type="spellStart"/>
      <w:r w:rsidRPr="001D7218">
        <w:rPr>
          <w:sz w:val="24"/>
          <w:lang w:val="et-EE"/>
        </w:rPr>
        <w:t>Science</w:t>
      </w:r>
      <w:proofErr w:type="spellEnd"/>
      <w:r w:rsidRPr="001D7218">
        <w:rPr>
          <w:sz w:val="24"/>
          <w:lang w:val="et-EE"/>
        </w:rPr>
        <w:t xml:space="preserve"> 372(6537), lk 81–84, </w:t>
      </w:r>
      <w:hyperlink r:id="rId6" w:history="1">
        <w:r w:rsidRPr="001D7218">
          <w:rPr>
            <w:rStyle w:val="Hyperlink"/>
            <w:sz w:val="24"/>
            <w:lang w:val="et-EE"/>
          </w:rPr>
          <w:t>https://doi.org/10.1126/science.abe1148</w:t>
        </w:r>
      </w:hyperlink>
      <w:r w:rsidRPr="001D7218">
        <w:rPr>
          <w:rStyle w:val="Hyperlink"/>
          <w:sz w:val="24"/>
          <w:lang w:val="et-EE"/>
        </w:rPr>
        <w:t>;</w:t>
      </w:r>
      <w:r w:rsidRPr="001D7218">
        <w:rPr>
          <w:sz w:val="24"/>
          <w:lang w:val="et-EE"/>
        </w:rPr>
        <w:t xml:space="preserve"> </w:t>
      </w:r>
      <w:proofErr w:type="spellStart"/>
      <w:r w:rsidRPr="001D7218">
        <w:rPr>
          <w:sz w:val="24"/>
          <w:lang w:val="et-EE"/>
        </w:rPr>
        <w:t>Bonny</w:t>
      </w:r>
      <w:proofErr w:type="spellEnd"/>
      <w:r w:rsidRPr="001D7218">
        <w:rPr>
          <w:sz w:val="24"/>
          <w:lang w:val="et-EE"/>
        </w:rPr>
        <w:t>, S., „</w:t>
      </w:r>
      <w:proofErr w:type="spellStart"/>
      <w:r w:rsidRPr="001D7218">
        <w:rPr>
          <w:sz w:val="24"/>
          <w:lang w:val="et-EE"/>
        </w:rPr>
        <w:t>Genetically</w:t>
      </w:r>
      <w:proofErr w:type="spellEnd"/>
      <w:r w:rsidRPr="001D7218">
        <w:rPr>
          <w:sz w:val="24"/>
          <w:lang w:val="et-EE"/>
        </w:rPr>
        <w:t xml:space="preserve"> </w:t>
      </w:r>
      <w:proofErr w:type="spellStart"/>
      <w:r w:rsidRPr="001D7218">
        <w:rPr>
          <w:sz w:val="24"/>
          <w:lang w:val="et-EE"/>
        </w:rPr>
        <w:t>Modified</w:t>
      </w:r>
      <w:proofErr w:type="spellEnd"/>
      <w:r w:rsidRPr="001D7218">
        <w:rPr>
          <w:sz w:val="24"/>
          <w:lang w:val="et-EE"/>
        </w:rPr>
        <w:t xml:space="preserve"> </w:t>
      </w:r>
      <w:proofErr w:type="spellStart"/>
      <w:r w:rsidRPr="001D7218">
        <w:rPr>
          <w:sz w:val="24"/>
          <w:lang w:val="et-EE"/>
        </w:rPr>
        <w:t>Herbicide</w:t>
      </w:r>
      <w:proofErr w:type="spellEnd"/>
      <w:r w:rsidRPr="001D7218">
        <w:rPr>
          <w:sz w:val="24"/>
          <w:lang w:val="et-EE"/>
        </w:rPr>
        <w:t xml:space="preserve">-Tolerant </w:t>
      </w:r>
      <w:proofErr w:type="spellStart"/>
      <w:r w:rsidRPr="001D7218">
        <w:rPr>
          <w:sz w:val="24"/>
          <w:lang w:val="et-EE"/>
        </w:rPr>
        <w:t>Crops</w:t>
      </w:r>
      <w:proofErr w:type="spellEnd"/>
      <w:r w:rsidRPr="001D7218">
        <w:rPr>
          <w:sz w:val="24"/>
          <w:lang w:val="et-EE"/>
        </w:rPr>
        <w:t xml:space="preserve">, </w:t>
      </w:r>
      <w:proofErr w:type="spellStart"/>
      <w:r w:rsidRPr="001D7218">
        <w:rPr>
          <w:sz w:val="24"/>
          <w:lang w:val="et-EE"/>
        </w:rPr>
        <w:t>Weeds</w:t>
      </w:r>
      <w:proofErr w:type="spellEnd"/>
      <w:r w:rsidRPr="001D7218">
        <w:rPr>
          <w:sz w:val="24"/>
          <w:lang w:val="et-EE"/>
        </w:rPr>
        <w:t xml:space="preserve">, and </w:t>
      </w:r>
      <w:proofErr w:type="spellStart"/>
      <w:r w:rsidRPr="001D7218">
        <w:rPr>
          <w:sz w:val="24"/>
          <w:lang w:val="et-EE"/>
        </w:rPr>
        <w:t>Herbicides</w:t>
      </w:r>
      <w:proofErr w:type="spellEnd"/>
      <w:r w:rsidRPr="001D7218">
        <w:rPr>
          <w:sz w:val="24"/>
          <w:lang w:val="et-EE"/>
        </w:rPr>
        <w:t xml:space="preserve">: </w:t>
      </w:r>
      <w:proofErr w:type="spellStart"/>
      <w:r w:rsidRPr="001D7218">
        <w:rPr>
          <w:sz w:val="24"/>
          <w:lang w:val="et-EE"/>
        </w:rPr>
        <w:t>Overview</w:t>
      </w:r>
      <w:proofErr w:type="spellEnd"/>
      <w:r w:rsidRPr="001D7218">
        <w:rPr>
          <w:sz w:val="24"/>
          <w:lang w:val="et-EE"/>
        </w:rPr>
        <w:t xml:space="preserve"> and </w:t>
      </w:r>
      <w:proofErr w:type="spellStart"/>
      <w:r w:rsidRPr="001D7218">
        <w:rPr>
          <w:sz w:val="24"/>
          <w:lang w:val="et-EE"/>
        </w:rPr>
        <w:t>Impact</w:t>
      </w:r>
      <w:proofErr w:type="spellEnd"/>
      <w:r w:rsidRPr="001D7218">
        <w:rPr>
          <w:sz w:val="24"/>
          <w:lang w:val="et-EE"/>
        </w:rPr>
        <w:t xml:space="preserve">“, </w:t>
      </w:r>
      <w:proofErr w:type="spellStart"/>
      <w:r w:rsidRPr="001D7218">
        <w:rPr>
          <w:sz w:val="24"/>
          <w:lang w:val="et-EE"/>
        </w:rPr>
        <w:t>Environmental</w:t>
      </w:r>
      <w:proofErr w:type="spellEnd"/>
      <w:r w:rsidRPr="001D7218">
        <w:rPr>
          <w:sz w:val="24"/>
          <w:lang w:val="et-EE"/>
        </w:rPr>
        <w:t xml:space="preserve"> </w:t>
      </w:r>
      <w:proofErr w:type="spellStart"/>
      <w:r w:rsidRPr="001D7218">
        <w:rPr>
          <w:sz w:val="24"/>
          <w:lang w:val="et-EE"/>
        </w:rPr>
        <w:t>Management</w:t>
      </w:r>
      <w:proofErr w:type="spellEnd"/>
      <w:r w:rsidRPr="001D7218">
        <w:rPr>
          <w:sz w:val="24"/>
          <w:lang w:val="et-EE"/>
        </w:rPr>
        <w:t xml:space="preserve">, jaanuar 2016; 57(1), lk 31–48, </w:t>
      </w:r>
      <w:hyperlink r:id="rId7" w:history="1">
        <w:r w:rsidRPr="001D7218">
          <w:rPr>
            <w:rStyle w:val="Hyperlink"/>
            <w:sz w:val="24"/>
            <w:lang w:val="et-EE"/>
          </w:rPr>
          <w:t>https://www.ncbi.nlm.nih.gov/pubmed/26296738</w:t>
        </w:r>
      </w:hyperlink>
      <w:r w:rsidRPr="001D7218">
        <w:rPr>
          <w:sz w:val="24"/>
          <w:lang w:val="et-EE"/>
        </w:rPr>
        <w:t xml:space="preserve">; ja </w:t>
      </w:r>
      <w:proofErr w:type="spellStart"/>
      <w:r w:rsidRPr="001D7218">
        <w:rPr>
          <w:sz w:val="24"/>
          <w:lang w:val="et-EE"/>
        </w:rPr>
        <w:t>Benbrook</w:t>
      </w:r>
      <w:proofErr w:type="spellEnd"/>
      <w:r w:rsidRPr="001D7218">
        <w:rPr>
          <w:sz w:val="24"/>
          <w:lang w:val="et-EE"/>
        </w:rPr>
        <w:t>, C.M. „</w:t>
      </w:r>
      <w:proofErr w:type="spellStart"/>
      <w:r w:rsidRPr="001D7218">
        <w:rPr>
          <w:sz w:val="24"/>
          <w:lang w:val="et-EE"/>
        </w:rPr>
        <w:t>Impacts</w:t>
      </w:r>
      <w:proofErr w:type="spellEnd"/>
      <w:r w:rsidRPr="001D7218">
        <w:rPr>
          <w:sz w:val="24"/>
          <w:lang w:val="et-EE"/>
        </w:rPr>
        <w:t xml:space="preserve"> of </w:t>
      </w:r>
      <w:proofErr w:type="spellStart"/>
      <w:r w:rsidRPr="001D7218">
        <w:rPr>
          <w:sz w:val="24"/>
          <w:lang w:val="et-EE"/>
        </w:rPr>
        <w:t>genetically</w:t>
      </w:r>
      <w:proofErr w:type="spellEnd"/>
      <w:r w:rsidRPr="001D7218">
        <w:rPr>
          <w:sz w:val="24"/>
          <w:lang w:val="et-EE"/>
        </w:rPr>
        <w:t xml:space="preserve"> </w:t>
      </w:r>
      <w:proofErr w:type="spellStart"/>
      <w:r w:rsidRPr="001D7218">
        <w:rPr>
          <w:sz w:val="24"/>
          <w:lang w:val="et-EE"/>
        </w:rPr>
        <w:t>engineered</w:t>
      </w:r>
      <w:proofErr w:type="spellEnd"/>
      <w:r w:rsidRPr="001D7218">
        <w:rPr>
          <w:sz w:val="24"/>
          <w:lang w:val="et-EE"/>
        </w:rPr>
        <w:t xml:space="preserve"> </w:t>
      </w:r>
      <w:proofErr w:type="spellStart"/>
      <w:r w:rsidRPr="001D7218">
        <w:rPr>
          <w:sz w:val="24"/>
          <w:lang w:val="et-EE"/>
        </w:rPr>
        <w:t>crops</w:t>
      </w:r>
      <w:proofErr w:type="spellEnd"/>
      <w:r w:rsidRPr="001D7218">
        <w:rPr>
          <w:sz w:val="24"/>
          <w:lang w:val="et-EE"/>
        </w:rPr>
        <w:t xml:space="preserve"> on </w:t>
      </w:r>
      <w:proofErr w:type="spellStart"/>
      <w:r w:rsidRPr="001D7218">
        <w:rPr>
          <w:sz w:val="24"/>
          <w:lang w:val="et-EE"/>
        </w:rPr>
        <w:t>pesticide</w:t>
      </w:r>
      <w:proofErr w:type="spellEnd"/>
      <w:r w:rsidRPr="001D7218">
        <w:rPr>
          <w:sz w:val="24"/>
          <w:lang w:val="et-EE"/>
        </w:rPr>
        <w:t xml:space="preserve"> </w:t>
      </w:r>
      <w:proofErr w:type="spellStart"/>
      <w:r w:rsidRPr="001D7218">
        <w:rPr>
          <w:sz w:val="24"/>
          <w:lang w:val="et-EE"/>
        </w:rPr>
        <w:t>use</w:t>
      </w:r>
      <w:proofErr w:type="spellEnd"/>
      <w:r w:rsidRPr="001D7218">
        <w:rPr>
          <w:sz w:val="24"/>
          <w:lang w:val="et-EE"/>
        </w:rPr>
        <w:t xml:space="preserve"> in </w:t>
      </w:r>
      <w:proofErr w:type="spellStart"/>
      <w:r w:rsidRPr="001D7218">
        <w:rPr>
          <w:sz w:val="24"/>
          <w:lang w:val="et-EE"/>
        </w:rPr>
        <w:t>the</w:t>
      </w:r>
      <w:proofErr w:type="spellEnd"/>
      <w:r w:rsidRPr="001D7218">
        <w:rPr>
          <w:sz w:val="24"/>
          <w:lang w:val="et-EE"/>
        </w:rPr>
        <w:t xml:space="preserve"> U.S. – </w:t>
      </w:r>
      <w:proofErr w:type="spellStart"/>
      <w:r w:rsidRPr="001D7218">
        <w:rPr>
          <w:sz w:val="24"/>
          <w:lang w:val="et-EE"/>
        </w:rPr>
        <w:t>the</w:t>
      </w:r>
      <w:proofErr w:type="spellEnd"/>
      <w:r w:rsidRPr="001D7218">
        <w:rPr>
          <w:sz w:val="24"/>
          <w:lang w:val="et-EE"/>
        </w:rPr>
        <w:t xml:space="preserve"> </w:t>
      </w:r>
      <w:proofErr w:type="spellStart"/>
      <w:r w:rsidRPr="001D7218">
        <w:rPr>
          <w:sz w:val="24"/>
          <w:lang w:val="et-EE"/>
        </w:rPr>
        <w:t>first</w:t>
      </w:r>
      <w:proofErr w:type="spellEnd"/>
      <w:r w:rsidRPr="001D7218">
        <w:rPr>
          <w:sz w:val="24"/>
          <w:lang w:val="et-EE"/>
        </w:rPr>
        <w:t xml:space="preserve"> </w:t>
      </w:r>
      <w:proofErr w:type="spellStart"/>
      <w:r w:rsidRPr="001D7218">
        <w:rPr>
          <w:sz w:val="24"/>
          <w:lang w:val="et-EE"/>
        </w:rPr>
        <w:t>sixteen</w:t>
      </w:r>
      <w:proofErr w:type="spellEnd"/>
      <w:r w:rsidRPr="001D7218">
        <w:rPr>
          <w:sz w:val="24"/>
          <w:lang w:val="et-EE"/>
        </w:rPr>
        <w:t xml:space="preserve"> </w:t>
      </w:r>
      <w:proofErr w:type="spellStart"/>
      <w:r w:rsidRPr="001D7218">
        <w:rPr>
          <w:sz w:val="24"/>
          <w:lang w:val="et-EE"/>
        </w:rPr>
        <w:t>years</w:t>
      </w:r>
      <w:proofErr w:type="spellEnd"/>
      <w:r w:rsidRPr="001D7218">
        <w:rPr>
          <w:sz w:val="24"/>
          <w:lang w:val="et-EE"/>
        </w:rPr>
        <w:t xml:space="preserve">“, </w:t>
      </w:r>
      <w:proofErr w:type="spellStart"/>
      <w:r w:rsidRPr="001D7218">
        <w:rPr>
          <w:sz w:val="24"/>
          <w:lang w:val="et-EE"/>
        </w:rPr>
        <w:t>Environmental</w:t>
      </w:r>
      <w:proofErr w:type="spellEnd"/>
      <w:r w:rsidRPr="001D7218">
        <w:rPr>
          <w:sz w:val="24"/>
          <w:lang w:val="et-EE"/>
        </w:rPr>
        <w:t xml:space="preserve"> </w:t>
      </w:r>
      <w:proofErr w:type="spellStart"/>
      <w:r w:rsidRPr="001D7218">
        <w:rPr>
          <w:sz w:val="24"/>
          <w:lang w:val="et-EE"/>
        </w:rPr>
        <w:t>Sciences</w:t>
      </w:r>
      <w:proofErr w:type="spellEnd"/>
      <w:r w:rsidRPr="001D7218">
        <w:rPr>
          <w:sz w:val="24"/>
          <w:lang w:val="et-EE"/>
        </w:rPr>
        <w:t xml:space="preserve"> </w:t>
      </w:r>
      <w:proofErr w:type="spellStart"/>
      <w:r w:rsidRPr="001D7218">
        <w:rPr>
          <w:sz w:val="24"/>
          <w:lang w:val="et-EE"/>
        </w:rPr>
        <w:t>Europe</w:t>
      </w:r>
      <w:proofErr w:type="spellEnd"/>
      <w:r w:rsidRPr="001D7218">
        <w:rPr>
          <w:sz w:val="24"/>
          <w:lang w:val="et-EE"/>
        </w:rPr>
        <w:t xml:space="preserve">, 28. september 2012, kd 24(1), </w:t>
      </w:r>
      <w:hyperlink r:id="rId8" w:history="1">
        <w:r w:rsidRPr="001D7218">
          <w:rPr>
            <w:rStyle w:val="Hyperlink"/>
            <w:sz w:val="24"/>
            <w:lang w:val="et-EE"/>
          </w:rPr>
          <w:t>https://enveurope.springeropen.com/articles/10.1186/2190-4715-24-24</w:t>
        </w:r>
      </w:hyperlink>
      <w:r w:rsidRPr="001D7218">
        <w:rPr>
          <w:sz w:val="24"/>
          <w:lang w:val="et-EE"/>
        </w:rPr>
        <w:t>.</w:t>
      </w:r>
    </w:p>
  </w:footnote>
  <w:footnote w:id="8">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Euroopa Parlamendi ja nõukogu 21. oktoobri 2009. aasta määrus (EÜ) nr 1107/2009 taimekaitsevahendite turulelaskmise ja nõukogu direktiivide 79/117/EMÜ ja 91/414/EMÜ kehtetuks tunnistamise kohta </w:t>
      </w:r>
      <w:r w:rsidR="00B50AE7">
        <w:rPr>
          <w:sz w:val="24"/>
          <w:lang w:val="et-EE"/>
        </w:rPr>
        <w:t>(</w:t>
      </w:r>
      <w:r w:rsidRPr="001D7218">
        <w:rPr>
          <w:sz w:val="24"/>
          <w:lang w:val="et-EE"/>
        </w:rPr>
        <w:t>ELT L 309, 24.11.2009, lk 1, ELI:</w:t>
      </w:r>
      <w:r w:rsidR="00B50AE7">
        <w:rPr>
          <w:sz w:val="24"/>
          <w:lang w:val="et-EE"/>
        </w:rPr>
        <w:t> </w:t>
      </w:r>
      <w:hyperlink r:id="rId9" w:tooltip="Juurdepääs dokumendile ELI URI kaudu." w:history="1">
        <w:r w:rsidRPr="001D7218">
          <w:rPr>
            <w:rStyle w:val="Hyperlink"/>
            <w:sz w:val="24"/>
            <w:lang w:val="et-EE"/>
          </w:rPr>
          <w:t>http://data.europa.eu/eli/reg/2009/1107/oj</w:t>
        </w:r>
      </w:hyperlink>
      <w:r w:rsidRPr="001D7218">
        <w:rPr>
          <w:sz w:val="24"/>
          <w:lang w:val="et-EE"/>
        </w:rPr>
        <w:t>).</w:t>
      </w:r>
    </w:p>
  </w:footnote>
  <w:footnote w:id="9">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hyperlink r:id="rId10" w:history="1">
        <w:r w:rsidRPr="001D7218">
          <w:rPr>
            <w:rStyle w:val="Hyperlink"/>
            <w:sz w:val="24"/>
            <w:lang w:val="et-EE"/>
          </w:rPr>
          <w:t>https://efsa.onlinelibrary.wiley.com/action/downloadSupplement?doi=10.2903%‌2Fj.efsa.2024.8655&amp;file=efs28655-sup-0008-Annex8.pdf</w:t>
        </w:r>
      </w:hyperlink>
      <w:r w:rsidRPr="001D7218">
        <w:rPr>
          <w:rStyle w:val="Hyperlink"/>
          <w:sz w:val="24"/>
          <w:lang w:val="et-EE"/>
        </w:rPr>
        <w:t>.</w:t>
      </w:r>
    </w:p>
  </w:footnote>
  <w:footnote w:id="10">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„Strateegiline dialoog ELi põllumajanduse tuleviku üle – põllumajanduse ja toidu ühine </w:t>
      </w:r>
      <w:r w:rsidR="00B50AE7">
        <w:rPr>
          <w:sz w:val="24"/>
          <w:lang w:val="et-EE"/>
        </w:rPr>
        <w:t>väljavaade Euroopas“, september </w:t>
      </w:r>
      <w:r w:rsidRPr="001D7218">
        <w:rPr>
          <w:sz w:val="24"/>
          <w:lang w:val="et-EE"/>
        </w:rPr>
        <w:t xml:space="preserve">2024, </w:t>
      </w:r>
      <w:hyperlink r:id="rId11" w:history="1">
        <w:r w:rsidRPr="001D7218">
          <w:rPr>
            <w:rStyle w:val="Hyperlink"/>
            <w:sz w:val="24"/>
            <w:lang w:val="et-EE"/>
          </w:rPr>
          <w:t>https://agriculture.ec.europa.eu/document/download/171329ff-0f50-4fa5-946f-aea11032172e_en?filename=strategic-dialogue-report-2024_en.pdf</w:t>
        </w:r>
      </w:hyperlink>
      <w:r w:rsidRPr="001D7218">
        <w:rPr>
          <w:rStyle w:val="Hyperlink"/>
          <w:sz w:val="24"/>
          <w:lang w:val="et-EE"/>
        </w:rPr>
        <w:t>.</w:t>
      </w:r>
    </w:p>
  </w:footnote>
  <w:footnote w:id="11">
    <w:p w:rsidR="006B191F" w:rsidRPr="001D7218" w:rsidRDefault="006B191F" w:rsidP="001D7218">
      <w:pPr>
        <w:pStyle w:val="FootnoteText"/>
        <w:ind w:left="567" w:hanging="567"/>
        <w:rPr>
          <w:sz w:val="24"/>
          <w:szCs w:val="22"/>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hyperlink r:id="rId12" w:history="1">
        <w:r w:rsidRPr="001D7218">
          <w:rPr>
            <w:rStyle w:val="Hyperlink"/>
            <w:sz w:val="24"/>
            <w:lang w:val="et-EE"/>
          </w:rPr>
          <w:t>https://www.ohchr.org/en/documents/thematic-reports/ahrc3448-report-special-rapporteur-right-food</w:t>
        </w:r>
      </w:hyperlink>
    </w:p>
  </w:footnote>
  <w:footnote w:id="12">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hyperlink r:id="rId13" w:history="1">
        <w:r w:rsidRPr="001D7218">
          <w:rPr>
            <w:rStyle w:val="Hyperlink"/>
            <w:sz w:val="24"/>
            <w:lang w:val="et-EE"/>
          </w:rPr>
          <w:t>https://indicators.report/targets/3-9/</w:t>
        </w:r>
      </w:hyperlink>
    </w:p>
  </w:footnote>
  <w:footnote w:id="13">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Vt: </w:t>
      </w:r>
      <w:hyperlink r:id="rId14" w:history="1">
        <w:r w:rsidRPr="001D7218">
          <w:rPr>
            <w:rStyle w:val="Hyperlink"/>
            <w:sz w:val="24"/>
            <w:lang w:val="et-EE"/>
          </w:rPr>
          <w:t>https://ec.europa.eu/commission/presscorner/detail/et/ip_22_7834</w:t>
        </w:r>
      </w:hyperlink>
      <w:r w:rsidRPr="001D7218">
        <w:rPr>
          <w:sz w:val="24"/>
          <w:lang w:val="et-EE"/>
        </w:rPr>
        <w:t>.</w:t>
      </w:r>
    </w:p>
  </w:footnote>
  <w:footnote w:id="14">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hyperlink r:id="rId15" w:history="1">
        <w:r w:rsidRPr="001D7218">
          <w:rPr>
            <w:rStyle w:val="Hyperlink"/>
            <w:sz w:val="24"/>
            <w:lang w:val="et-EE"/>
          </w:rPr>
          <w:t>https://commission.europa.eu/document/2c64e540-c07a-4376-a1da-368d289f4afe_en</w:t>
        </w:r>
      </w:hyperlink>
    </w:p>
  </w:footnote>
  <w:footnote w:id="15">
    <w:p w:rsidR="006B191F" w:rsidRPr="001D7218" w:rsidRDefault="006B191F" w:rsidP="001D7218">
      <w:pPr>
        <w:pStyle w:val="FootnoteText"/>
        <w:ind w:left="567" w:hanging="567"/>
        <w:rPr>
          <w:sz w:val="24"/>
          <w:szCs w:val="22"/>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Määruse (EL) </w:t>
      </w:r>
      <w:r w:rsidR="00BA3FF6">
        <w:rPr>
          <w:sz w:val="24"/>
          <w:lang w:val="et-EE"/>
        </w:rPr>
        <w:t xml:space="preserve">nr </w:t>
      </w:r>
      <w:r w:rsidRPr="001D7218">
        <w:rPr>
          <w:sz w:val="24"/>
          <w:lang w:val="et-EE"/>
        </w:rPr>
        <w:t>182/2011 artikli 6 lõike 3 kohaselt võib komisjon loa anda, kuid ei pea seda tegema, kui apellatsioonikomitees ei ole selle toetuseks saavutatud liikmesriikide kvalifitseeritud häälteenamust.</w:t>
      </w:r>
    </w:p>
  </w:footnote>
  <w:footnote w:id="16">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Euroopa Parlamend</w:t>
      </w:r>
      <w:r w:rsidR="00B50AE7">
        <w:rPr>
          <w:sz w:val="24"/>
          <w:lang w:val="et-EE"/>
        </w:rPr>
        <w:t>i ja nõukogu 28. jaanuari 2002. </w:t>
      </w:r>
      <w:r w:rsidRPr="001D7218">
        <w:rPr>
          <w:sz w:val="24"/>
          <w:lang w:val="et-EE"/>
        </w:rPr>
        <w:t xml:space="preserve">aasta määrus (EÜ) nr 178/2002, millega sätestatakse toidualaste õigusnormide üldised põhimõtted ja nõuded, asutatakse Euroopa Toiduohutusamet ja kehtestatakse toidu ohutusega seotud menetlused </w:t>
      </w:r>
      <w:r w:rsidR="00B50AE7">
        <w:rPr>
          <w:sz w:val="24"/>
          <w:lang w:val="et-EE"/>
        </w:rPr>
        <w:t>(</w:t>
      </w:r>
      <w:r w:rsidRPr="001D7218">
        <w:rPr>
          <w:sz w:val="24"/>
          <w:lang w:val="et-EE"/>
        </w:rPr>
        <w:t xml:space="preserve">EÜT L 31, 1.2.2002, lk 1, ELI: </w:t>
      </w:r>
      <w:hyperlink r:id="rId16" w:tooltip="Juurdepääs dokumendile ELI URI kaudu." w:history="1">
        <w:r w:rsidRPr="001D7218">
          <w:rPr>
            <w:rStyle w:val="Hyperlink"/>
            <w:sz w:val="24"/>
            <w:lang w:val="et-EE"/>
          </w:rPr>
          <w:t>http://data.europa.eu/eli/reg/2002/178/oj</w:t>
        </w:r>
      </w:hyperlink>
      <w:r w:rsidRPr="001D7218">
        <w:rPr>
          <w:sz w:val="24"/>
          <w:lang w:val="et-EE"/>
        </w:rPr>
        <w:t>).</w:t>
      </w:r>
    </w:p>
  </w:footnote>
  <w:footnote w:id="17">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ÜRO bioloogilise mitmekesisuse konventsiooni osaliste konverentsi 15. istungjärgul 2022. aasta detsembris lepiti kokku ülemaailmses elurikkuse raamistikus, mis sisaldab üleilmset eesmärki vähendada taimekaitsevahenditest tulenevaid ohte 2030. aastaks vähemalt 50 % (vt: </w:t>
      </w:r>
      <w:hyperlink r:id="rId17" w:history="1">
        <w:r w:rsidRPr="001D7218">
          <w:rPr>
            <w:rStyle w:val="Hyperlink"/>
            <w:sz w:val="24"/>
            <w:lang w:val="et-EE"/>
          </w:rPr>
          <w:t>https://ec.europa.eu/commission/presscorner/detail/et/ip_22_7834</w:t>
        </w:r>
      </w:hyperlink>
      <w:r w:rsidRPr="001D7218">
        <w:rPr>
          <w:sz w:val="24"/>
          <w:lang w:val="et-EE"/>
        </w:rPr>
        <w:t>).</w:t>
      </w:r>
    </w:p>
  </w:footnote>
  <w:footnote w:id="18">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 xml:space="preserve">Nagu on kirjeldatud komisjoni 14. oktoobri 2020. aasta teatise „Kestlikkust toetav kemikaalistrateegia. Mürgivaba keskkonna loomise suunas.“ lisas, COM(2020)0667, </w:t>
      </w:r>
      <w:hyperlink r:id="rId18" w:anchor="document2" w:history="1">
        <w:r w:rsidRPr="001D7218">
          <w:rPr>
            <w:rStyle w:val="Hyperlink"/>
            <w:sz w:val="24"/>
            <w:lang w:val="et-EE"/>
          </w:rPr>
          <w:t>https://eur-lex.europa.eu/legal-content/ET/TXT/?uri=COM%3A2020%3A667%3AFIN#document2</w:t>
        </w:r>
      </w:hyperlink>
      <w:r w:rsidRPr="001D7218">
        <w:rPr>
          <w:sz w:val="24"/>
          <w:lang w:val="et-EE"/>
        </w:rPr>
        <w:t>.</w:t>
      </w:r>
    </w:p>
  </w:footnote>
  <w:footnote w:id="19">
    <w:p w:rsidR="006B191F" w:rsidRPr="001D7218" w:rsidRDefault="006B191F" w:rsidP="001D7218">
      <w:pPr>
        <w:pStyle w:val="FootnoteText"/>
        <w:ind w:left="567" w:hanging="567"/>
        <w:rPr>
          <w:sz w:val="24"/>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hyperlink r:id="rId19" w:history="1">
        <w:r w:rsidRPr="001D7218">
          <w:rPr>
            <w:rStyle w:val="Hyperlink"/>
            <w:sz w:val="24"/>
            <w:lang w:val="et-EE"/>
          </w:rPr>
          <w:t>https://tillymetz.lu/wp-content/uploads/2020/09/Co-signed-letter-MEP-Metz.pdf</w:t>
        </w:r>
      </w:hyperlink>
      <w:r w:rsidRPr="001D7218">
        <w:rPr>
          <w:rStyle w:val="Hyperlink"/>
          <w:sz w:val="24"/>
          <w:lang w:val="et-EE"/>
        </w:rPr>
        <w:t>.</w:t>
      </w:r>
    </w:p>
  </w:footnote>
  <w:footnote w:id="20">
    <w:p w:rsidR="006B191F" w:rsidRPr="001D7218" w:rsidRDefault="006B191F" w:rsidP="001D7218">
      <w:pPr>
        <w:pStyle w:val="FootnoteText"/>
        <w:ind w:left="567" w:hanging="567"/>
        <w:rPr>
          <w:sz w:val="24"/>
          <w:szCs w:val="22"/>
          <w:lang w:val="et-EE"/>
        </w:rPr>
      </w:pPr>
      <w:r w:rsidRPr="001D7218">
        <w:rPr>
          <w:rStyle w:val="FootnoteReference"/>
          <w:sz w:val="24"/>
          <w:lang w:val="et-EE"/>
        </w:rPr>
        <w:footnoteRef/>
      </w:r>
      <w:r w:rsidR="001D7218" w:rsidRPr="001D7218">
        <w:rPr>
          <w:sz w:val="24"/>
          <w:lang w:val="et-EE"/>
        </w:rPr>
        <w:t xml:space="preserve"> </w:t>
      </w:r>
      <w:r w:rsidR="001D7218" w:rsidRPr="001D7218">
        <w:rPr>
          <w:sz w:val="24"/>
          <w:lang w:val="et-EE"/>
        </w:rPr>
        <w:tab/>
      </w:r>
      <w:r w:rsidRPr="001D7218">
        <w:rPr>
          <w:sz w:val="24"/>
          <w:lang w:val="et-EE"/>
        </w:rPr>
        <w:t>Euroopa Parlamendi 15. jaanuari 2020. aasta resolutsioon Euroopa rohelise kokkuleppe kohta (ELT C 270, 7.7.2021, lk 2), punkt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ET"/>
    <w:docVar w:name="dvnumam" w:val="0"/>
    <w:docVar w:name="dvpe" w:val="763.293"/>
    <w:docVar w:name="dvtitre" w:val="Euroopa Parlamendi .... 2024. aasta resolutsioon komisjoni rakendusotsuse eelnõu kohta, millega lubatakse viia turule geneetiliselt muundatud maisi DP23211 sisaldavaid, sellest koosnevaid või sellest toodetud tooteid vastavalt Euroopa Parlamendi ja nõukogu määrusele (EÜ) nr 1829/2003(D098501/04 – 2024/2837(RSP))"/>
  </w:docVars>
  <w:rsids>
    <w:rsidRoot w:val="008E03A8"/>
    <w:rsid w:val="00002272"/>
    <w:rsid w:val="00064002"/>
    <w:rsid w:val="000677B9"/>
    <w:rsid w:val="000831BA"/>
    <w:rsid w:val="000A42CC"/>
    <w:rsid w:val="000E7DD9"/>
    <w:rsid w:val="0010095E"/>
    <w:rsid w:val="00125B37"/>
    <w:rsid w:val="00187494"/>
    <w:rsid w:val="001D721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91F"/>
    <w:rsid w:val="006F74FA"/>
    <w:rsid w:val="00731ADD"/>
    <w:rsid w:val="00734777"/>
    <w:rsid w:val="00747932"/>
    <w:rsid w:val="00751A4A"/>
    <w:rsid w:val="00756632"/>
    <w:rsid w:val="00762C74"/>
    <w:rsid w:val="00786EC0"/>
    <w:rsid w:val="007A6E79"/>
    <w:rsid w:val="007D1690"/>
    <w:rsid w:val="007E22AD"/>
    <w:rsid w:val="00817416"/>
    <w:rsid w:val="00842779"/>
    <w:rsid w:val="008554AB"/>
    <w:rsid w:val="00865F67"/>
    <w:rsid w:val="00881A7B"/>
    <w:rsid w:val="008840E5"/>
    <w:rsid w:val="00887B3E"/>
    <w:rsid w:val="008C2AC6"/>
    <w:rsid w:val="008E03A8"/>
    <w:rsid w:val="00930C23"/>
    <w:rsid w:val="0093193B"/>
    <w:rsid w:val="009509D8"/>
    <w:rsid w:val="00950B64"/>
    <w:rsid w:val="00981893"/>
    <w:rsid w:val="009E1EFB"/>
    <w:rsid w:val="00A1687D"/>
    <w:rsid w:val="00A24B45"/>
    <w:rsid w:val="00A43E52"/>
    <w:rsid w:val="00A4678D"/>
    <w:rsid w:val="00A778C7"/>
    <w:rsid w:val="00AB441E"/>
    <w:rsid w:val="00AB6293"/>
    <w:rsid w:val="00AE0928"/>
    <w:rsid w:val="00AF3B82"/>
    <w:rsid w:val="00B12E95"/>
    <w:rsid w:val="00B22876"/>
    <w:rsid w:val="00B50AE7"/>
    <w:rsid w:val="00B558F0"/>
    <w:rsid w:val="00BA3FF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11596"/>
  <w15:chartTrackingRefBased/>
  <w15:docId w15:val="{E4A9D1D0-D7ED-464E-A681-2D9B405A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191F"/>
    <w:pPr>
      <w:spacing w:before="480" w:after="240"/>
    </w:pPr>
  </w:style>
  <w:style w:type="paragraph" w:customStyle="1" w:styleId="NormalHanging12a">
    <w:name w:val="NormalHanging12a"/>
    <w:basedOn w:val="Normal"/>
    <w:rsid w:val="006B191F"/>
    <w:pPr>
      <w:spacing w:after="240"/>
      <w:ind w:left="567" w:hanging="567"/>
    </w:pPr>
  </w:style>
  <w:style w:type="character" w:styleId="Hyperlink">
    <w:name w:val="Hyperlink"/>
    <w:basedOn w:val="DefaultParagraphFont"/>
    <w:uiPriority w:val="99"/>
    <w:rsid w:val="006B191F"/>
    <w:rPr>
      <w:color w:val="0563C1" w:themeColor="hyperlink"/>
      <w:u w:val="single"/>
    </w:rPr>
  </w:style>
  <w:style w:type="paragraph" w:styleId="BalloonText">
    <w:name w:val="Balloon Text"/>
    <w:basedOn w:val="Normal"/>
    <w:link w:val="BalloonTextChar"/>
    <w:rsid w:val="00B50AE7"/>
    <w:rPr>
      <w:rFonts w:ascii="Segoe UI" w:hAnsi="Segoe UI" w:cs="Segoe UI"/>
      <w:sz w:val="18"/>
      <w:szCs w:val="18"/>
    </w:rPr>
  </w:style>
  <w:style w:type="character" w:customStyle="1" w:styleId="BalloonTextChar">
    <w:name w:val="Balloon Text Char"/>
    <w:basedOn w:val="DefaultParagraphFont"/>
    <w:link w:val="BalloonText"/>
    <w:rsid w:val="00B50AE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ET/TXT/?uri=COM:2020:667: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et/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et/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94664-2C60-455E-937F-4BBA94657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10683</Characters>
  <Application>Microsoft Office Word</Application>
  <DocSecurity>0</DocSecurity>
  <Lines>213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2024-12-17T10:39:00Z</dcterms:created>
  <dcterms:modified xsi:type="dcterms:W3CDTF">2024-12-17T10:39:00Z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B10-0152/2024</vt:lpwstr>
  </property>
  <property fmtid="{D5CDD505-2E9C-101B-9397-08002B2CF9AE}" pid="4" name="&lt;Type&gt;">
    <vt:lpwstr>RR</vt:lpwstr>
  </property>
</Properties>
</file>