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12D2" w:rsidTr="0010095E">
        <w:trPr>
          <w:trHeight w:hRule="exact" w:val="1418"/>
        </w:trPr>
        <w:tc>
          <w:tcPr>
            <w:tcW w:w="6804" w:type="dxa"/>
            <w:shd w:val="clear" w:color="auto" w:fill="auto"/>
            <w:vAlign w:val="center"/>
          </w:tcPr>
          <w:p w:rsidR="00751A4A" w:rsidRPr="008B12D2" w:rsidRDefault="00833934" w:rsidP="0010095E">
            <w:pPr>
              <w:pStyle w:val="EPName"/>
            </w:pPr>
            <w:r w:rsidRPr="008B12D2">
              <w:t>Euroopan parlamentti</w:t>
            </w:r>
          </w:p>
          <w:p w:rsidR="00751A4A" w:rsidRPr="008B12D2" w:rsidRDefault="005F1B17" w:rsidP="005F1B17">
            <w:pPr>
              <w:pStyle w:val="EPTerm"/>
              <w:rPr>
                <w:rStyle w:val="HideTWBExt"/>
                <w:noProof w:val="0"/>
                <w:vanish w:val="0"/>
                <w:color w:val="auto"/>
              </w:rPr>
            </w:pPr>
            <w:r w:rsidRPr="008B12D2">
              <w:t>2024</w:t>
            </w:r>
            <w:r w:rsidR="00817416" w:rsidRPr="008B12D2">
              <w:t>-202</w:t>
            </w:r>
            <w:r w:rsidRPr="008B12D2">
              <w:t>9</w:t>
            </w:r>
          </w:p>
        </w:tc>
        <w:tc>
          <w:tcPr>
            <w:tcW w:w="2268" w:type="dxa"/>
            <w:shd w:val="clear" w:color="auto" w:fill="auto"/>
          </w:tcPr>
          <w:p w:rsidR="00751A4A" w:rsidRPr="008B12D2" w:rsidRDefault="00187494" w:rsidP="0010095E">
            <w:pPr>
              <w:pStyle w:val="EPLogo"/>
            </w:pPr>
            <w:r w:rsidRPr="008B12D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12D2" w:rsidRDefault="00D058B8" w:rsidP="004C5D52">
      <w:pPr>
        <w:pStyle w:val="LineTop"/>
      </w:pPr>
    </w:p>
    <w:p w:rsidR="00680577" w:rsidRPr="008B12D2" w:rsidRDefault="00833934" w:rsidP="00680577">
      <w:pPr>
        <w:pStyle w:val="EPBodyTA1"/>
      </w:pPr>
      <w:r w:rsidRPr="008B12D2">
        <w:t>HYVÄKSYTYT TEKSTIT</w:t>
      </w:r>
    </w:p>
    <w:p w:rsidR="00D058B8" w:rsidRPr="008B12D2" w:rsidRDefault="00D058B8" w:rsidP="00D058B8">
      <w:pPr>
        <w:pStyle w:val="LineBottom"/>
      </w:pPr>
    </w:p>
    <w:p w:rsidR="00833934" w:rsidRPr="008B12D2" w:rsidRDefault="00833934" w:rsidP="00833934">
      <w:pPr>
        <w:pStyle w:val="ATHeading1"/>
      </w:pPr>
      <w:bookmarkStart w:id="0" w:name="TANumber"/>
      <w:r w:rsidRPr="008B12D2">
        <w:t>P10_</w:t>
      </w:r>
      <w:proofErr w:type="gramStart"/>
      <w:r w:rsidRPr="008B12D2">
        <w:t>TA(</w:t>
      </w:r>
      <w:proofErr w:type="gramEnd"/>
      <w:r w:rsidRPr="008B12D2">
        <w:t>2024)00</w:t>
      </w:r>
      <w:r w:rsidR="00585E1B" w:rsidRPr="008B12D2">
        <w:t>44</w:t>
      </w:r>
      <w:bookmarkEnd w:id="0"/>
    </w:p>
    <w:p w:rsidR="00833934" w:rsidRPr="008B12D2" w:rsidRDefault="00833934" w:rsidP="00833934">
      <w:pPr>
        <w:pStyle w:val="ATHeading2"/>
      </w:pPr>
      <w:bookmarkStart w:id="1" w:name="title"/>
      <w:r w:rsidRPr="008B12D2">
        <w:t>Muuntogeeninen maissi DP202216</w:t>
      </w:r>
      <w:bookmarkEnd w:id="1"/>
    </w:p>
    <w:p w:rsidR="00833934" w:rsidRPr="008B12D2" w:rsidRDefault="00833934" w:rsidP="00833934">
      <w:pPr>
        <w:rPr>
          <w:i/>
          <w:vanish/>
        </w:rPr>
      </w:pPr>
      <w:r w:rsidRPr="008B12D2">
        <w:rPr>
          <w:i/>
        </w:rPr>
        <w:fldChar w:fldCharType="begin"/>
      </w:r>
      <w:r w:rsidRPr="008B12D2">
        <w:rPr>
          <w:i/>
        </w:rPr>
        <w:instrText xml:space="preserve"> TC"(</w:instrText>
      </w:r>
      <w:bookmarkStart w:id="2" w:name="DocNumber"/>
      <w:r w:rsidRPr="008B12D2">
        <w:rPr>
          <w:i/>
        </w:rPr>
        <w:instrText>B10-0152/2024</w:instrText>
      </w:r>
      <w:bookmarkEnd w:id="2"/>
      <w:r w:rsidRPr="008B12D2">
        <w:rPr>
          <w:i/>
        </w:rPr>
        <w:instrText xml:space="preserve">)"\l3 \n&gt; \* MERGEFORMAT </w:instrText>
      </w:r>
      <w:r w:rsidRPr="008B12D2">
        <w:rPr>
          <w:i/>
        </w:rPr>
        <w:fldChar w:fldCharType="end"/>
      </w:r>
    </w:p>
    <w:p w:rsidR="00833934" w:rsidRPr="008B12D2" w:rsidRDefault="00833934" w:rsidP="00833934">
      <w:pPr>
        <w:rPr>
          <w:vanish/>
        </w:rPr>
      </w:pPr>
      <w:bookmarkStart w:id="3" w:name="PE"/>
      <w:r w:rsidRPr="008B12D2">
        <w:rPr>
          <w:vanish/>
        </w:rPr>
        <w:t>PE763.293</w:t>
      </w:r>
      <w:bookmarkEnd w:id="3"/>
    </w:p>
    <w:p w:rsidR="00833934" w:rsidRPr="008B12D2" w:rsidRDefault="00833934" w:rsidP="00833934">
      <w:pPr>
        <w:pStyle w:val="ATHeading3"/>
      </w:pPr>
      <w:bookmarkStart w:id="4" w:name="Sujet"/>
      <w:r w:rsidRPr="008B12D2">
        <w:t xml:space="preserve">Euroopan parlamentin päätöslauselma </w:t>
      </w:r>
      <w:r w:rsidR="00377CC9" w:rsidRPr="008B12D2">
        <w:t>26</w:t>
      </w:r>
      <w:r w:rsidRPr="008B12D2">
        <w:t>. marraskuuta 2024 komission täytäntöönpanopäätökse</w:t>
      </w:r>
      <w:r w:rsidR="00377CC9" w:rsidRPr="008B12D2">
        <w:t>stä</w:t>
      </w:r>
      <w:r w:rsidRPr="008B12D2">
        <w:t xml:space="preserve"> </w:t>
      </w:r>
      <w:r w:rsidR="00377CC9" w:rsidRPr="008B12D2">
        <w:t xml:space="preserve">(EU) 2024/2618 </w:t>
      </w:r>
      <w:r w:rsidRPr="008B12D2">
        <w:t xml:space="preserve">luvan antamisesta muuntogeenistä maissia DP202216 sisältävien, siitä koostuvien tai siitä valmistettujen tuotteiden saattamiseksi markkinoille Euroopan parlamentin ja neuvoston asetuksen (EY) </w:t>
      </w:r>
      <w:proofErr w:type="gramStart"/>
      <w:r w:rsidRPr="008B12D2">
        <w:t>N:o</w:t>
      </w:r>
      <w:proofErr w:type="gramEnd"/>
      <w:r w:rsidRPr="008B12D2">
        <w:t xml:space="preserve"> 1829/2003 mukaisesti</w:t>
      </w:r>
      <w:bookmarkEnd w:id="4"/>
      <w:r w:rsidRPr="008B12D2">
        <w:t xml:space="preserve"> </w:t>
      </w:r>
      <w:bookmarkStart w:id="5" w:name="References"/>
      <w:r w:rsidRPr="008B12D2">
        <w:t>(2024/2837(RSP))</w:t>
      </w:r>
      <w:bookmarkEnd w:id="5"/>
    </w:p>
    <w:p w:rsidR="00796558" w:rsidRPr="008B12D2" w:rsidRDefault="00796558" w:rsidP="00377CC9">
      <w:pPr>
        <w:pStyle w:val="EPComma"/>
        <w:widowControl/>
      </w:pPr>
      <w:bookmarkStart w:id="6" w:name="TextBodyBegin"/>
      <w:bookmarkEnd w:id="6"/>
      <w:r w:rsidRPr="008B12D2">
        <w:rPr>
          <w:i/>
          <w:iCs/>
        </w:rPr>
        <w:t>Euroopan parlamentti</w:t>
      </w:r>
      <w:r w:rsidRPr="008B12D2">
        <w:t>, joka</w:t>
      </w:r>
    </w:p>
    <w:p w:rsidR="00796558" w:rsidRPr="008B12D2" w:rsidRDefault="00796558" w:rsidP="00377CC9">
      <w:pPr>
        <w:pStyle w:val="NormalHanging12a"/>
        <w:widowControl/>
      </w:pPr>
      <w:r w:rsidRPr="008B12D2">
        <w:t>–</w:t>
      </w:r>
      <w:r w:rsidRPr="008B12D2">
        <w:tab/>
        <w:t>ottaa huomioon komission täytäntöönpanopäätökse</w:t>
      </w:r>
      <w:r w:rsidR="00377CC9" w:rsidRPr="008B12D2">
        <w:t>n</w:t>
      </w:r>
      <w:r w:rsidRPr="008B12D2">
        <w:t xml:space="preserve"> </w:t>
      </w:r>
      <w:r w:rsidR="00585E1B" w:rsidRPr="008B12D2">
        <w:t>(</w:t>
      </w:r>
      <w:r w:rsidR="00377CC9" w:rsidRPr="008B12D2">
        <w:t xml:space="preserve">EU) 2024/2618 </w:t>
      </w:r>
      <w:r w:rsidRPr="008B12D2">
        <w:t>luvan antamisesta muuntogeenistä maissia DP202216 sisältävien, siitä koostuvien tai siitä valmistettujen tuotteiden saattamiseksi markkinoille Euroopan parlamentin ja neuvoston asetuksen (EY) N:o 1829/2003 mukaisesti</w:t>
      </w:r>
      <w:r w:rsidR="00377CC9" w:rsidRPr="008B12D2">
        <w:rPr>
          <w:rStyle w:val="FootnoteReference"/>
        </w:rPr>
        <w:footnoteReference w:id="1"/>
      </w:r>
      <w:r w:rsidRPr="008B12D2">
        <w:t>,</w:t>
      </w:r>
    </w:p>
    <w:p w:rsidR="00796558" w:rsidRPr="008B12D2" w:rsidRDefault="00796558" w:rsidP="00377CC9">
      <w:pPr>
        <w:pStyle w:val="NormalHanging12a"/>
        <w:widowControl/>
      </w:pPr>
      <w:r w:rsidRPr="008B12D2">
        <w:t>–</w:t>
      </w:r>
      <w:r w:rsidRPr="008B12D2">
        <w:tab/>
        <w:t>ottaa huomioon muuntogeenisistä elinta</w:t>
      </w:r>
      <w:bookmarkStart w:id="7" w:name="_GoBack"/>
      <w:bookmarkEnd w:id="7"/>
      <w:r w:rsidRPr="008B12D2">
        <w:t>rvikkeista ja rehuista 22. syyskuuta 2003 annetun Euroopan parlamentin ja neuvoston asetuksen (EY) N:o 1829/2003</w:t>
      </w:r>
      <w:r w:rsidRPr="008B12D2">
        <w:rPr>
          <w:rStyle w:val="FootnoteReference"/>
        </w:rPr>
        <w:footnoteReference w:id="2"/>
      </w:r>
      <w:r w:rsidRPr="008B12D2">
        <w:t xml:space="preserve"> ja erityisesti sen 7 artiklan 3 kohdan ja 19 artiklan 3 kohdan,</w:t>
      </w:r>
    </w:p>
    <w:p w:rsidR="00796558" w:rsidRPr="008B12D2" w:rsidRDefault="00796558" w:rsidP="00377CC9">
      <w:pPr>
        <w:pStyle w:val="NormalHanging12a"/>
        <w:widowControl/>
      </w:pPr>
      <w:r w:rsidRPr="008B12D2">
        <w:t>–</w:t>
      </w:r>
      <w:r w:rsidRPr="008B12D2">
        <w:tab/>
        <w:t>ottaa huomioon asetuksen (EY) </w:t>
      </w:r>
      <w:proofErr w:type="gramStart"/>
      <w:r w:rsidRPr="008B12D2">
        <w:t>N:o</w:t>
      </w:r>
      <w:proofErr w:type="gramEnd"/>
      <w:r w:rsidRPr="008B12D2">
        <w:t> 1829/2003 35 artiklassa tarkoitetussa pysyvässä kasvi-, eläin-, elintarvike- ja rehukomiteassa 8. heinäkuuta 2024 toimitetun äänestyksen, jossa päätettiin olla antamatta lausuntoa, ja muutoksenhakukomiteassa 3. syyskuuta 2024 toimitetun äänestyksen, jossa päätettiin niin ikään olla antamatta lausuntoa,</w:t>
      </w:r>
    </w:p>
    <w:p w:rsidR="00796558" w:rsidRPr="008B12D2" w:rsidRDefault="00796558" w:rsidP="00377CC9">
      <w:pPr>
        <w:pStyle w:val="NormalHanging12a"/>
        <w:widowControl/>
      </w:pPr>
      <w:r w:rsidRPr="008B12D2">
        <w:t>–</w:t>
      </w:r>
      <w:r w:rsidRPr="008B12D2">
        <w:tab/>
        <w:t>ottaa huomioon yleisistä säännöistä ja periaatteista, joiden mukaisesti jäsenvaltiot valvovat komission täytäntöönpanovallan käyttöä, 16. helmikuuta 2011 annetun Euroopan parlamentin ja neuvoston asetuksen (EU) N:o 182/2011</w:t>
      </w:r>
      <w:r w:rsidRPr="008B12D2">
        <w:rPr>
          <w:rStyle w:val="FootnoteReference"/>
        </w:rPr>
        <w:footnoteReference w:id="3"/>
      </w:r>
      <w:r w:rsidRPr="008B12D2">
        <w:t xml:space="preserve"> 11 artiklan,</w:t>
      </w:r>
    </w:p>
    <w:p w:rsidR="00796558" w:rsidRPr="008B12D2" w:rsidRDefault="00796558" w:rsidP="00377CC9">
      <w:pPr>
        <w:pStyle w:val="NormalHanging12a"/>
        <w:widowControl/>
      </w:pPr>
      <w:r w:rsidRPr="008B12D2">
        <w:t>–</w:t>
      </w:r>
      <w:r w:rsidRPr="008B12D2">
        <w:tab/>
        <w:t>ottaa huomioon Euroopan elintarviketurvallisuusviranomaisen (EFSA) 7. helmikuuta 2024 hyväksymän ja 20. maaliskuuta 2024 julkaistun lausunnon</w:t>
      </w:r>
      <w:r w:rsidRPr="008B12D2">
        <w:rPr>
          <w:rStyle w:val="FootnoteReference"/>
        </w:rPr>
        <w:footnoteReference w:id="4"/>
      </w:r>
      <w:r w:rsidRPr="008B12D2">
        <w:t>,</w:t>
      </w:r>
    </w:p>
    <w:p w:rsidR="00796558" w:rsidRPr="008B12D2" w:rsidRDefault="00796558" w:rsidP="00377CC9">
      <w:pPr>
        <w:pStyle w:val="NormalHanging12a"/>
        <w:widowControl/>
        <w:rPr>
          <w:szCs w:val="24"/>
          <w:shd w:val="clear" w:color="auto" w:fill="FFFFFF"/>
        </w:rPr>
      </w:pPr>
      <w:r w:rsidRPr="008B12D2">
        <w:lastRenderedPageBreak/>
        <w:t>–</w:t>
      </w:r>
      <w:r w:rsidRPr="008B12D2">
        <w:rPr>
          <w:shd w:val="clear" w:color="auto" w:fill="FFFFFF"/>
        </w:rPr>
        <w:tab/>
        <w:t>ottaa huomioon aiemmat päätöslauselmansa, joissa vastustetaan lupien myöntämistä muuntogeenisille organismeille</w:t>
      </w:r>
      <w:r w:rsidRPr="008B12D2">
        <w:rPr>
          <w:szCs w:val="24"/>
          <w:shd w:val="clear" w:color="auto" w:fill="FFFFFF"/>
          <w:vertAlign w:val="superscript"/>
        </w:rPr>
        <w:footnoteReference w:id="5"/>
      </w:r>
      <w:r w:rsidRPr="008B12D2">
        <w:rPr>
          <w:shd w:val="clear" w:color="auto" w:fill="FFFFFF"/>
        </w:rPr>
        <w:t>,</w:t>
      </w:r>
    </w:p>
    <w:p w:rsidR="00796558" w:rsidRPr="008B12D2" w:rsidRDefault="00796558" w:rsidP="00377CC9">
      <w:pPr>
        <w:pStyle w:val="NormalHanging12a"/>
        <w:widowControl/>
      </w:pPr>
      <w:r w:rsidRPr="008B12D2">
        <w:t>–</w:t>
      </w:r>
      <w:r w:rsidRPr="008B12D2">
        <w:tab/>
        <w:t>ottaa huomioon työjärjestyksen 115 artiklan 2 ja 3 kohdan,</w:t>
      </w:r>
    </w:p>
    <w:p w:rsidR="00796558" w:rsidRPr="008B12D2" w:rsidRDefault="00796558" w:rsidP="00377CC9">
      <w:pPr>
        <w:pStyle w:val="NormalHanging12a"/>
        <w:widowControl/>
      </w:pPr>
      <w:r w:rsidRPr="008B12D2">
        <w:t>–</w:t>
      </w:r>
      <w:r w:rsidRPr="008B12D2">
        <w:tab/>
        <w:t>ottaa huomioon ympäristön, kansanterveyden ja elintarvikkeiden turvallisuuden valiokunnan päätöslauselmaesityksen,</w:t>
      </w:r>
    </w:p>
    <w:p w:rsidR="00796558" w:rsidRPr="008B12D2" w:rsidRDefault="00796558" w:rsidP="00377CC9">
      <w:pPr>
        <w:pStyle w:val="NormalHanging12a"/>
        <w:widowControl/>
      </w:pPr>
      <w:r w:rsidRPr="008B12D2">
        <w:t>A.</w:t>
      </w:r>
      <w:r w:rsidRPr="008B12D2">
        <w:tab/>
        <w:t xml:space="preserve">ottaa huomioon, että Belgiaan sijoittautunut </w:t>
      </w:r>
      <w:proofErr w:type="spellStart"/>
      <w:r w:rsidRPr="008B12D2">
        <w:t>Pioneer</w:t>
      </w:r>
      <w:proofErr w:type="spellEnd"/>
      <w:r w:rsidRPr="008B12D2">
        <w:t xml:space="preserve"> </w:t>
      </w:r>
      <w:proofErr w:type="spellStart"/>
      <w:r w:rsidRPr="008B12D2">
        <w:t>Overseas</w:t>
      </w:r>
      <w:proofErr w:type="spellEnd"/>
      <w:r w:rsidRPr="008B12D2">
        <w:t xml:space="preserve"> Corporation toimitti 1. heinäkuuta 2019 Yhdysvaltoihin sijoittautuneen yrityksen </w:t>
      </w:r>
      <w:proofErr w:type="spellStart"/>
      <w:r w:rsidRPr="008B12D2">
        <w:t>Pioneer</w:t>
      </w:r>
      <w:proofErr w:type="spellEnd"/>
      <w:r w:rsidRPr="008B12D2">
        <w:t xml:space="preserve"> Hi-</w:t>
      </w:r>
      <w:proofErr w:type="spellStart"/>
      <w:r w:rsidRPr="008B12D2">
        <w:t>Bred</w:t>
      </w:r>
      <w:proofErr w:type="spellEnd"/>
      <w:r w:rsidRPr="008B12D2">
        <w:t xml:space="preserve"> International, Inc. puolesta Alankomaiden kansalliselle toimivaltaiselle viranomaiselle asetuksen (EY) N:o 1829/2003 5 ja 17 artiklan mukaisesti hakemuksen muuntogeenistä maissia DP202216, jäljempänä ’muuntogeeninen maissi’, sisältävien, siitä koostuvien tai siitä valmistettujen elintarvikkeiden, elintarvikkeiden ainesosien ja rehun saattamiseksi markkinoille; ottaa huomioon, että hakemus kattoi myös muuntogeenistä maissia sisältävien tai siitä koostuvien tuotteiden saattamisen markkinoille muuhun kuin elintarvike- ja rehukäyttöön, viljelyä lukuun ottamatta;  </w:t>
      </w:r>
    </w:p>
    <w:p w:rsidR="00796558" w:rsidRPr="008B12D2" w:rsidRDefault="00796558" w:rsidP="00377CC9">
      <w:pPr>
        <w:pStyle w:val="NormalHanging12a"/>
        <w:widowControl/>
      </w:pPr>
      <w:r w:rsidRPr="008B12D2">
        <w:t>B.</w:t>
      </w:r>
      <w:r w:rsidRPr="008B12D2">
        <w:tab/>
        <w:t>ottaa huomioon, että EFSA antoi 7. helmikuuta 2024 myönteisen lausunnon, joka julkaistiin 20. maaliskuuta 2024;</w:t>
      </w:r>
    </w:p>
    <w:p w:rsidR="00796558" w:rsidRPr="008B12D2" w:rsidRDefault="00796558" w:rsidP="00377CC9">
      <w:pPr>
        <w:pStyle w:val="NormalHanging12a"/>
        <w:widowControl/>
      </w:pPr>
      <w:r w:rsidRPr="008B12D2">
        <w:t>C.</w:t>
      </w:r>
      <w:r w:rsidRPr="008B12D2">
        <w:tab/>
        <w:t xml:space="preserve">ottaa huomioon, että muuntogeeninen maissi sisältää geenejä, jotka aiheuttavat resistenssin </w:t>
      </w:r>
      <w:proofErr w:type="spellStart"/>
      <w:r w:rsidRPr="008B12D2">
        <w:t>glufosinaatille</w:t>
      </w:r>
      <w:proofErr w:type="spellEnd"/>
      <w:r w:rsidRPr="008B12D2">
        <w:t>, ja sen satotason oletetaan olevan korkeampi;</w:t>
      </w:r>
      <w:r w:rsidRPr="008B12D2">
        <w:rPr>
          <w:rFonts w:ascii="Segoe UI" w:hAnsi="Segoe UI"/>
          <w:color w:val="000000"/>
          <w:sz w:val="22"/>
          <w:shd w:val="clear" w:color="auto" w:fill="FFFFFF"/>
        </w:rPr>
        <w:t xml:space="preserve"> </w:t>
      </w:r>
    </w:p>
    <w:p w:rsidR="00796558" w:rsidRPr="008B12D2" w:rsidRDefault="00796558" w:rsidP="002403F9">
      <w:pPr>
        <w:pStyle w:val="NormalHanging12a"/>
        <w:keepNext/>
        <w:widowControl/>
        <w:ind w:left="0" w:firstLine="0"/>
        <w:rPr>
          <w:b/>
          <w:i/>
        </w:rPr>
      </w:pPr>
      <w:r w:rsidRPr="008B12D2">
        <w:rPr>
          <w:b/>
          <w:i/>
        </w:rPr>
        <w:t>Täydentävän rikkakasvien torjunta-aineen puutteellinen arviointi</w:t>
      </w:r>
    </w:p>
    <w:p w:rsidR="00796558" w:rsidRPr="008B12D2" w:rsidRDefault="00796558" w:rsidP="00377CC9">
      <w:pPr>
        <w:pStyle w:val="NormalHanging12a"/>
        <w:widowControl/>
      </w:pPr>
      <w:r w:rsidRPr="008B12D2">
        <w:t>D.</w:t>
      </w:r>
      <w:r w:rsidRPr="008B12D2">
        <w:tab/>
        <w:t>ottaa huomioon, että komission täytäntöönpanoasetuksessa (EU) N:o 503/2013</w:t>
      </w:r>
      <w:r w:rsidRPr="008B12D2">
        <w:rPr>
          <w:rStyle w:val="FootnoteReference"/>
        </w:rPr>
        <w:footnoteReference w:id="6"/>
      </w:r>
      <w:r w:rsidRPr="008B12D2">
        <w:t xml:space="preserve"> edellytetään sen arvioimista, vaikuttavatko odotetut maatalouskäytännöt tutkittavien ominaisuuksien ilmentymiseen; ottaa huomioon, että kyseisen täytäntöönpanoasetuksen mukaan tämä on erityisen tärkeää torjunta-aineita sietävien kasvien tapauksessa;</w:t>
      </w:r>
    </w:p>
    <w:p w:rsidR="00796558" w:rsidRPr="008B12D2" w:rsidRDefault="00796558" w:rsidP="00377CC9">
      <w:pPr>
        <w:pStyle w:val="NormalHanging12a"/>
        <w:widowControl/>
      </w:pPr>
      <w:r w:rsidRPr="008B12D2">
        <w:t>E.</w:t>
      </w:r>
      <w:r w:rsidRPr="008B12D2">
        <w:tab/>
        <w:t xml:space="preserve">ottaa huomioon, että suurinta osaa muuntogeenisistä viljelykasveista on muunnettu geneettisesti siten, että ne sietävät yhtä tai useampaa ”täydentävää” rikkakasvien torjunta-ainetta, jota voidaan käyttää koko muuntogeenisen viljelykasvin viljelyn ajan ilman, että viljelykasvi kuolee, kun taas näin kävisi siinä tapauksessa, että viljelykasvi ei siedä torjunta-aineita; toteaa, että rikkakasvien torjunta-aineita sietävien muuntogeenisten viljelykasvien on erinäisissä tutkimuksissa osoitettu lisäävän </w:t>
      </w:r>
      <w:r w:rsidRPr="008B12D2">
        <w:lastRenderedPageBreak/>
        <w:t>täydentävien rikkakasvien torjunta-aineiden käyttöä, mikä johtuu etenkin torjunta</w:t>
      </w:r>
      <w:r w:rsidRPr="008B12D2">
        <w:noBreakHyphen/>
        <w:t>aineita sietävien rikkakasvien ilmaantumisesta</w:t>
      </w:r>
      <w:r w:rsidRPr="008B12D2">
        <w:rPr>
          <w:rStyle w:val="FootnoteReference"/>
        </w:rPr>
        <w:footnoteReference w:id="7"/>
      </w:r>
      <w:r w:rsidRPr="008B12D2">
        <w:t>;</w:t>
      </w:r>
    </w:p>
    <w:p w:rsidR="00796558" w:rsidRPr="008B12D2" w:rsidRDefault="00796558" w:rsidP="00377CC9">
      <w:pPr>
        <w:pStyle w:val="NormalHanging12a"/>
        <w:widowControl/>
      </w:pPr>
      <w:r w:rsidRPr="008B12D2">
        <w:t>F.</w:t>
      </w:r>
      <w:r w:rsidRPr="008B12D2">
        <w:tab/>
        <w:t>toteaa, että rikkakasvien torjunta-aineita sietävien muuntogeenisten viljelykasvien käyttö sitoo viljelijät rikkakasvien hallintajärjestelmään, joka on suurelta osin tai kokonaan torjunta-aineiden varassa, sillä kalliimpien muuntogeenisten siementen käyttöä voidaan pitää perusteltuna vain, jos niitä ostavat viljelijät myös ruiskuttavat täydentäviä rikkakasvien torjunta-aineita; ottaa huomioon, että lisääntynyt riippuvuus täydentävistä rikkakasvien torjunta-aineista muuntogeenisiä viljelykasveja viljelevillä tiloilla nopeuttaa näille torjunta-aineille sietokykyisten rikkakasvien ilmaantumista ja leviämistä, mikä johtaa noidankehään, jossa rikkakasvien torjunta-aineita on käytettävä jatkuvasti enemmän;</w:t>
      </w:r>
    </w:p>
    <w:p w:rsidR="00796558" w:rsidRPr="008B12D2" w:rsidRDefault="00796558" w:rsidP="00377CC9">
      <w:pPr>
        <w:pStyle w:val="NormalHanging12a"/>
        <w:widowControl/>
      </w:pPr>
      <w:r w:rsidRPr="008B12D2">
        <w:t>G.</w:t>
      </w:r>
      <w:r w:rsidRPr="008B12D2">
        <w:tab/>
        <w:t>toteaa, että rikkakasvien torjunta-aineiden liiallisesta käytöstä aiheutuvat haitalliset vaikutukset heikentävät maaperän terveyttä ja veden laatua, köyhdyttävät maanpäällistä ja -alaista biologista monimuotoisuutta ja lisäävät ihmisten ja eläinten altistumista, mahdollisesti myös sen kautta, että rikkakasvien torjunta-aineiden jäämät elintarvikkeissa ja rehuissa lisääntyvät;</w:t>
      </w:r>
    </w:p>
    <w:p w:rsidR="00796558" w:rsidRPr="008B12D2" w:rsidRDefault="00796558" w:rsidP="00377CC9">
      <w:pPr>
        <w:pStyle w:val="NormalHanging12a"/>
        <w:widowControl/>
      </w:pPr>
      <w:r w:rsidRPr="008B12D2">
        <w:t>H.</w:t>
      </w:r>
      <w:r w:rsidRPr="008B12D2">
        <w:tab/>
        <w:t xml:space="preserve">ottaa huomioon, että </w:t>
      </w:r>
      <w:proofErr w:type="spellStart"/>
      <w:r w:rsidRPr="008B12D2">
        <w:t>glufosinaatti</w:t>
      </w:r>
      <w:proofErr w:type="spellEnd"/>
      <w:r w:rsidRPr="008B12D2">
        <w:t xml:space="preserve"> on luokiteltu lisääntymiselle vaarallisten aineiden kategoriaan 1B ja näin ollen se täyttää Euroopan parlamentin ja neuvoston asetuksessa (EY) N:o 1107/2009</w:t>
      </w:r>
      <w:r w:rsidRPr="008B12D2">
        <w:rPr>
          <w:rStyle w:val="FootnoteReference"/>
        </w:rPr>
        <w:footnoteReference w:id="8"/>
      </w:r>
      <w:r w:rsidRPr="008B12D2">
        <w:t xml:space="preserve"> säädetyt poissulkemiskriteerit; ottaa huomioon, että </w:t>
      </w:r>
      <w:proofErr w:type="spellStart"/>
      <w:r w:rsidRPr="008B12D2">
        <w:t>glufosinaatin</w:t>
      </w:r>
      <w:proofErr w:type="spellEnd"/>
      <w:r w:rsidRPr="008B12D2">
        <w:t xml:space="preserve"> käyttöä unionissa koskevan hyväksynnän voimassaolo päättyi 31. heinäkuuta 2018;</w:t>
      </w:r>
    </w:p>
    <w:p w:rsidR="00796558" w:rsidRPr="008B12D2" w:rsidRDefault="00796558" w:rsidP="00377CC9">
      <w:pPr>
        <w:pStyle w:val="NormalHanging12a"/>
        <w:widowControl/>
      </w:pPr>
      <w:r w:rsidRPr="008B12D2">
        <w:t>I.</w:t>
      </w:r>
      <w:r w:rsidRPr="008B12D2">
        <w:tab/>
        <w:t xml:space="preserve">toteaa, että muuntogeenisistä kasveista löytyvien rikkakasvien torjunta-ainejäämien ja </w:t>
      </w:r>
      <w:proofErr w:type="spellStart"/>
      <w:r w:rsidRPr="008B12D2">
        <w:t>metaboliittien</w:t>
      </w:r>
      <w:proofErr w:type="spellEnd"/>
      <w:r w:rsidRPr="008B12D2">
        <w:t xml:space="preserve"> arvioinnin ei katsota kuuluvan muuntogeenisiä organismeja käsittelevän </w:t>
      </w:r>
      <w:proofErr w:type="spellStart"/>
      <w:r w:rsidRPr="008B12D2">
        <w:t>EFSAn</w:t>
      </w:r>
      <w:proofErr w:type="spellEnd"/>
      <w:r w:rsidRPr="008B12D2">
        <w:t xml:space="preserve"> tiedelautakunnan toimivaltaan eikä sitä sen vuoksi tehdä osana muuntogeenisten organismien lupamenettelyä;</w:t>
      </w:r>
    </w:p>
    <w:p w:rsidR="00796558" w:rsidRPr="008B12D2" w:rsidRDefault="00796558" w:rsidP="00377CC9">
      <w:pPr>
        <w:pStyle w:val="NormalHanging12a"/>
        <w:keepNext/>
        <w:widowControl/>
        <w:ind w:left="0" w:firstLine="0"/>
        <w:rPr>
          <w:b/>
          <w:i/>
        </w:rPr>
      </w:pPr>
      <w:r w:rsidRPr="008B12D2">
        <w:rPr>
          <w:b/>
          <w:i/>
        </w:rPr>
        <w:t>Jäsenvaltioiden toimivaltaisten viranomaisten ja sidosryhmien huomautukset</w:t>
      </w:r>
    </w:p>
    <w:p w:rsidR="00796558" w:rsidRPr="008B12D2" w:rsidRDefault="00796558" w:rsidP="00377CC9">
      <w:pPr>
        <w:pStyle w:val="NormalHanging12a"/>
        <w:widowControl/>
      </w:pPr>
      <w:r w:rsidRPr="008B12D2">
        <w:t>J.</w:t>
      </w:r>
      <w:r w:rsidRPr="008B12D2">
        <w:tab/>
        <w:t xml:space="preserve">ottaa huomioon, että jäsenvaltiot toimittivat </w:t>
      </w:r>
      <w:proofErr w:type="spellStart"/>
      <w:r w:rsidRPr="008B12D2">
        <w:t>EFSAlle</w:t>
      </w:r>
      <w:proofErr w:type="spellEnd"/>
      <w:r w:rsidRPr="008B12D2">
        <w:t xml:space="preserve"> kolmen kuukauden kuulemisjakson aikana monia kriittisiä huomautuksia</w:t>
      </w:r>
      <w:r w:rsidRPr="008B12D2">
        <w:rPr>
          <w:rStyle w:val="FootnoteReference"/>
        </w:rPr>
        <w:footnoteReference w:id="9"/>
      </w:r>
      <w:r w:rsidRPr="008B12D2">
        <w:t xml:space="preserve">, jotka koskivat muun muassa sitä, että nykyisellä seurantasuunnitelmalla ei varmisteta tuotteen seurannan kannalta merkityksellisten tietojen keräämistä, joten sitä ei voida pitää riittävänä, ja sitä, että ennen riskinarvioinnin päätökseen saattamista olisi esitettävä lisätietoja ja että hakijan olisi toimitettava yksityiskohtaiset tiedot unionin pelloilta toistuvasti havaitusta </w:t>
      </w:r>
      <w:r w:rsidRPr="008B12D2">
        <w:lastRenderedPageBreak/>
        <w:t xml:space="preserve">luonnonvaraisesta </w:t>
      </w:r>
      <w:proofErr w:type="spellStart"/>
      <w:r w:rsidRPr="008B12D2">
        <w:t>teosintista</w:t>
      </w:r>
      <w:proofErr w:type="spellEnd"/>
      <w:r w:rsidRPr="008B12D2">
        <w:t xml:space="preserve">, vaikka muuntogeenistä organismia ei ole tarkoitettu viljelyyn, ja maissin siementen hävikkiin kuljetuksen aikana on varauduttava ennalta; </w:t>
      </w:r>
    </w:p>
    <w:p w:rsidR="00796558" w:rsidRPr="008B12D2" w:rsidRDefault="00796558" w:rsidP="00377CC9">
      <w:pPr>
        <w:pStyle w:val="NormalHanging12a"/>
        <w:keepNext/>
        <w:widowControl/>
        <w:ind w:left="0" w:firstLine="0"/>
        <w:rPr>
          <w:b/>
          <w:i/>
        </w:rPr>
      </w:pPr>
      <w:r w:rsidRPr="008B12D2">
        <w:rPr>
          <w:b/>
          <w:i/>
        </w:rPr>
        <w:t>Maailmanlaajuisesti tasapuolisten toimintaedellytysten varmistaminen ja unionin kansainvälisten velvoitteiden noudattaminen</w:t>
      </w:r>
    </w:p>
    <w:p w:rsidR="00796558" w:rsidRPr="008B12D2" w:rsidRDefault="00796558" w:rsidP="00377CC9">
      <w:pPr>
        <w:pStyle w:val="NormalHanging12a"/>
        <w:widowControl/>
      </w:pPr>
      <w:r w:rsidRPr="008B12D2">
        <w:t>K.</w:t>
      </w:r>
      <w:r w:rsidRPr="008B12D2">
        <w:tab/>
        <w:t>ottaa huomioon, että EU:n maatalouden tulevaisuudesta käytävän strategisen vuoropuhelun päätelmissä</w:t>
      </w:r>
      <w:r w:rsidRPr="008B12D2">
        <w:rPr>
          <w:rStyle w:val="FootnoteReference"/>
        </w:rPr>
        <w:footnoteReference w:id="10"/>
      </w:r>
      <w:r w:rsidRPr="008B12D2">
        <w:t xml:space="preserve"> komissiota kehotetaan arvioimaan uudelleen lähestymistapaansa tuotavien ja vietävien maatalouselintarvikkeiden markkinoille pääsyyn, kun otetaan huomioon unionin ja sen kauppakumppaneiden toisistaan poikkeavien normien aiheuttama haaste; ottaa huomioon, että maailmanlaajuisesti oikeudenmukaisemmat kauppasuhteet, jotka ovat johdonmukaisia terveellistä ympäristöä koskevien tavoitteiden kanssa, olivat yksi viljelijöiden keskeisistä vaatimuksista vuosien 2023 ja 2024 mielenosoituksissa;</w:t>
      </w:r>
    </w:p>
    <w:p w:rsidR="00796558" w:rsidRPr="008B12D2" w:rsidRDefault="00796558" w:rsidP="00377CC9">
      <w:pPr>
        <w:pStyle w:val="NormalHanging12a"/>
        <w:widowControl/>
      </w:pPr>
      <w:r w:rsidRPr="008B12D2">
        <w:t>L.</w:t>
      </w:r>
      <w:r w:rsidRPr="008B12D2">
        <w:tab/>
        <w:t>ottaa huomioon, että oikeutta ruokaan käsittelevän YK:n erityisraportoijan vuonna 2017 julkaistussa raportissa todettiin, että vaarallisilla torjunta-aineilla on katastrofaalisia vaikutuksia terveyteen erityisesti kehitysmaissa</w:t>
      </w:r>
      <w:r w:rsidRPr="008B12D2">
        <w:rPr>
          <w:rStyle w:val="FootnoteReference"/>
        </w:rPr>
        <w:footnoteReference w:id="11"/>
      </w:r>
      <w:r w:rsidRPr="008B12D2">
        <w:t>; toteaa, että YK:n kestävän kehityksen tavoitteiden alatavoitteessa 3.9 pyrkimyksenä on vähentää vuoteen 2030 mennessä merkittävästi vaarallisista kemikaaleista ja ilman, veden ja maaperän saastumisesta sekä pilaantumisesta johtuvia kuolemia ja sairauksia</w:t>
      </w:r>
      <w:r w:rsidRPr="008B12D2">
        <w:rPr>
          <w:rStyle w:val="FootnoteReference"/>
        </w:rPr>
        <w:footnoteReference w:id="12"/>
      </w:r>
      <w:r w:rsidRPr="008B12D2">
        <w:t>;</w:t>
      </w:r>
    </w:p>
    <w:p w:rsidR="00796558" w:rsidRPr="008B12D2" w:rsidRDefault="00796558" w:rsidP="00377CC9">
      <w:pPr>
        <w:pStyle w:val="NormalHanging12a"/>
        <w:widowControl/>
      </w:pPr>
      <w:r w:rsidRPr="008B12D2">
        <w:t>M.</w:t>
      </w:r>
      <w:r w:rsidRPr="008B12D2">
        <w:tab/>
        <w:t xml:space="preserve">ottaa huomioon, että Kunmingin-Montrealin maailmanlaajuinen luonnon </w:t>
      </w:r>
      <w:proofErr w:type="spellStart"/>
      <w:r w:rsidRPr="008B12D2">
        <w:t>biodiversiteettikehys</w:t>
      </w:r>
      <w:proofErr w:type="spellEnd"/>
      <w:r w:rsidRPr="008B12D2">
        <w:t xml:space="preserve">, josta sovittiin biologista monimuotoisuutta koskevan Yhdistyneiden kansakuntien yleissopimuksen, jäljempänä ’YK:n </w:t>
      </w:r>
      <w:proofErr w:type="spellStart"/>
      <w:r w:rsidRPr="008B12D2">
        <w:t>biodiversiteettisopimus</w:t>
      </w:r>
      <w:proofErr w:type="spellEnd"/>
      <w:r w:rsidRPr="008B12D2">
        <w:t>’, sopimuspuolten 15. konferenssissa joulukuussa 2022, sisältää maailmanlaajuisen tavoitteen vähentää torjunta-aineista aiheutuvia riskejä vähintään 50 prosentilla vuoteen 2030 mennessä</w:t>
      </w:r>
      <w:r w:rsidRPr="008B12D2">
        <w:rPr>
          <w:rStyle w:val="FootnoteReference"/>
        </w:rPr>
        <w:footnoteReference w:id="13"/>
      </w:r>
      <w:r w:rsidRPr="008B12D2">
        <w:t>;</w:t>
      </w:r>
    </w:p>
    <w:p w:rsidR="00796558" w:rsidRPr="008B12D2" w:rsidRDefault="00796558" w:rsidP="00377CC9">
      <w:pPr>
        <w:pStyle w:val="NormalHanging12a"/>
        <w:widowControl/>
      </w:pPr>
      <w:r w:rsidRPr="008B12D2">
        <w:t>N.</w:t>
      </w:r>
      <w:r w:rsidRPr="008B12D2">
        <w:tab/>
        <w:t xml:space="preserve">ottaa huomioon, että asetuksessa (EY) N:o 1829/2003 todetaan, että muuntogeeniset elintarvikkeet tai rehut eivät saa vaikuttaa haitallisesti ihmisten terveyteen, eläinten terveyteen tai ympäristöön, ja edellytetään komission ottavan päätöstään laatiessaan huomioon kaikki unionin lainsäädännön asiaankuuluvat säännökset sekä muut perustellut tekijät, jotka liittyvät tarkasteltavaan asiaan; katsoo, että tällaisiin perusteltuihin tekijöihin olisi sisällyttävä YK:n kestävän kehityksen tavoitteista ja YK:n </w:t>
      </w:r>
      <w:proofErr w:type="spellStart"/>
      <w:r w:rsidRPr="008B12D2">
        <w:t>biodiversiteettisopimuksesta</w:t>
      </w:r>
      <w:proofErr w:type="spellEnd"/>
      <w:r w:rsidRPr="008B12D2">
        <w:t xml:space="preserve"> johtuvat unionin velvoitteet;</w:t>
      </w:r>
    </w:p>
    <w:p w:rsidR="00796558" w:rsidRPr="008B12D2" w:rsidRDefault="00796558" w:rsidP="00377CC9">
      <w:pPr>
        <w:pStyle w:val="NormalHanging12a"/>
        <w:keepNext/>
        <w:widowControl/>
        <w:ind w:left="0" w:firstLine="0"/>
        <w:rPr>
          <w:b/>
          <w:i/>
        </w:rPr>
      </w:pPr>
      <w:r w:rsidRPr="008B12D2">
        <w:rPr>
          <w:b/>
          <w:i/>
        </w:rPr>
        <w:t>Riippuvuuden vähentäminen tuontirehuista</w:t>
      </w:r>
    </w:p>
    <w:p w:rsidR="00796558" w:rsidRPr="008B12D2" w:rsidRDefault="00796558" w:rsidP="00377CC9">
      <w:pPr>
        <w:pStyle w:val="NormalHanging12a"/>
        <w:widowControl/>
      </w:pPr>
      <w:r w:rsidRPr="008B12D2">
        <w:t>O.</w:t>
      </w:r>
      <w:r w:rsidRPr="008B12D2">
        <w:tab/>
        <w:t xml:space="preserve">ottaa huomioon, että yksi covid-19-kriisistä ja Ukrainassa jatkuvasta sodasta saatu opetus on se, että unioni ei saa enää olla riippuvainen eräistä kriittisistä materiaaleista; ottaa huomioon, että komission puheenjohtaja Ursula von </w:t>
      </w:r>
      <w:proofErr w:type="spellStart"/>
      <w:r w:rsidRPr="008B12D2">
        <w:t>der</w:t>
      </w:r>
      <w:proofErr w:type="spellEnd"/>
      <w:r w:rsidRPr="008B12D2">
        <w:t xml:space="preserve"> </w:t>
      </w:r>
      <w:proofErr w:type="spellStart"/>
      <w:r w:rsidRPr="008B12D2">
        <w:t>Leyen</w:t>
      </w:r>
      <w:proofErr w:type="spellEnd"/>
      <w:r w:rsidRPr="008B12D2">
        <w:t xml:space="preserve"> pyytää komission </w:t>
      </w:r>
      <w:r w:rsidRPr="008B12D2">
        <w:lastRenderedPageBreak/>
        <w:t xml:space="preserve">jäsenehdokkaalle </w:t>
      </w:r>
      <w:proofErr w:type="spellStart"/>
      <w:r w:rsidRPr="008B12D2">
        <w:t>Christophe</w:t>
      </w:r>
      <w:proofErr w:type="spellEnd"/>
      <w:r w:rsidRPr="008B12D2">
        <w:t xml:space="preserve"> Hansenille osoitetussa toimeksiantokirjeessä häntä tarkastelemaan keinoja vähentää kriittisten hyödykkeiden tuontia</w:t>
      </w:r>
      <w:r w:rsidRPr="008B12D2">
        <w:rPr>
          <w:rStyle w:val="FootnoteReference"/>
        </w:rPr>
        <w:footnoteReference w:id="14"/>
      </w:r>
      <w:r w:rsidRPr="008B12D2">
        <w:t xml:space="preserve">; </w:t>
      </w:r>
    </w:p>
    <w:p w:rsidR="00796558" w:rsidRPr="008B12D2" w:rsidRDefault="00796558" w:rsidP="00377CC9">
      <w:pPr>
        <w:pStyle w:val="NormalHanging12a"/>
        <w:keepNext/>
        <w:widowControl/>
        <w:ind w:left="0" w:firstLine="0"/>
        <w:rPr>
          <w:b/>
          <w:i/>
        </w:rPr>
      </w:pPr>
      <w:r w:rsidRPr="008B12D2">
        <w:rPr>
          <w:b/>
          <w:i/>
        </w:rPr>
        <w:t>Epädemokraattinen päätöksenteko</w:t>
      </w:r>
    </w:p>
    <w:p w:rsidR="00796558" w:rsidRPr="008B12D2" w:rsidRDefault="00796558" w:rsidP="00377CC9">
      <w:pPr>
        <w:pStyle w:val="NormalHanging12a"/>
        <w:widowControl/>
      </w:pPr>
      <w:r w:rsidRPr="008B12D2">
        <w:t>P.</w:t>
      </w:r>
      <w:r w:rsidRPr="008B12D2">
        <w:tab/>
        <w:t>ottaa huomioon, että parlamentti antoi kahdeksannella vaalikaudella kaikkiaan 36 päätöslauselmaa, joissa vastustettiin elintarvike- ja rehukäyttöön tarkoitettujen muuntogeenisten organismien markkinoille saattamista (33 päätöslauselmaa) ja muuntogeenisten organismien viljelyä unionissa (kolme päätöslauselmaa); ottaa huomioon, että yhdeksännellä vaalikaudella parlamentti antoi 38 vastalausetta, jotka koskivat muuntogeenisten organismien markkinoille saattamista;</w:t>
      </w:r>
    </w:p>
    <w:p w:rsidR="00796558" w:rsidRPr="008B12D2" w:rsidRDefault="00796558" w:rsidP="00377CC9">
      <w:pPr>
        <w:pStyle w:val="NormalHanging12a"/>
        <w:widowControl/>
      </w:pPr>
      <w:r w:rsidRPr="008B12D2">
        <w:t>Q.</w:t>
      </w:r>
      <w:r w:rsidRPr="008B12D2">
        <w:tab/>
        <w:t>toteaa, että komissio jatkaa lupien myöntämistä muuntogeenisille organismeille, vaikka se itse myöntää demokraattisuuden puutteen, ja huolimatta jäsenvaltioiden tuen puuttumisesta ja parlamentin vastustuksesta;</w:t>
      </w:r>
    </w:p>
    <w:p w:rsidR="00796558" w:rsidRPr="008B12D2" w:rsidRDefault="00796558" w:rsidP="00377CC9">
      <w:pPr>
        <w:pStyle w:val="NormalHanging12a"/>
        <w:widowControl/>
      </w:pPr>
      <w:r w:rsidRPr="008B12D2">
        <w:t>R.</w:t>
      </w:r>
      <w:r w:rsidRPr="008B12D2">
        <w:tab/>
        <w:t>ottaa huomioon, että lainsäädäntöä ei tarvitse muuttaa, jotta komissio voi olla antamatta lupaa muuntogeenisille organismeille, kun jäsenvaltioiden määräenemmistö ei muutoksenhakukomiteassa puolla luvan myöntämistä</w:t>
      </w:r>
      <w:r w:rsidRPr="008B12D2">
        <w:rPr>
          <w:rStyle w:val="FootnoteReference"/>
        </w:rPr>
        <w:footnoteReference w:id="15"/>
      </w:r>
      <w:r w:rsidRPr="008B12D2">
        <w:t>;</w:t>
      </w:r>
    </w:p>
    <w:p w:rsidR="00796558" w:rsidRPr="008B12D2" w:rsidRDefault="00796558" w:rsidP="00377CC9">
      <w:pPr>
        <w:pStyle w:val="NormalHanging12a"/>
        <w:widowControl/>
      </w:pPr>
      <w:r w:rsidRPr="008B12D2">
        <w:t>S.</w:t>
      </w:r>
      <w:r w:rsidRPr="008B12D2">
        <w:tab/>
      </w:r>
      <w:r w:rsidRPr="008B12D2">
        <w:rPr>
          <w:shd w:val="clear" w:color="auto" w:fill="FFFFFF"/>
        </w:rPr>
        <w:t xml:space="preserve">ottaa huomioon, että asetuksen (EY) </w:t>
      </w:r>
      <w:proofErr w:type="gramStart"/>
      <w:r w:rsidRPr="008B12D2">
        <w:rPr>
          <w:shd w:val="clear" w:color="auto" w:fill="FFFFFF"/>
        </w:rPr>
        <w:t>N:o</w:t>
      </w:r>
      <w:proofErr w:type="gramEnd"/>
      <w:r w:rsidRPr="008B12D2">
        <w:rPr>
          <w:shd w:val="clear" w:color="auto" w:fill="FFFFFF"/>
        </w:rPr>
        <w:t xml:space="preserve"> 1829/2003 35 artiklassa tarkoitetussa pysyvässä kasvi-, eläin-, elintarvike- ja rehukomiteassa 8. heinäkuuta 2024 toimitetussa äänestyksessä päätettiin olla antamatta lausuntoa, mikä tarkoittaa, että jäsenvaltioiden määräenemmistö ei tukenut luvan myöntämistä; ottaa huomioon, että muutoksenhakukomiteassa 3. syyskuuta 2024 toimitetussa äänestyksessä päätettiin niin ikään olla antamatta lausuntoa;</w:t>
      </w:r>
    </w:p>
    <w:p w:rsidR="00796558" w:rsidRPr="008B12D2" w:rsidRDefault="00796558" w:rsidP="00377CC9">
      <w:pPr>
        <w:pStyle w:val="NormalHanging12a"/>
        <w:widowControl/>
      </w:pPr>
      <w:r w:rsidRPr="008B12D2">
        <w:t>1.</w:t>
      </w:r>
      <w:r w:rsidRPr="008B12D2">
        <w:tab/>
        <w:t>katsoo, että täytäntöönpanopäätö</w:t>
      </w:r>
      <w:r w:rsidR="00377CC9" w:rsidRPr="008B12D2">
        <w:t>s</w:t>
      </w:r>
      <w:r w:rsidRPr="008B12D2">
        <w:t xml:space="preserve"> </w:t>
      </w:r>
      <w:r w:rsidR="00377CC9" w:rsidRPr="008B12D2">
        <w:t xml:space="preserve">(EU) 2024/2618 </w:t>
      </w:r>
      <w:r w:rsidRPr="008B12D2">
        <w:t>ylittää asetuksessa (EY) </w:t>
      </w:r>
      <w:proofErr w:type="gramStart"/>
      <w:r w:rsidRPr="008B12D2">
        <w:t>N:o</w:t>
      </w:r>
      <w:proofErr w:type="gramEnd"/>
      <w:r w:rsidRPr="008B12D2">
        <w:t> 1829/2003 säädetyn täytäntöönpanovallan;</w:t>
      </w:r>
    </w:p>
    <w:p w:rsidR="00796558" w:rsidRPr="008B12D2" w:rsidRDefault="00796558" w:rsidP="00377CC9">
      <w:pPr>
        <w:pStyle w:val="NormalHanging12a"/>
        <w:widowControl/>
      </w:pPr>
      <w:r w:rsidRPr="008B12D2">
        <w:t>2.</w:t>
      </w:r>
      <w:r w:rsidRPr="008B12D2">
        <w:tab/>
        <w:t>katsoo, että täytäntöönpanopäätö</w:t>
      </w:r>
      <w:r w:rsidR="00377CC9" w:rsidRPr="008B12D2">
        <w:t>s</w:t>
      </w:r>
      <w:r w:rsidRPr="008B12D2">
        <w:t xml:space="preserve"> </w:t>
      </w:r>
      <w:r w:rsidR="00377CC9" w:rsidRPr="008B12D2">
        <w:t xml:space="preserve">(EU) 2024/2618 </w:t>
      </w:r>
      <w:r w:rsidRPr="008B12D2">
        <w:t>ei ole unionin oikeuden mukainen, sillä se ei ole sopusoinnussa asetuksen (EY) N:o 1829/2003 tavoitteen kanssa; toteaa, että kyseisen asetuksen tavoitteena on Euroopan parlamentin ja neuvoston asetuksessa (EY) N:o 178/2002</w:t>
      </w:r>
      <w:r w:rsidRPr="008B12D2">
        <w:rPr>
          <w:rStyle w:val="FootnoteReference"/>
        </w:rPr>
        <w:footnoteReference w:id="16"/>
      </w:r>
      <w:r w:rsidRPr="008B12D2">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w:t>
      </w:r>
    </w:p>
    <w:p w:rsidR="0012480E" w:rsidRPr="008B12D2" w:rsidRDefault="0012480E" w:rsidP="008B12D2">
      <w:pPr>
        <w:pStyle w:val="NormalHanging12a"/>
        <w:widowControl/>
      </w:pPr>
      <w:r w:rsidRPr="008B12D2">
        <w:t>3.</w:t>
      </w:r>
      <w:r w:rsidRPr="008B12D2">
        <w:tab/>
        <w:t>kehottaa komissiota varmistamaan normien lähentämisen unionin ja sen kumppaneiden välillä vapaakauppasopimusneuvotteluissa, jotta unionin turvallisuusnormit voidaan täyttää;</w:t>
      </w:r>
    </w:p>
    <w:p w:rsidR="00796558" w:rsidRPr="008B12D2" w:rsidRDefault="0012480E" w:rsidP="00377CC9">
      <w:pPr>
        <w:pStyle w:val="NormalHanging12a"/>
        <w:widowControl/>
      </w:pPr>
      <w:r w:rsidRPr="008B12D2">
        <w:lastRenderedPageBreak/>
        <w:t>4</w:t>
      </w:r>
      <w:r w:rsidR="00796558" w:rsidRPr="008B12D2">
        <w:t>.</w:t>
      </w:r>
      <w:r w:rsidR="00796558" w:rsidRPr="008B12D2">
        <w:tab/>
        <w:t xml:space="preserve">pyytää komissiota </w:t>
      </w:r>
      <w:r w:rsidR="00377CC9" w:rsidRPr="008B12D2">
        <w:t xml:space="preserve">kumoamaan </w:t>
      </w:r>
      <w:r w:rsidR="00796558" w:rsidRPr="008B12D2">
        <w:t>täytäntöönpanopäätökse</w:t>
      </w:r>
      <w:r w:rsidR="00377CC9" w:rsidRPr="008B12D2">
        <w:t>n</w:t>
      </w:r>
      <w:r w:rsidR="00796558" w:rsidRPr="008B12D2">
        <w:t xml:space="preserve"> </w:t>
      </w:r>
      <w:r w:rsidR="00377CC9" w:rsidRPr="008B12D2">
        <w:t xml:space="preserve">(EU) 2024/2618 </w:t>
      </w:r>
      <w:r w:rsidR="00796558" w:rsidRPr="008B12D2">
        <w:t>ja toimittamaan komitealle uuden ehdotuksen;</w:t>
      </w:r>
    </w:p>
    <w:p w:rsidR="00796558" w:rsidRPr="008B12D2" w:rsidRDefault="0012480E" w:rsidP="00377CC9">
      <w:pPr>
        <w:pStyle w:val="NormalHanging12a"/>
        <w:widowControl/>
      </w:pPr>
      <w:r w:rsidRPr="008B12D2">
        <w:t>5</w:t>
      </w:r>
      <w:r w:rsidR="00796558" w:rsidRPr="008B12D2">
        <w:t>.</w:t>
      </w:r>
      <w:r w:rsidR="00796558" w:rsidRPr="008B12D2">
        <w:tab/>
        <w:t>pyytää komissiota toimimaan yhteinen terveys -lähestymistavan mukaisesti ja pidättäytymään myöntämästä lupia rikkakasvien torjunta-aineille sietokykyisille muuntogeenisille viljelykasveille, sillä luvan myötä täydentävien rikkakasvien torjunta</w:t>
      </w:r>
      <w:r w:rsidR="00796558" w:rsidRPr="008B12D2">
        <w:noBreakHyphen/>
        <w:t>aineiden käyttö lisääntyisi, mistä aiheutuisi enemmän riskejä biologiselle monimuotoisuudelle, elintarvikkeiden turvallisuudelle ja työntekijöiden terveydelle</w:t>
      </w:r>
    </w:p>
    <w:p w:rsidR="00796558" w:rsidRPr="008B12D2" w:rsidRDefault="0012480E" w:rsidP="00377CC9">
      <w:pPr>
        <w:pStyle w:val="NormalHanging12a"/>
        <w:widowControl/>
      </w:pPr>
      <w:r w:rsidRPr="008B12D2">
        <w:t>6</w:t>
      </w:r>
      <w:r w:rsidR="00796558" w:rsidRPr="008B12D2">
        <w:t>.</w:t>
      </w:r>
      <w:r w:rsidR="00796558" w:rsidRPr="008B12D2">
        <w:tab/>
        <w:t xml:space="preserve">korostaa tässä yhteydessä, että luvan myöntäminen minkä tahansa sellaisen muuntogeenisen kasvin tuonnille elintarvike- tai rehukäyttöön, josta on tehty sietokykyinen unionissa kielletyille rikkakasvien torjunta-aineille, kuten </w:t>
      </w:r>
      <w:proofErr w:type="spellStart"/>
      <w:r w:rsidR="00796558" w:rsidRPr="008B12D2">
        <w:t>glufosinaatille</w:t>
      </w:r>
      <w:proofErr w:type="spellEnd"/>
      <w:r w:rsidR="00796558" w:rsidRPr="008B12D2">
        <w:t xml:space="preserve">, on ristiriidassa muun muassa YK:n kestävän kehityksen tavoitteista ja YK:n </w:t>
      </w:r>
      <w:proofErr w:type="spellStart"/>
      <w:r w:rsidR="00796558" w:rsidRPr="008B12D2">
        <w:t>biodiversiteettisopimuksesta</w:t>
      </w:r>
      <w:proofErr w:type="spellEnd"/>
      <w:r w:rsidR="00796558" w:rsidRPr="008B12D2">
        <w:t>, mukaan lukien äskettäin hyväksytty Kunmingin</w:t>
      </w:r>
      <w:r w:rsidR="00796558" w:rsidRPr="008B12D2">
        <w:noBreakHyphen/>
        <w:t>Montrealin maailmanlaajuinen luonnon monimuotoisuuskehys</w:t>
      </w:r>
      <w:r w:rsidR="00796558" w:rsidRPr="008B12D2">
        <w:rPr>
          <w:rStyle w:val="FootnoteReference"/>
        </w:rPr>
        <w:footnoteReference w:id="17"/>
      </w:r>
      <w:r w:rsidR="00796558" w:rsidRPr="008B12D2">
        <w:t>, johtuvien unionin kansainvälisten sitoumusten kanssa;</w:t>
      </w:r>
    </w:p>
    <w:p w:rsidR="00796558" w:rsidRPr="008B12D2" w:rsidRDefault="0012480E" w:rsidP="00377CC9">
      <w:pPr>
        <w:pStyle w:val="NormalHanging12a"/>
        <w:widowControl/>
      </w:pPr>
      <w:r w:rsidRPr="008B12D2">
        <w:t>7</w:t>
      </w:r>
      <w:r w:rsidR="00796558" w:rsidRPr="008B12D2">
        <w:t>.</w:t>
      </w:r>
      <w:r w:rsidR="00796558" w:rsidRPr="008B12D2">
        <w:tab/>
        <w:t>odottaa, että komissio noudattaa kiireellisesti sitoumustaan</w:t>
      </w:r>
      <w:r w:rsidR="00796558" w:rsidRPr="008B12D2">
        <w:rPr>
          <w:rStyle w:val="FootnoteReference"/>
        </w:rPr>
        <w:footnoteReference w:id="18"/>
      </w:r>
      <w:r w:rsidR="00796558" w:rsidRPr="008B12D2">
        <w:t xml:space="preserve"> esittää ehdotus sen varmistamiseksi, että unionissa kiellettyjä vaarallisia kemikaaleja ei tuoteta vientiin;</w:t>
      </w:r>
    </w:p>
    <w:p w:rsidR="00796558" w:rsidRPr="008B12D2" w:rsidRDefault="0012480E" w:rsidP="00377CC9">
      <w:pPr>
        <w:pStyle w:val="NormalHanging12a"/>
        <w:widowControl/>
      </w:pPr>
      <w:r w:rsidRPr="008B12D2">
        <w:t>8</w:t>
      </w:r>
      <w:r w:rsidR="00796558" w:rsidRPr="008B12D2">
        <w:t>.</w:t>
      </w:r>
      <w:r w:rsidR="00796558" w:rsidRPr="008B12D2">
        <w:tab/>
        <w:t>on tyytyväinen siihen, että komissio myönsi lopulta 11. syyskuuta 2020 päivätyssä kirjeessään parlamentin jäsenille, että muuntogeenisiä organismeja koskevissa lupapäätöksissä on tarpeen ottaa huomioon kestävyysnäkökohdat</w:t>
      </w:r>
      <w:r w:rsidR="00796558" w:rsidRPr="008B12D2">
        <w:rPr>
          <w:rStyle w:val="FootnoteReference"/>
        </w:rPr>
        <w:footnoteReference w:id="19"/>
      </w:r>
      <w:r w:rsidR="00796558" w:rsidRPr="008B12D2">
        <w:t>; on kuitenkin erittäin pettynyt siihen, että komissio on sen jälkeen edelleen myöntänyt lupia muuntogeenisten organismien tuonnille unioniin, vaikka parlamentti vastustaa niitä jatkuvasti eikä jäsenvaltioiden määräenemmistö kannata niitä;</w:t>
      </w:r>
    </w:p>
    <w:p w:rsidR="00796558" w:rsidRPr="008B12D2" w:rsidRDefault="0012480E" w:rsidP="00377CC9">
      <w:pPr>
        <w:pStyle w:val="NormalHanging12a"/>
        <w:widowControl/>
      </w:pPr>
      <w:r w:rsidRPr="008B12D2">
        <w:t>9</w:t>
      </w:r>
      <w:r w:rsidR="00796558" w:rsidRPr="008B12D2">
        <w:t>.</w:t>
      </w:r>
      <w:r w:rsidR="00796558" w:rsidRPr="008B12D2">
        <w:tab/>
        <w:t xml:space="preserve">kehottaa jälleen kerran komissiota ottamaan huomioon kansainvälisistä sopimuksista, kuten Pariisin ilmastosopimuksesta, YK:n </w:t>
      </w:r>
      <w:proofErr w:type="spellStart"/>
      <w:r w:rsidR="00796558" w:rsidRPr="008B12D2">
        <w:t>biodiversiteettisopimuksesta</w:t>
      </w:r>
      <w:proofErr w:type="spellEnd"/>
      <w:r w:rsidR="00796558" w:rsidRPr="008B12D2">
        <w:t xml:space="preserve"> ja YK:n kestävän kehityksen tavoitteista, johtuvat unionin velvoitteet; kehottaa jälleen liittämään ehdotuksiin täytäntöönpanosäädöksiksi perustelut, joissa selitetään, miten niissä varmistetaan vahingon välttämisen periaatteen noudattaminen</w:t>
      </w:r>
      <w:r w:rsidR="00796558" w:rsidRPr="008B12D2">
        <w:rPr>
          <w:rStyle w:val="FootnoteReference"/>
        </w:rPr>
        <w:footnoteReference w:id="20"/>
      </w:r>
      <w:r w:rsidR="00796558" w:rsidRPr="008B12D2">
        <w:t xml:space="preserve">; </w:t>
      </w:r>
    </w:p>
    <w:p w:rsidR="00E365E1" w:rsidRPr="008B12D2" w:rsidRDefault="0012480E" w:rsidP="00377CC9">
      <w:pPr>
        <w:pStyle w:val="NormalHanging12a"/>
        <w:widowControl/>
      </w:pPr>
      <w:r w:rsidRPr="008B12D2">
        <w:t>10</w:t>
      </w:r>
      <w:r w:rsidR="00796558" w:rsidRPr="008B12D2">
        <w:t>.</w:t>
      </w:r>
      <w:r w:rsidR="00796558" w:rsidRPr="008B12D2">
        <w:tab/>
        <w:t>kehottaa puhemiestä välittämään tämän päätöslauselman neuvostolle ja komissiolle sekä jäsenvaltioiden hallituksille ja parlamenteille.</w:t>
      </w:r>
    </w:p>
    <w:sectPr w:rsidR="00E365E1" w:rsidRPr="008B12D2" w:rsidSect="00D7507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934" w:rsidRPr="00D7507D" w:rsidRDefault="00833934">
      <w:r w:rsidRPr="00D7507D">
        <w:separator/>
      </w:r>
    </w:p>
  </w:endnote>
  <w:endnote w:type="continuationSeparator" w:id="0">
    <w:p w:rsidR="00833934" w:rsidRPr="00D7507D" w:rsidRDefault="00833934">
      <w:r w:rsidRPr="00D750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934" w:rsidRPr="00D7507D" w:rsidRDefault="00833934">
      <w:r w:rsidRPr="00D7507D">
        <w:separator/>
      </w:r>
    </w:p>
  </w:footnote>
  <w:footnote w:type="continuationSeparator" w:id="0">
    <w:p w:rsidR="00833934" w:rsidRPr="00D7507D" w:rsidRDefault="00833934">
      <w:r w:rsidRPr="00D7507D">
        <w:continuationSeparator/>
      </w:r>
    </w:p>
  </w:footnote>
  <w:footnote w:id="1">
    <w:p w:rsidR="00377CC9" w:rsidRPr="002403F9" w:rsidRDefault="00377CC9" w:rsidP="002403F9">
      <w:pPr>
        <w:pStyle w:val="FootnoteText"/>
        <w:ind w:left="567" w:hanging="567"/>
        <w:rPr>
          <w:lang w:val="fi-FI"/>
        </w:rPr>
      </w:pPr>
      <w:r w:rsidRPr="002403F9">
        <w:rPr>
          <w:rStyle w:val="FootnoteReference"/>
        </w:rPr>
        <w:footnoteRef/>
      </w:r>
      <w:r w:rsidRPr="002403F9">
        <w:rPr>
          <w:lang w:val="fi-FI"/>
        </w:rPr>
        <w:t xml:space="preserve"> </w:t>
      </w:r>
      <w:r w:rsidRPr="002403F9">
        <w:rPr>
          <w:lang w:val="fi-FI"/>
        </w:rPr>
        <w:tab/>
      </w:r>
      <w:r w:rsidRPr="002403F9">
        <w:rPr>
          <w:sz w:val="24"/>
          <w:szCs w:val="24"/>
          <w:lang w:val="fi-FI"/>
        </w:rPr>
        <w:t>EUVL L, 2024/2618, 10.10.2024, ELI: http://data.europa.eu/eli/dec_impl/2024/2618/oj.</w:t>
      </w:r>
    </w:p>
  </w:footnote>
  <w:footnote w:id="2">
    <w:p w:rsidR="00796558" w:rsidRPr="002403F9" w:rsidRDefault="00796558" w:rsidP="00D7507D">
      <w:pPr>
        <w:pStyle w:val="FootnoteText"/>
        <w:ind w:left="567" w:hanging="567"/>
        <w:rPr>
          <w:sz w:val="24"/>
          <w:lang w:val="fi-FI"/>
        </w:rPr>
      </w:pPr>
      <w:r w:rsidRPr="002403F9">
        <w:rPr>
          <w:rStyle w:val="FootnoteReference"/>
          <w:sz w:val="24"/>
          <w:lang w:val="fi-FI"/>
        </w:rPr>
        <w:footnoteRef/>
      </w:r>
      <w:r w:rsidR="00D7507D" w:rsidRPr="002403F9">
        <w:rPr>
          <w:sz w:val="24"/>
          <w:lang w:val="fi-FI"/>
        </w:rPr>
        <w:t xml:space="preserve"> </w:t>
      </w:r>
      <w:r w:rsidR="00D7507D" w:rsidRPr="002403F9">
        <w:rPr>
          <w:sz w:val="24"/>
          <w:lang w:val="fi-FI"/>
        </w:rPr>
        <w:tab/>
      </w:r>
      <w:r w:rsidRPr="002403F9">
        <w:rPr>
          <w:sz w:val="24"/>
          <w:lang w:val="fi-FI"/>
        </w:rPr>
        <w:t xml:space="preserve">EUVL L 268, 18.10.2003, s. 1, ELI: </w:t>
      </w:r>
      <w:hyperlink r:id="rId1" w:tooltip="Gives access to this document through its ELI URI." w:history="1">
        <w:r w:rsidRPr="002403F9">
          <w:rPr>
            <w:rStyle w:val="Hyperlink"/>
            <w:color w:val="337AB7"/>
            <w:sz w:val="24"/>
            <w:shd w:val="clear" w:color="auto" w:fill="FFFFFF"/>
            <w:lang w:val="fi-FI"/>
          </w:rPr>
          <w:t>http://data.europa.eu/eli/reg/2003/1829/oj</w:t>
        </w:r>
      </w:hyperlink>
    </w:p>
  </w:footnote>
  <w:footnote w:id="3">
    <w:p w:rsidR="00796558" w:rsidRPr="002403F9" w:rsidRDefault="00796558" w:rsidP="00D7507D">
      <w:pPr>
        <w:pStyle w:val="FootnoteText"/>
        <w:ind w:left="567" w:hanging="567"/>
        <w:rPr>
          <w:sz w:val="24"/>
          <w:lang w:val="fi-FI"/>
        </w:rPr>
      </w:pPr>
      <w:r w:rsidRPr="002403F9">
        <w:rPr>
          <w:rStyle w:val="FootnoteReference"/>
          <w:sz w:val="24"/>
          <w:lang w:val="fi-FI"/>
        </w:rPr>
        <w:footnoteRef/>
      </w:r>
      <w:r w:rsidR="00D7507D" w:rsidRPr="002403F9">
        <w:rPr>
          <w:sz w:val="24"/>
          <w:lang w:val="fi-FI"/>
        </w:rPr>
        <w:t xml:space="preserve"> </w:t>
      </w:r>
      <w:r w:rsidR="00D7507D" w:rsidRPr="002403F9">
        <w:rPr>
          <w:sz w:val="24"/>
          <w:lang w:val="fi-FI"/>
        </w:rPr>
        <w:tab/>
      </w:r>
      <w:r w:rsidRPr="002403F9">
        <w:rPr>
          <w:sz w:val="24"/>
          <w:lang w:val="fi-FI"/>
        </w:rPr>
        <w:t xml:space="preserve">EUVL L 55, 28.2.2011, s. 13, ELI: </w:t>
      </w:r>
      <w:hyperlink r:id="rId2" w:tooltip="Gives access to this document through its ELI URI." w:history="1">
        <w:r w:rsidRPr="002403F9">
          <w:rPr>
            <w:rStyle w:val="Hyperlink"/>
            <w:color w:val="337AB7"/>
            <w:sz w:val="24"/>
            <w:shd w:val="clear" w:color="auto" w:fill="FFFFFF"/>
            <w:lang w:val="fi-FI"/>
          </w:rPr>
          <w:t>http://data.europa.eu/eli/reg/2011/182/oj</w:t>
        </w:r>
      </w:hyperlink>
    </w:p>
  </w:footnote>
  <w:footnote w:id="4">
    <w:p w:rsidR="00796558" w:rsidRPr="002403F9" w:rsidRDefault="00796558" w:rsidP="00D7507D">
      <w:pPr>
        <w:pStyle w:val="FootnoteText"/>
        <w:ind w:left="567" w:hanging="567"/>
        <w:rPr>
          <w:sz w:val="24"/>
          <w:lang w:val="fi-FI"/>
        </w:rPr>
      </w:pPr>
      <w:r w:rsidRPr="002403F9">
        <w:rPr>
          <w:rStyle w:val="FootnoteReference"/>
          <w:sz w:val="24"/>
          <w:lang w:val="fi-FI"/>
        </w:rPr>
        <w:footnoteRef/>
      </w:r>
      <w:r w:rsidR="00D7507D" w:rsidRPr="002403F9">
        <w:rPr>
          <w:sz w:val="24"/>
          <w:lang w:val="fi-FI"/>
        </w:rPr>
        <w:t xml:space="preserve"> </w:t>
      </w:r>
      <w:r w:rsidR="00D7507D" w:rsidRPr="002403F9">
        <w:rPr>
          <w:sz w:val="24"/>
          <w:lang w:val="fi-FI"/>
        </w:rPr>
        <w:tab/>
      </w:r>
      <w:r w:rsidRPr="002403F9">
        <w:rPr>
          <w:sz w:val="24"/>
          <w:lang w:val="fi-FI"/>
        </w:rPr>
        <w:t xml:space="preserve">Muuntogeenisiä organismeja käsittelevän </w:t>
      </w:r>
      <w:proofErr w:type="spellStart"/>
      <w:r w:rsidRPr="002403F9">
        <w:rPr>
          <w:sz w:val="24"/>
          <w:lang w:val="fi-FI"/>
        </w:rPr>
        <w:t>EFSAn</w:t>
      </w:r>
      <w:proofErr w:type="spellEnd"/>
      <w:r w:rsidRPr="002403F9">
        <w:rPr>
          <w:sz w:val="24"/>
          <w:lang w:val="fi-FI"/>
        </w:rPr>
        <w:t xml:space="preserve"> tiedelautakunnan tieteellinen lausunto ”</w:t>
      </w:r>
      <w:proofErr w:type="spellStart"/>
      <w:r w:rsidRPr="002403F9">
        <w:rPr>
          <w:sz w:val="24"/>
          <w:lang w:val="fi-FI"/>
        </w:rPr>
        <w:t>Assessment</w:t>
      </w:r>
      <w:proofErr w:type="spellEnd"/>
      <w:r w:rsidRPr="002403F9">
        <w:rPr>
          <w:sz w:val="24"/>
          <w:lang w:val="fi-FI"/>
        </w:rPr>
        <w:t xml:space="preserve"> of </w:t>
      </w:r>
      <w:proofErr w:type="spellStart"/>
      <w:r w:rsidRPr="002403F9">
        <w:rPr>
          <w:sz w:val="24"/>
          <w:lang w:val="fi-FI"/>
        </w:rPr>
        <w:t>genetically</w:t>
      </w:r>
      <w:proofErr w:type="spellEnd"/>
      <w:r w:rsidRPr="002403F9">
        <w:rPr>
          <w:sz w:val="24"/>
          <w:lang w:val="fi-FI"/>
        </w:rPr>
        <w:t xml:space="preserve"> </w:t>
      </w:r>
      <w:proofErr w:type="spellStart"/>
      <w:r w:rsidRPr="002403F9">
        <w:rPr>
          <w:sz w:val="24"/>
          <w:lang w:val="fi-FI"/>
        </w:rPr>
        <w:t>modified</w:t>
      </w:r>
      <w:proofErr w:type="spellEnd"/>
      <w:r w:rsidRPr="002403F9">
        <w:rPr>
          <w:sz w:val="24"/>
          <w:lang w:val="fi-FI"/>
        </w:rPr>
        <w:t xml:space="preserve"> </w:t>
      </w:r>
      <w:proofErr w:type="spellStart"/>
      <w:r w:rsidRPr="002403F9">
        <w:rPr>
          <w:sz w:val="24"/>
          <w:lang w:val="fi-FI"/>
        </w:rPr>
        <w:t>maize</w:t>
      </w:r>
      <w:proofErr w:type="spellEnd"/>
      <w:r w:rsidRPr="002403F9">
        <w:rPr>
          <w:sz w:val="24"/>
          <w:lang w:val="fi-FI"/>
        </w:rPr>
        <w:t xml:space="preserve"> DP202216 for food and </w:t>
      </w:r>
      <w:proofErr w:type="spellStart"/>
      <w:r w:rsidRPr="002403F9">
        <w:rPr>
          <w:sz w:val="24"/>
          <w:lang w:val="fi-FI"/>
        </w:rPr>
        <w:t>feed</w:t>
      </w:r>
      <w:proofErr w:type="spellEnd"/>
      <w:r w:rsidRPr="002403F9">
        <w:rPr>
          <w:sz w:val="24"/>
          <w:lang w:val="fi-FI"/>
        </w:rPr>
        <w:t xml:space="preserve"> </w:t>
      </w:r>
      <w:proofErr w:type="spellStart"/>
      <w:r w:rsidRPr="002403F9">
        <w:rPr>
          <w:sz w:val="24"/>
          <w:lang w:val="fi-FI"/>
        </w:rPr>
        <w:t>uses</w:t>
      </w:r>
      <w:proofErr w:type="spellEnd"/>
      <w:r w:rsidRPr="002403F9">
        <w:rPr>
          <w:sz w:val="24"/>
          <w:lang w:val="fi-FI"/>
        </w:rPr>
        <w:t xml:space="preserve">, </w:t>
      </w:r>
      <w:proofErr w:type="spellStart"/>
      <w:r w:rsidRPr="002403F9">
        <w:rPr>
          <w:sz w:val="24"/>
          <w:lang w:val="fi-FI"/>
        </w:rPr>
        <w:t>under</w:t>
      </w:r>
      <w:proofErr w:type="spellEnd"/>
      <w:r w:rsidRPr="002403F9">
        <w:rPr>
          <w:sz w:val="24"/>
          <w:lang w:val="fi-FI"/>
        </w:rPr>
        <w:t xml:space="preserve"> </w:t>
      </w:r>
      <w:proofErr w:type="spellStart"/>
      <w:r w:rsidRPr="002403F9">
        <w:rPr>
          <w:sz w:val="24"/>
          <w:lang w:val="fi-FI"/>
        </w:rPr>
        <w:t>Regulation</w:t>
      </w:r>
      <w:proofErr w:type="spellEnd"/>
      <w:r w:rsidRPr="002403F9">
        <w:rPr>
          <w:sz w:val="24"/>
          <w:lang w:val="fi-FI"/>
        </w:rPr>
        <w:t xml:space="preserve"> (EC) No 1829/2003 (</w:t>
      </w:r>
      <w:proofErr w:type="spellStart"/>
      <w:r w:rsidRPr="002403F9">
        <w:rPr>
          <w:sz w:val="24"/>
          <w:lang w:val="fi-FI"/>
        </w:rPr>
        <w:t>application</w:t>
      </w:r>
      <w:proofErr w:type="spellEnd"/>
      <w:r w:rsidRPr="002403F9">
        <w:rPr>
          <w:sz w:val="24"/>
          <w:lang w:val="fi-FI"/>
        </w:rPr>
        <w:t xml:space="preserve"> EFSA‐GMO‐NL‐2019‐159)”, EFSA Journal 2024; 2024;22(3):8655, </w:t>
      </w:r>
      <w:hyperlink r:id="rId3" w:history="1">
        <w:r w:rsidRPr="002403F9">
          <w:rPr>
            <w:rStyle w:val="Hyperlink"/>
            <w:sz w:val="24"/>
            <w:lang w:val="fi-FI"/>
          </w:rPr>
          <w:t>https://doi.org/10.2903/j.efsa.2024.8655</w:t>
        </w:r>
      </w:hyperlink>
      <w:r w:rsidRPr="002403F9">
        <w:rPr>
          <w:sz w:val="24"/>
          <w:lang w:val="fi-FI"/>
        </w:rPr>
        <w:t>.</w:t>
      </w:r>
    </w:p>
  </w:footnote>
  <w:footnote w:id="5">
    <w:p w:rsidR="00796558" w:rsidRPr="002403F9" w:rsidRDefault="00796558" w:rsidP="00D7507D">
      <w:pPr>
        <w:pStyle w:val="FootnoteText"/>
        <w:ind w:left="567" w:hanging="567"/>
        <w:rPr>
          <w:sz w:val="24"/>
          <w:szCs w:val="22"/>
          <w:lang w:val="fi-FI"/>
        </w:rPr>
      </w:pPr>
      <w:r w:rsidRPr="002403F9">
        <w:rPr>
          <w:rStyle w:val="FootnoteReference"/>
          <w:sz w:val="24"/>
          <w:lang w:val="fi-FI"/>
        </w:rPr>
        <w:footnoteRef/>
      </w:r>
      <w:r w:rsidR="00D7507D" w:rsidRPr="002403F9">
        <w:rPr>
          <w:sz w:val="24"/>
          <w:lang w:val="fi-FI"/>
        </w:rPr>
        <w:t xml:space="preserve"> </w:t>
      </w:r>
      <w:r w:rsidR="00D7507D" w:rsidRPr="002403F9">
        <w:rPr>
          <w:sz w:val="24"/>
          <w:lang w:val="fi-FI"/>
        </w:rPr>
        <w:tab/>
      </w:r>
      <w:r w:rsidRPr="002403F9">
        <w:rPr>
          <w:sz w:val="24"/>
          <w:lang w:val="fi-FI"/>
        </w:rPr>
        <w:t>Kahdeksannella vaalikaudella parlamentti hyväksyi 36 päätöslauselmaa ja yhdeksännellä vaalikaudella 38 päätöslauselmaa, joissa vastustettiin lupien myöntämistä muuntogeenisille organismeille.</w:t>
      </w:r>
      <w:r w:rsidRPr="002403F9">
        <w:rPr>
          <w:color w:val="000000" w:themeColor="text1"/>
          <w:sz w:val="24"/>
          <w:lang w:val="fi-FI"/>
        </w:rPr>
        <w:t xml:space="preserve"> </w:t>
      </w:r>
    </w:p>
  </w:footnote>
  <w:footnote w:id="6">
    <w:p w:rsidR="00796558" w:rsidRPr="002403F9" w:rsidRDefault="00796558" w:rsidP="00D7507D">
      <w:pPr>
        <w:pStyle w:val="FootnoteText"/>
        <w:ind w:left="567" w:hanging="567"/>
        <w:rPr>
          <w:sz w:val="24"/>
          <w:lang w:val="fi-FI"/>
        </w:rPr>
      </w:pPr>
      <w:r w:rsidRPr="002403F9">
        <w:rPr>
          <w:rStyle w:val="FootnoteReference"/>
          <w:sz w:val="24"/>
          <w:lang w:val="fi-FI"/>
        </w:rPr>
        <w:footnoteRef/>
      </w:r>
      <w:r w:rsidR="00D7507D" w:rsidRPr="002403F9">
        <w:rPr>
          <w:sz w:val="24"/>
          <w:lang w:val="fi-FI"/>
        </w:rPr>
        <w:t xml:space="preserve"> </w:t>
      </w:r>
      <w:r w:rsidR="00D7507D" w:rsidRPr="002403F9">
        <w:rPr>
          <w:sz w:val="24"/>
          <w:lang w:val="fi-FI"/>
        </w:rPr>
        <w:tab/>
      </w:r>
      <w:r w:rsidRPr="002403F9">
        <w:rPr>
          <w:sz w:val="24"/>
          <w:lang w:val="fi-FI"/>
        </w:rPr>
        <w:t xml:space="preserve">Komission täytäntöönpanoasetus (EU) N:o 503/2013, annettu 3. huhtikuuta 2013, Euroopan parlamentin ja neuvoston asetuksen (EY) N:o 1829/2003 mukaisista muuntogeenisten elintarvikkeiden ja rehujen lupahakemuksista sekä asetusten (EY) N:o 641/2004 ja (EY) N:o 1981/2006 muuttamisesta (EUVL L 157, 8.6.2013, s. 1, ELI: </w:t>
      </w:r>
      <w:hyperlink r:id="rId4" w:tooltip="Gives access to this document through its ELI URI." w:history="1">
        <w:r w:rsidRPr="002403F9">
          <w:rPr>
            <w:rStyle w:val="Hyperlink"/>
            <w:sz w:val="24"/>
            <w:lang w:val="fi-FI"/>
          </w:rPr>
          <w:t>http://data.europa.eu/eli/reg_impl/2013/503/oj</w:t>
        </w:r>
      </w:hyperlink>
      <w:r w:rsidRPr="002403F9">
        <w:rPr>
          <w:sz w:val="24"/>
          <w:lang w:val="fi-FI"/>
        </w:rPr>
        <w:t>).</w:t>
      </w:r>
    </w:p>
  </w:footnote>
  <w:footnote w:id="7">
    <w:p w:rsidR="00796558" w:rsidRPr="002403F9" w:rsidRDefault="00796558" w:rsidP="00D7507D">
      <w:pPr>
        <w:pStyle w:val="FootnoteText"/>
        <w:ind w:left="567" w:hanging="567"/>
        <w:rPr>
          <w:sz w:val="24"/>
          <w:szCs w:val="22"/>
          <w:lang w:val="fi-FI"/>
        </w:rPr>
      </w:pPr>
      <w:r w:rsidRPr="002403F9">
        <w:rPr>
          <w:rStyle w:val="FootnoteReference"/>
          <w:sz w:val="24"/>
          <w:lang w:val="fi-FI"/>
        </w:rPr>
        <w:footnoteRef/>
      </w:r>
      <w:r w:rsidR="00D7507D" w:rsidRPr="002403F9">
        <w:rPr>
          <w:sz w:val="24"/>
          <w:lang w:val="fi-FI"/>
        </w:rPr>
        <w:t xml:space="preserve"> </w:t>
      </w:r>
      <w:r w:rsidR="00D7507D" w:rsidRPr="002403F9">
        <w:rPr>
          <w:sz w:val="24"/>
          <w:lang w:val="fi-FI"/>
        </w:rPr>
        <w:tab/>
      </w:r>
      <w:r w:rsidRPr="002403F9">
        <w:rPr>
          <w:sz w:val="24"/>
          <w:lang w:val="fi-FI"/>
        </w:rPr>
        <w:t xml:space="preserve">Ks. esim. </w:t>
      </w:r>
      <w:proofErr w:type="spellStart"/>
      <w:r w:rsidRPr="002403F9">
        <w:rPr>
          <w:sz w:val="24"/>
          <w:lang w:val="fi-FI"/>
        </w:rPr>
        <w:t>Schulz</w:t>
      </w:r>
      <w:proofErr w:type="spellEnd"/>
      <w:r w:rsidRPr="002403F9">
        <w:rPr>
          <w:sz w:val="24"/>
          <w:lang w:val="fi-FI"/>
        </w:rPr>
        <w:t xml:space="preserve">, R., </w:t>
      </w:r>
      <w:proofErr w:type="spellStart"/>
      <w:r w:rsidRPr="002403F9">
        <w:rPr>
          <w:sz w:val="24"/>
          <w:lang w:val="fi-FI"/>
        </w:rPr>
        <w:t>Bub</w:t>
      </w:r>
      <w:proofErr w:type="spellEnd"/>
      <w:r w:rsidRPr="002403F9">
        <w:rPr>
          <w:sz w:val="24"/>
          <w:lang w:val="fi-FI"/>
        </w:rPr>
        <w:t xml:space="preserve">, S., </w:t>
      </w:r>
      <w:proofErr w:type="spellStart"/>
      <w:r w:rsidRPr="002403F9">
        <w:rPr>
          <w:sz w:val="24"/>
          <w:lang w:val="fi-FI"/>
        </w:rPr>
        <w:t>Petschick</w:t>
      </w:r>
      <w:proofErr w:type="spellEnd"/>
      <w:r w:rsidRPr="002403F9">
        <w:rPr>
          <w:sz w:val="24"/>
          <w:lang w:val="fi-FI"/>
        </w:rPr>
        <w:t xml:space="preserve">, L. L., </w:t>
      </w:r>
      <w:proofErr w:type="spellStart"/>
      <w:r w:rsidRPr="002403F9">
        <w:rPr>
          <w:sz w:val="24"/>
          <w:lang w:val="fi-FI"/>
        </w:rPr>
        <w:t>Stehle</w:t>
      </w:r>
      <w:proofErr w:type="spellEnd"/>
      <w:r w:rsidRPr="002403F9">
        <w:rPr>
          <w:sz w:val="24"/>
          <w:lang w:val="fi-FI"/>
        </w:rPr>
        <w:t xml:space="preserve">, S., </w:t>
      </w:r>
      <w:proofErr w:type="spellStart"/>
      <w:r w:rsidRPr="002403F9">
        <w:rPr>
          <w:sz w:val="24"/>
          <w:lang w:val="fi-FI"/>
        </w:rPr>
        <w:t>Wolfram</w:t>
      </w:r>
      <w:proofErr w:type="spellEnd"/>
      <w:r w:rsidRPr="002403F9">
        <w:rPr>
          <w:sz w:val="24"/>
          <w:lang w:val="fi-FI"/>
        </w:rPr>
        <w:t>, J. (2021) ”</w:t>
      </w:r>
      <w:proofErr w:type="spellStart"/>
      <w:r w:rsidRPr="002403F9">
        <w:rPr>
          <w:sz w:val="24"/>
          <w:lang w:val="fi-FI"/>
        </w:rPr>
        <w:t>Applied</w:t>
      </w:r>
      <w:proofErr w:type="spellEnd"/>
      <w:r w:rsidRPr="002403F9">
        <w:rPr>
          <w:sz w:val="24"/>
          <w:lang w:val="fi-FI"/>
        </w:rPr>
        <w:t xml:space="preserve"> </w:t>
      </w:r>
      <w:proofErr w:type="spellStart"/>
      <w:r w:rsidRPr="002403F9">
        <w:rPr>
          <w:sz w:val="24"/>
          <w:lang w:val="fi-FI"/>
        </w:rPr>
        <w:t>pesticide</w:t>
      </w:r>
      <w:proofErr w:type="spellEnd"/>
      <w:r w:rsidRPr="002403F9">
        <w:rPr>
          <w:sz w:val="24"/>
          <w:lang w:val="fi-FI"/>
        </w:rPr>
        <w:t xml:space="preserve"> </w:t>
      </w:r>
      <w:proofErr w:type="spellStart"/>
      <w:r w:rsidRPr="002403F9">
        <w:rPr>
          <w:sz w:val="24"/>
          <w:lang w:val="fi-FI"/>
        </w:rPr>
        <w:t>toxicity</w:t>
      </w:r>
      <w:proofErr w:type="spellEnd"/>
      <w:r w:rsidRPr="002403F9">
        <w:rPr>
          <w:sz w:val="24"/>
          <w:lang w:val="fi-FI"/>
        </w:rPr>
        <w:t xml:space="preserve"> </w:t>
      </w:r>
      <w:proofErr w:type="spellStart"/>
      <w:r w:rsidRPr="002403F9">
        <w:rPr>
          <w:sz w:val="24"/>
          <w:lang w:val="fi-FI"/>
        </w:rPr>
        <w:t>shifts</w:t>
      </w:r>
      <w:proofErr w:type="spellEnd"/>
      <w:r w:rsidRPr="002403F9">
        <w:rPr>
          <w:sz w:val="24"/>
          <w:lang w:val="fi-FI"/>
        </w:rPr>
        <w:t xml:space="preserve"> </w:t>
      </w:r>
      <w:proofErr w:type="spellStart"/>
      <w:r w:rsidRPr="002403F9">
        <w:rPr>
          <w:sz w:val="24"/>
          <w:lang w:val="fi-FI"/>
        </w:rPr>
        <w:t>toward</w:t>
      </w:r>
      <w:proofErr w:type="spellEnd"/>
      <w:r w:rsidRPr="002403F9">
        <w:rPr>
          <w:sz w:val="24"/>
          <w:lang w:val="fi-FI"/>
        </w:rPr>
        <w:t xml:space="preserve"> </w:t>
      </w:r>
      <w:proofErr w:type="spellStart"/>
      <w:r w:rsidRPr="002403F9">
        <w:rPr>
          <w:sz w:val="24"/>
          <w:lang w:val="fi-FI"/>
        </w:rPr>
        <w:t>plants</w:t>
      </w:r>
      <w:proofErr w:type="spellEnd"/>
      <w:r w:rsidRPr="002403F9">
        <w:rPr>
          <w:sz w:val="24"/>
          <w:lang w:val="fi-FI"/>
        </w:rPr>
        <w:t xml:space="preserve"> and </w:t>
      </w:r>
      <w:proofErr w:type="spellStart"/>
      <w:r w:rsidRPr="002403F9">
        <w:rPr>
          <w:sz w:val="24"/>
          <w:lang w:val="fi-FI"/>
        </w:rPr>
        <w:t>invertebrates</w:t>
      </w:r>
      <w:proofErr w:type="spellEnd"/>
      <w:r w:rsidRPr="002403F9">
        <w:rPr>
          <w:sz w:val="24"/>
          <w:lang w:val="fi-FI"/>
        </w:rPr>
        <w:t xml:space="preserve">, </w:t>
      </w:r>
      <w:proofErr w:type="spellStart"/>
      <w:r w:rsidRPr="002403F9">
        <w:rPr>
          <w:sz w:val="24"/>
          <w:lang w:val="fi-FI"/>
        </w:rPr>
        <w:t>even</w:t>
      </w:r>
      <w:proofErr w:type="spellEnd"/>
      <w:r w:rsidRPr="002403F9">
        <w:rPr>
          <w:sz w:val="24"/>
          <w:lang w:val="fi-FI"/>
        </w:rPr>
        <w:t xml:space="preserve"> in GM </w:t>
      </w:r>
      <w:proofErr w:type="spellStart"/>
      <w:r w:rsidRPr="002403F9">
        <w:rPr>
          <w:sz w:val="24"/>
          <w:lang w:val="fi-FI"/>
        </w:rPr>
        <w:t>crops</w:t>
      </w:r>
      <w:proofErr w:type="spellEnd"/>
      <w:r w:rsidRPr="002403F9">
        <w:rPr>
          <w:sz w:val="24"/>
          <w:lang w:val="fi-FI"/>
        </w:rPr>
        <w:t xml:space="preserve">”, Science 372(6537), s. 81–84, </w:t>
      </w:r>
      <w:hyperlink r:id="rId5" w:history="1">
        <w:r w:rsidRPr="002403F9">
          <w:rPr>
            <w:rStyle w:val="Hyperlink"/>
            <w:sz w:val="24"/>
            <w:lang w:val="fi-FI"/>
          </w:rPr>
          <w:t>https://doi.org/10.1126/science.abe1148</w:t>
        </w:r>
      </w:hyperlink>
      <w:r w:rsidRPr="002403F9">
        <w:rPr>
          <w:sz w:val="24"/>
          <w:lang w:val="fi-FI"/>
        </w:rPr>
        <w:t xml:space="preserve">; </w:t>
      </w:r>
      <w:proofErr w:type="spellStart"/>
      <w:r w:rsidRPr="002403F9">
        <w:rPr>
          <w:sz w:val="24"/>
          <w:lang w:val="fi-FI"/>
        </w:rPr>
        <w:t>Bonny</w:t>
      </w:r>
      <w:proofErr w:type="spellEnd"/>
      <w:r w:rsidRPr="002403F9">
        <w:rPr>
          <w:sz w:val="24"/>
          <w:lang w:val="fi-FI"/>
        </w:rPr>
        <w:t>, S., ”</w:t>
      </w:r>
      <w:proofErr w:type="spellStart"/>
      <w:r w:rsidRPr="002403F9">
        <w:rPr>
          <w:sz w:val="24"/>
          <w:lang w:val="fi-FI"/>
        </w:rPr>
        <w:t>Genetically</w:t>
      </w:r>
      <w:proofErr w:type="spellEnd"/>
      <w:r w:rsidRPr="002403F9">
        <w:rPr>
          <w:sz w:val="24"/>
          <w:lang w:val="fi-FI"/>
        </w:rPr>
        <w:t xml:space="preserve"> </w:t>
      </w:r>
      <w:proofErr w:type="spellStart"/>
      <w:r w:rsidRPr="002403F9">
        <w:rPr>
          <w:sz w:val="24"/>
          <w:lang w:val="fi-FI"/>
        </w:rPr>
        <w:t>Modified</w:t>
      </w:r>
      <w:proofErr w:type="spellEnd"/>
      <w:r w:rsidRPr="002403F9">
        <w:rPr>
          <w:sz w:val="24"/>
          <w:lang w:val="fi-FI"/>
        </w:rPr>
        <w:t xml:space="preserve"> </w:t>
      </w:r>
      <w:proofErr w:type="spellStart"/>
      <w:r w:rsidRPr="002403F9">
        <w:rPr>
          <w:sz w:val="24"/>
          <w:lang w:val="fi-FI"/>
        </w:rPr>
        <w:t>Herbicide-Tolerant</w:t>
      </w:r>
      <w:proofErr w:type="spellEnd"/>
      <w:r w:rsidRPr="002403F9">
        <w:rPr>
          <w:sz w:val="24"/>
          <w:lang w:val="fi-FI"/>
        </w:rPr>
        <w:t xml:space="preserve"> </w:t>
      </w:r>
      <w:proofErr w:type="spellStart"/>
      <w:r w:rsidRPr="002403F9">
        <w:rPr>
          <w:sz w:val="24"/>
          <w:lang w:val="fi-FI"/>
        </w:rPr>
        <w:t>Crops</w:t>
      </w:r>
      <w:proofErr w:type="spellEnd"/>
      <w:r w:rsidRPr="002403F9">
        <w:rPr>
          <w:sz w:val="24"/>
          <w:lang w:val="fi-FI"/>
        </w:rPr>
        <w:t xml:space="preserve">, </w:t>
      </w:r>
      <w:proofErr w:type="spellStart"/>
      <w:r w:rsidRPr="002403F9">
        <w:rPr>
          <w:sz w:val="24"/>
          <w:lang w:val="fi-FI"/>
        </w:rPr>
        <w:t>Weeds</w:t>
      </w:r>
      <w:proofErr w:type="spellEnd"/>
      <w:r w:rsidRPr="002403F9">
        <w:rPr>
          <w:sz w:val="24"/>
          <w:lang w:val="fi-FI"/>
        </w:rPr>
        <w:t xml:space="preserve">, and </w:t>
      </w:r>
      <w:proofErr w:type="spellStart"/>
      <w:r w:rsidRPr="002403F9">
        <w:rPr>
          <w:sz w:val="24"/>
          <w:lang w:val="fi-FI"/>
        </w:rPr>
        <w:t>Herbicides</w:t>
      </w:r>
      <w:proofErr w:type="spellEnd"/>
      <w:r w:rsidRPr="002403F9">
        <w:rPr>
          <w:sz w:val="24"/>
          <w:lang w:val="fi-FI"/>
        </w:rPr>
        <w:t xml:space="preserve">: </w:t>
      </w:r>
      <w:proofErr w:type="spellStart"/>
      <w:r w:rsidRPr="002403F9">
        <w:rPr>
          <w:sz w:val="24"/>
          <w:lang w:val="fi-FI"/>
        </w:rPr>
        <w:t>Overview</w:t>
      </w:r>
      <w:proofErr w:type="spellEnd"/>
      <w:r w:rsidRPr="002403F9">
        <w:rPr>
          <w:sz w:val="24"/>
          <w:lang w:val="fi-FI"/>
        </w:rPr>
        <w:t xml:space="preserve"> and </w:t>
      </w:r>
      <w:proofErr w:type="spellStart"/>
      <w:r w:rsidRPr="002403F9">
        <w:rPr>
          <w:sz w:val="24"/>
          <w:lang w:val="fi-FI"/>
        </w:rPr>
        <w:t>Impact</w:t>
      </w:r>
      <w:proofErr w:type="spellEnd"/>
      <w:r w:rsidRPr="002403F9">
        <w:rPr>
          <w:sz w:val="24"/>
          <w:lang w:val="fi-FI"/>
        </w:rPr>
        <w:t xml:space="preserve">”, </w:t>
      </w:r>
      <w:proofErr w:type="spellStart"/>
      <w:r w:rsidRPr="002403F9">
        <w:rPr>
          <w:sz w:val="24"/>
          <w:lang w:val="fi-FI"/>
        </w:rPr>
        <w:t>Environmental</w:t>
      </w:r>
      <w:proofErr w:type="spellEnd"/>
      <w:r w:rsidRPr="002403F9">
        <w:rPr>
          <w:sz w:val="24"/>
          <w:lang w:val="fi-FI"/>
        </w:rPr>
        <w:t xml:space="preserve"> Management, tammikuu 2016; 57(1), s. 31–48, </w:t>
      </w:r>
      <w:hyperlink r:id="rId6" w:history="1">
        <w:r w:rsidRPr="002403F9">
          <w:rPr>
            <w:rStyle w:val="Hyperlink"/>
            <w:sz w:val="24"/>
            <w:lang w:val="fi-FI"/>
          </w:rPr>
          <w:t>https://www.ncbi.nlm.nih.gov/pubmed/26296738</w:t>
        </w:r>
      </w:hyperlink>
      <w:r w:rsidRPr="002403F9">
        <w:rPr>
          <w:sz w:val="24"/>
          <w:lang w:val="fi-FI"/>
        </w:rPr>
        <w:t xml:space="preserve">; sekä </w:t>
      </w:r>
      <w:proofErr w:type="spellStart"/>
      <w:r w:rsidRPr="002403F9">
        <w:rPr>
          <w:sz w:val="24"/>
          <w:lang w:val="fi-FI"/>
        </w:rPr>
        <w:t>Benbrook</w:t>
      </w:r>
      <w:proofErr w:type="spellEnd"/>
      <w:r w:rsidRPr="002403F9">
        <w:rPr>
          <w:sz w:val="24"/>
          <w:lang w:val="fi-FI"/>
        </w:rPr>
        <w:t>, C. M., ”</w:t>
      </w:r>
      <w:proofErr w:type="spellStart"/>
      <w:r w:rsidRPr="002403F9">
        <w:rPr>
          <w:sz w:val="24"/>
          <w:lang w:val="fi-FI"/>
        </w:rPr>
        <w:t>Impacts</w:t>
      </w:r>
      <w:proofErr w:type="spellEnd"/>
      <w:r w:rsidRPr="002403F9">
        <w:rPr>
          <w:sz w:val="24"/>
          <w:lang w:val="fi-FI"/>
        </w:rPr>
        <w:t xml:space="preserve"> of </w:t>
      </w:r>
      <w:proofErr w:type="spellStart"/>
      <w:r w:rsidRPr="002403F9">
        <w:rPr>
          <w:sz w:val="24"/>
          <w:lang w:val="fi-FI"/>
        </w:rPr>
        <w:t>genetically</w:t>
      </w:r>
      <w:proofErr w:type="spellEnd"/>
      <w:r w:rsidRPr="002403F9">
        <w:rPr>
          <w:sz w:val="24"/>
          <w:lang w:val="fi-FI"/>
        </w:rPr>
        <w:t xml:space="preserve"> </w:t>
      </w:r>
      <w:proofErr w:type="spellStart"/>
      <w:r w:rsidRPr="002403F9">
        <w:rPr>
          <w:sz w:val="24"/>
          <w:lang w:val="fi-FI"/>
        </w:rPr>
        <w:t>engineered</w:t>
      </w:r>
      <w:proofErr w:type="spellEnd"/>
      <w:r w:rsidRPr="002403F9">
        <w:rPr>
          <w:sz w:val="24"/>
          <w:lang w:val="fi-FI"/>
        </w:rPr>
        <w:t xml:space="preserve"> </w:t>
      </w:r>
      <w:proofErr w:type="spellStart"/>
      <w:r w:rsidRPr="002403F9">
        <w:rPr>
          <w:sz w:val="24"/>
          <w:lang w:val="fi-FI"/>
        </w:rPr>
        <w:t>crops</w:t>
      </w:r>
      <w:proofErr w:type="spellEnd"/>
      <w:r w:rsidRPr="002403F9">
        <w:rPr>
          <w:sz w:val="24"/>
          <w:lang w:val="fi-FI"/>
        </w:rPr>
        <w:t xml:space="preserve"> on </w:t>
      </w:r>
      <w:proofErr w:type="spellStart"/>
      <w:r w:rsidRPr="002403F9">
        <w:rPr>
          <w:sz w:val="24"/>
          <w:lang w:val="fi-FI"/>
        </w:rPr>
        <w:t>pesticide</w:t>
      </w:r>
      <w:proofErr w:type="spellEnd"/>
      <w:r w:rsidRPr="002403F9">
        <w:rPr>
          <w:sz w:val="24"/>
          <w:lang w:val="fi-FI"/>
        </w:rPr>
        <w:t xml:space="preserve"> </w:t>
      </w:r>
      <w:proofErr w:type="spellStart"/>
      <w:r w:rsidRPr="002403F9">
        <w:rPr>
          <w:sz w:val="24"/>
          <w:lang w:val="fi-FI"/>
        </w:rPr>
        <w:t>use</w:t>
      </w:r>
      <w:proofErr w:type="spellEnd"/>
      <w:r w:rsidRPr="002403F9">
        <w:rPr>
          <w:sz w:val="24"/>
          <w:lang w:val="fi-FI"/>
        </w:rPr>
        <w:t xml:space="preserve"> in </w:t>
      </w:r>
      <w:proofErr w:type="spellStart"/>
      <w:r w:rsidRPr="002403F9">
        <w:rPr>
          <w:sz w:val="24"/>
          <w:lang w:val="fi-FI"/>
        </w:rPr>
        <w:t>the</w:t>
      </w:r>
      <w:proofErr w:type="spellEnd"/>
      <w:r w:rsidRPr="002403F9">
        <w:rPr>
          <w:sz w:val="24"/>
          <w:lang w:val="fi-FI"/>
        </w:rPr>
        <w:t xml:space="preserve"> U.S. - </w:t>
      </w:r>
      <w:proofErr w:type="spellStart"/>
      <w:r w:rsidRPr="002403F9">
        <w:rPr>
          <w:sz w:val="24"/>
          <w:lang w:val="fi-FI"/>
        </w:rPr>
        <w:t>the</w:t>
      </w:r>
      <w:proofErr w:type="spellEnd"/>
      <w:r w:rsidRPr="002403F9">
        <w:rPr>
          <w:sz w:val="24"/>
          <w:lang w:val="fi-FI"/>
        </w:rPr>
        <w:t xml:space="preserve"> </w:t>
      </w:r>
      <w:proofErr w:type="spellStart"/>
      <w:r w:rsidRPr="002403F9">
        <w:rPr>
          <w:sz w:val="24"/>
          <w:lang w:val="fi-FI"/>
        </w:rPr>
        <w:t>first</w:t>
      </w:r>
      <w:proofErr w:type="spellEnd"/>
      <w:r w:rsidRPr="002403F9">
        <w:rPr>
          <w:sz w:val="24"/>
          <w:lang w:val="fi-FI"/>
        </w:rPr>
        <w:t xml:space="preserve"> </w:t>
      </w:r>
      <w:proofErr w:type="spellStart"/>
      <w:r w:rsidRPr="002403F9">
        <w:rPr>
          <w:sz w:val="24"/>
          <w:lang w:val="fi-FI"/>
        </w:rPr>
        <w:t>sixteen</w:t>
      </w:r>
      <w:proofErr w:type="spellEnd"/>
      <w:r w:rsidRPr="002403F9">
        <w:rPr>
          <w:sz w:val="24"/>
          <w:lang w:val="fi-FI"/>
        </w:rPr>
        <w:t xml:space="preserve"> </w:t>
      </w:r>
      <w:proofErr w:type="spellStart"/>
      <w:r w:rsidRPr="002403F9">
        <w:rPr>
          <w:sz w:val="24"/>
          <w:lang w:val="fi-FI"/>
        </w:rPr>
        <w:t>years</w:t>
      </w:r>
      <w:proofErr w:type="spellEnd"/>
      <w:r w:rsidRPr="002403F9">
        <w:rPr>
          <w:sz w:val="24"/>
          <w:lang w:val="fi-FI"/>
        </w:rPr>
        <w:t xml:space="preserve">”, </w:t>
      </w:r>
      <w:proofErr w:type="spellStart"/>
      <w:r w:rsidRPr="002403F9">
        <w:rPr>
          <w:sz w:val="24"/>
          <w:lang w:val="fi-FI"/>
        </w:rPr>
        <w:t>Environmental</w:t>
      </w:r>
      <w:proofErr w:type="spellEnd"/>
      <w:r w:rsidRPr="002403F9">
        <w:rPr>
          <w:sz w:val="24"/>
          <w:lang w:val="fi-FI"/>
        </w:rPr>
        <w:t xml:space="preserve"> Sciences Europe, 28. syyskuuta 2012, Vol. 24(1), </w:t>
      </w:r>
      <w:hyperlink r:id="rId7" w:history="1">
        <w:r w:rsidRPr="002403F9">
          <w:rPr>
            <w:rStyle w:val="Hyperlink"/>
            <w:sz w:val="24"/>
            <w:lang w:val="fi-FI"/>
          </w:rPr>
          <w:t>https://enveurope.springeropen.com/articles/10.1186/2190-4715-24-24</w:t>
        </w:r>
      </w:hyperlink>
      <w:r w:rsidRPr="002403F9">
        <w:rPr>
          <w:sz w:val="24"/>
          <w:lang w:val="fi-FI"/>
        </w:rPr>
        <w:t>.</w:t>
      </w:r>
    </w:p>
  </w:footnote>
  <w:footnote w:id="8">
    <w:p w:rsidR="00796558" w:rsidRPr="002403F9" w:rsidRDefault="00796558" w:rsidP="00D7507D">
      <w:pPr>
        <w:pStyle w:val="FootnoteText"/>
        <w:ind w:left="567" w:hanging="567"/>
        <w:rPr>
          <w:sz w:val="24"/>
          <w:lang w:val="fi-FI"/>
        </w:rPr>
      </w:pPr>
      <w:r w:rsidRPr="002403F9">
        <w:rPr>
          <w:rStyle w:val="FootnoteReference"/>
          <w:sz w:val="24"/>
          <w:lang w:val="fi-FI"/>
        </w:rPr>
        <w:footnoteRef/>
      </w:r>
      <w:r w:rsidR="00D7507D" w:rsidRPr="002403F9">
        <w:rPr>
          <w:sz w:val="24"/>
          <w:lang w:val="fi-FI"/>
        </w:rPr>
        <w:t xml:space="preserve"> </w:t>
      </w:r>
      <w:r w:rsidR="00D7507D" w:rsidRPr="002403F9">
        <w:rPr>
          <w:sz w:val="24"/>
          <w:lang w:val="fi-FI"/>
        </w:rPr>
        <w:tab/>
      </w:r>
      <w:r w:rsidRPr="002403F9">
        <w:rPr>
          <w:sz w:val="24"/>
          <w:lang w:val="fi-FI"/>
        </w:rPr>
        <w:t xml:space="preserve">Euroopan parlamentin ja neuvoston asetus (EY) N:o 1107/2009, annettu 21. lokakuuta 2009, kasvinsuojeluaineiden markkinoille saattamisesta sekä neuvoston direktiivien 79/117/ETY ja 91/414/ETY kumoamisesta (EUVL L 309, 24.11.2009, s. 1, ELI: </w:t>
      </w:r>
      <w:hyperlink r:id="rId8" w:tooltip="Gives access to this document through its ELI URI." w:history="1">
        <w:r w:rsidRPr="002403F9">
          <w:rPr>
            <w:rStyle w:val="Hyperlink"/>
            <w:sz w:val="24"/>
            <w:lang w:val="fi-FI"/>
          </w:rPr>
          <w:t>http://data.europa.eu/eli/reg/2009/1107/oj</w:t>
        </w:r>
      </w:hyperlink>
      <w:r w:rsidRPr="002403F9">
        <w:rPr>
          <w:sz w:val="24"/>
          <w:lang w:val="fi-FI"/>
        </w:rPr>
        <w:t>).</w:t>
      </w:r>
    </w:p>
  </w:footnote>
  <w:footnote w:id="9">
    <w:p w:rsidR="00796558" w:rsidRPr="002403F9" w:rsidRDefault="00796558" w:rsidP="00D7507D">
      <w:pPr>
        <w:pStyle w:val="FootnoteText"/>
        <w:ind w:left="567" w:hanging="567"/>
        <w:rPr>
          <w:sz w:val="24"/>
          <w:lang w:val="fi-FI"/>
        </w:rPr>
      </w:pPr>
      <w:r w:rsidRPr="002403F9">
        <w:rPr>
          <w:rStyle w:val="FootnoteReference"/>
          <w:sz w:val="24"/>
          <w:lang w:val="fi-FI"/>
        </w:rPr>
        <w:footnoteRef/>
      </w:r>
      <w:r w:rsidR="00D7507D" w:rsidRPr="002403F9">
        <w:rPr>
          <w:sz w:val="24"/>
          <w:lang w:val="fi-FI"/>
        </w:rPr>
        <w:t xml:space="preserve"> </w:t>
      </w:r>
      <w:r w:rsidR="00D7507D" w:rsidRPr="002403F9">
        <w:rPr>
          <w:sz w:val="24"/>
          <w:lang w:val="fi-FI"/>
        </w:rPr>
        <w:tab/>
      </w:r>
      <w:hyperlink r:id="rId9" w:history="1">
        <w:r w:rsidRPr="002403F9">
          <w:rPr>
            <w:rStyle w:val="Hyperlink"/>
            <w:sz w:val="24"/>
            <w:lang w:val="fi-FI"/>
          </w:rPr>
          <w:t>https://efsa.onlinelibrary.wiley.com/action/downloadSupplement?doi=10.2903%‌2Fj.efsa.2024.8655&amp;file=efs28655-sup-0008-Annex8.pdf</w:t>
        </w:r>
      </w:hyperlink>
      <w:r w:rsidRPr="002403F9">
        <w:rPr>
          <w:rStyle w:val="Hyperlink"/>
          <w:sz w:val="24"/>
          <w:lang w:val="fi-FI"/>
        </w:rPr>
        <w:t>.</w:t>
      </w:r>
    </w:p>
  </w:footnote>
  <w:footnote w:id="10">
    <w:p w:rsidR="00796558" w:rsidRPr="002403F9" w:rsidRDefault="00796558" w:rsidP="00D7507D">
      <w:pPr>
        <w:pStyle w:val="FootnoteText"/>
        <w:ind w:left="567" w:hanging="567"/>
        <w:rPr>
          <w:sz w:val="24"/>
          <w:lang w:val="en-GB"/>
        </w:rPr>
      </w:pPr>
      <w:r w:rsidRPr="002403F9">
        <w:rPr>
          <w:rStyle w:val="FootnoteReference"/>
          <w:sz w:val="24"/>
          <w:lang w:val="fi-FI"/>
        </w:rPr>
        <w:footnoteRef/>
      </w:r>
      <w:r w:rsidR="00D7507D" w:rsidRPr="002403F9">
        <w:rPr>
          <w:sz w:val="24"/>
          <w:lang w:val="en-GB"/>
        </w:rPr>
        <w:t xml:space="preserve"> </w:t>
      </w:r>
      <w:r w:rsidR="00D7507D" w:rsidRPr="002403F9">
        <w:rPr>
          <w:sz w:val="24"/>
          <w:lang w:val="en-GB"/>
        </w:rPr>
        <w:tab/>
      </w:r>
      <w:r w:rsidRPr="002403F9">
        <w:rPr>
          <w:sz w:val="24"/>
          <w:lang w:val="en-GB"/>
        </w:rPr>
        <w:t xml:space="preserve">Strategic Dialogue on the Future of EU Agriculture - A shared prospect for farming and food in Europe, </w:t>
      </w:r>
      <w:proofErr w:type="spellStart"/>
      <w:r w:rsidRPr="002403F9">
        <w:rPr>
          <w:sz w:val="24"/>
          <w:lang w:val="en-GB"/>
        </w:rPr>
        <w:t>syyskuu</w:t>
      </w:r>
      <w:proofErr w:type="spellEnd"/>
      <w:r w:rsidRPr="002403F9">
        <w:rPr>
          <w:sz w:val="24"/>
          <w:lang w:val="en-GB"/>
        </w:rPr>
        <w:t xml:space="preserve"> </w:t>
      </w:r>
      <w:proofErr w:type="gramStart"/>
      <w:r w:rsidRPr="002403F9">
        <w:rPr>
          <w:sz w:val="24"/>
          <w:lang w:val="en-GB"/>
        </w:rPr>
        <w:t>2024,</w:t>
      </w:r>
      <w:r w:rsidRPr="002403F9">
        <w:rPr>
          <w:sz w:val="24"/>
          <w:lang w:val="en-GB"/>
        </w:rPr>
        <w:tab/>
      </w:r>
      <w:hyperlink r:id="rId10" w:history="1">
        <w:r w:rsidRPr="002403F9">
          <w:rPr>
            <w:rStyle w:val="Hyperlink"/>
            <w:sz w:val="24"/>
            <w:lang w:val="en-GB"/>
          </w:rPr>
          <w:t>https://agriculture.ec.europa.eu/document/download/171329ff-0f50-4fa5-946f-aea11032172e_en?filename=strategic-dialogue-report-2024_en.pdf</w:t>
        </w:r>
      </w:hyperlink>
      <w:r w:rsidRPr="002403F9">
        <w:rPr>
          <w:rStyle w:val="Hyperlink"/>
          <w:sz w:val="24"/>
          <w:lang w:val="en-GB"/>
        </w:rPr>
        <w:t>.</w:t>
      </w:r>
      <w:proofErr w:type="gramEnd"/>
    </w:p>
  </w:footnote>
  <w:footnote w:id="11">
    <w:p w:rsidR="00796558" w:rsidRPr="002403F9" w:rsidRDefault="00796558" w:rsidP="00D7507D">
      <w:pPr>
        <w:pStyle w:val="FootnoteText"/>
        <w:ind w:left="567" w:hanging="567"/>
        <w:rPr>
          <w:sz w:val="24"/>
          <w:szCs w:val="22"/>
          <w:lang w:val="en-GB"/>
        </w:rPr>
      </w:pPr>
      <w:r w:rsidRPr="002403F9">
        <w:rPr>
          <w:rStyle w:val="FootnoteReference"/>
          <w:sz w:val="24"/>
          <w:lang w:val="fi-FI"/>
        </w:rPr>
        <w:footnoteRef/>
      </w:r>
      <w:r w:rsidR="00D7507D" w:rsidRPr="002403F9">
        <w:rPr>
          <w:sz w:val="24"/>
          <w:lang w:val="en-GB"/>
        </w:rPr>
        <w:t xml:space="preserve"> </w:t>
      </w:r>
      <w:r w:rsidR="00D7507D" w:rsidRPr="002403F9">
        <w:rPr>
          <w:sz w:val="24"/>
          <w:lang w:val="en-GB"/>
        </w:rPr>
        <w:tab/>
      </w:r>
      <w:hyperlink r:id="rId11" w:history="1">
        <w:r w:rsidRPr="002403F9">
          <w:rPr>
            <w:rStyle w:val="Hyperlink"/>
            <w:sz w:val="24"/>
            <w:lang w:val="en-GB"/>
          </w:rPr>
          <w:t>https://www.ohchr.org/en/documents/thematic-reports/ahrc3448-report-special-rapporteur-right-food</w:t>
        </w:r>
      </w:hyperlink>
      <w:r w:rsidRPr="002403F9">
        <w:rPr>
          <w:sz w:val="24"/>
          <w:lang w:val="en-GB"/>
        </w:rPr>
        <w:t>.</w:t>
      </w:r>
    </w:p>
  </w:footnote>
  <w:footnote w:id="12">
    <w:p w:rsidR="00796558" w:rsidRPr="002403F9" w:rsidRDefault="00796558" w:rsidP="00D7507D">
      <w:pPr>
        <w:pStyle w:val="FootnoteText"/>
        <w:ind w:left="567" w:hanging="567"/>
        <w:rPr>
          <w:sz w:val="24"/>
          <w:lang w:val="en-GB"/>
        </w:rPr>
      </w:pPr>
      <w:r w:rsidRPr="002403F9">
        <w:rPr>
          <w:rStyle w:val="FootnoteReference"/>
          <w:sz w:val="24"/>
          <w:lang w:val="fi-FI"/>
        </w:rPr>
        <w:footnoteRef/>
      </w:r>
      <w:r w:rsidR="00D7507D" w:rsidRPr="002403F9">
        <w:rPr>
          <w:sz w:val="24"/>
          <w:lang w:val="en-GB"/>
        </w:rPr>
        <w:t xml:space="preserve"> </w:t>
      </w:r>
      <w:r w:rsidR="00D7507D" w:rsidRPr="002403F9">
        <w:rPr>
          <w:sz w:val="24"/>
          <w:lang w:val="en-GB"/>
        </w:rPr>
        <w:tab/>
      </w:r>
      <w:hyperlink r:id="rId12" w:history="1">
        <w:r w:rsidRPr="002403F9">
          <w:rPr>
            <w:rStyle w:val="Hyperlink"/>
            <w:sz w:val="24"/>
            <w:lang w:val="en-GB"/>
          </w:rPr>
          <w:t>https://indicators.report/targets/3-9/</w:t>
        </w:r>
      </w:hyperlink>
      <w:r w:rsidRPr="002403F9">
        <w:rPr>
          <w:rStyle w:val="Hyperlink"/>
          <w:sz w:val="24"/>
          <w:lang w:val="en-GB"/>
        </w:rPr>
        <w:t>.</w:t>
      </w:r>
    </w:p>
  </w:footnote>
  <w:footnote w:id="13">
    <w:p w:rsidR="00796558" w:rsidRPr="002403F9" w:rsidRDefault="00796558" w:rsidP="00D7507D">
      <w:pPr>
        <w:pStyle w:val="FootnoteText"/>
        <w:ind w:left="567" w:hanging="567"/>
        <w:rPr>
          <w:sz w:val="24"/>
          <w:lang w:val="en-GB"/>
        </w:rPr>
      </w:pPr>
      <w:r w:rsidRPr="002403F9">
        <w:rPr>
          <w:rStyle w:val="FootnoteReference"/>
          <w:sz w:val="24"/>
          <w:lang w:val="fi-FI"/>
        </w:rPr>
        <w:footnoteRef/>
      </w:r>
      <w:r w:rsidR="00D7507D" w:rsidRPr="002403F9">
        <w:rPr>
          <w:sz w:val="24"/>
          <w:lang w:val="en-GB"/>
        </w:rPr>
        <w:t xml:space="preserve"> </w:t>
      </w:r>
      <w:r w:rsidR="00D7507D" w:rsidRPr="002403F9">
        <w:rPr>
          <w:sz w:val="24"/>
          <w:lang w:val="en-GB"/>
        </w:rPr>
        <w:tab/>
      </w:r>
      <w:hyperlink r:id="rId13" w:history="1">
        <w:r w:rsidRPr="002403F9">
          <w:rPr>
            <w:rStyle w:val="Hyperlink"/>
            <w:sz w:val="24"/>
            <w:lang w:val="en-GB"/>
          </w:rPr>
          <w:t>https://ec.europa.eu/commission/presscorner/detail/fi/ip_22_7834</w:t>
        </w:r>
      </w:hyperlink>
      <w:r w:rsidRPr="002403F9">
        <w:rPr>
          <w:sz w:val="24"/>
          <w:lang w:val="en-GB"/>
        </w:rPr>
        <w:t>.</w:t>
      </w:r>
    </w:p>
  </w:footnote>
  <w:footnote w:id="14">
    <w:p w:rsidR="00796558" w:rsidRPr="002403F9" w:rsidRDefault="00796558" w:rsidP="00D7507D">
      <w:pPr>
        <w:pStyle w:val="FootnoteText"/>
        <w:ind w:left="567" w:hanging="567"/>
        <w:rPr>
          <w:sz w:val="24"/>
          <w:lang w:val="en-GB"/>
        </w:rPr>
      </w:pPr>
      <w:r w:rsidRPr="002403F9">
        <w:rPr>
          <w:rStyle w:val="FootnoteReference"/>
          <w:sz w:val="24"/>
          <w:lang w:val="fi-FI"/>
        </w:rPr>
        <w:footnoteRef/>
      </w:r>
      <w:r w:rsidR="00D7507D" w:rsidRPr="002403F9">
        <w:rPr>
          <w:sz w:val="24"/>
          <w:lang w:val="en-GB"/>
        </w:rPr>
        <w:t xml:space="preserve"> </w:t>
      </w:r>
      <w:r w:rsidR="00D7507D" w:rsidRPr="002403F9">
        <w:rPr>
          <w:sz w:val="24"/>
          <w:lang w:val="en-GB"/>
        </w:rPr>
        <w:tab/>
      </w:r>
      <w:hyperlink r:id="rId14" w:history="1">
        <w:r w:rsidRPr="002403F9">
          <w:rPr>
            <w:rStyle w:val="Hyperlink"/>
            <w:sz w:val="24"/>
            <w:lang w:val="en-GB"/>
          </w:rPr>
          <w:t>https://commission.europa.eu/document/2c64e540-c07a-4376-a1da-368d289f4afe_en</w:t>
        </w:r>
      </w:hyperlink>
    </w:p>
  </w:footnote>
  <w:footnote w:id="15">
    <w:p w:rsidR="00796558" w:rsidRPr="002403F9" w:rsidRDefault="00796558" w:rsidP="00D7507D">
      <w:pPr>
        <w:pStyle w:val="FootnoteText"/>
        <w:ind w:left="567" w:hanging="567"/>
        <w:rPr>
          <w:sz w:val="24"/>
          <w:szCs w:val="22"/>
          <w:lang w:val="fi-FI"/>
        </w:rPr>
      </w:pPr>
      <w:r w:rsidRPr="002403F9">
        <w:rPr>
          <w:rStyle w:val="FootnoteReference"/>
          <w:sz w:val="24"/>
          <w:lang w:val="fi-FI"/>
        </w:rPr>
        <w:footnoteRef/>
      </w:r>
      <w:r w:rsidR="00D7507D" w:rsidRPr="002403F9">
        <w:rPr>
          <w:sz w:val="24"/>
          <w:lang w:val="fi-FI"/>
        </w:rPr>
        <w:t xml:space="preserve"> </w:t>
      </w:r>
      <w:r w:rsidR="00D7507D" w:rsidRPr="002403F9">
        <w:rPr>
          <w:sz w:val="24"/>
          <w:lang w:val="fi-FI"/>
        </w:rPr>
        <w:tab/>
      </w:r>
      <w:r w:rsidRPr="002403F9">
        <w:rPr>
          <w:sz w:val="24"/>
          <w:lang w:val="fi-FI"/>
        </w:rPr>
        <w:t xml:space="preserve">Asetuksen (EU) </w:t>
      </w:r>
      <w:proofErr w:type="gramStart"/>
      <w:r w:rsidRPr="002403F9">
        <w:rPr>
          <w:sz w:val="24"/>
          <w:lang w:val="fi-FI"/>
        </w:rPr>
        <w:t>N:o</w:t>
      </w:r>
      <w:proofErr w:type="gramEnd"/>
      <w:r w:rsidRPr="002403F9">
        <w:rPr>
          <w:sz w:val="24"/>
          <w:lang w:val="fi-FI"/>
        </w:rPr>
        <w:t> 182/2011 6 artiklan 3 kohdan mukaisesti komissio ”voi hyväksyä” luvan – eikä ”hyväksyy” luvan –, jos jäsenvaltiot eivät muutoksenhakukomiteassa anna määräenemmistöllä puoltavaa lausuntoa.</w:t>
      </w:r>
    </w:p>
  </w:footnote>
  <w:footnote w:id="16">
    <w:p w:rsidR="00796558" w:rsidRPr="002403F9" w:rsidRDefault="00796558" w:rsidP="00D7507D">
      <w:pPr>
        <w:pStyle w:val="FootnoteText"/>
        <w:ind w:left="567" w:hanging="567"/>
        <w:rPr>
          <w:sz w:val="24"/>
          <w:lang w:val="fi-FI"/>
        </w:rPr>
      </w:pPr>
      <w:r w:rsidRPr="002403F9">
        <w:rPr>
          <w:rStyle w:val="FootnoteReference"/>
          <w:sz w:val="24"/>
          <w:lang w:val="fi-FI"/>
        </w:rPr>
        <w:footnoteRef/>
      </w:r>
      <w:r w:rsidR="00D7507D" w:rsidRPr="002403F9">
        <w:rPr>
          <w:sz w:val="24"/>
          <w:lang w:val="fi-FI"/>
        </w:rPr>
        <w:t xml:space="preserve"> </w:t>
      </w:r>
      <w:r w:rsidR="00D7507D" w:rsidRPr="002403F9">
        <w:rPr>
          <w:sz w:val="24"/>
          <w:lang w:val="fi-FI"/>
        </w:rPr>
        <w:tab/>
      </w:r>
      <w:r w:rsidRPr="002403F9">
        <w:rPr>
          <w:sz w:val="24"/>
          <w:lang w:val="fi-FI"/>
        </w:rPr>
        <w:t xml:space="preserve">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hyperlink r:id="rId15" w:tooltip="Gives access to this document through its ELI URI." w:history="1">
        <w:r w:rsidRPr="002403F9">
          <w:rPr>
            <w:rStyle w:val="Hyperlink"/>
            <w:sz w:val="24"/>
            <w:lang w:val="fi-FI"/>
          </w:rPr>
          <w:t>http://data.europa.eu/eli/reg/2002/178/oj</w:t>
        </w:r>
      </w:hyperlink>
      <w:r w:rsidRPr="002403F9">
        <w:rPr>
          <w:sz w:val="24"/>
          <w:lang w:val="fi-FI"/>
        </w:rPr>
        <w:t>).</w:t>
      </w:r>
    </w:p>
  </w:footnote>
  <w:footnote w:id="17">
    <w:p w:rsidR="00796558" w:rsidRPr="002403F9" w:rsidRDefault="00796558" w:rsidP="00D7507D">
      <w:pPr>
        <w:pStyle w:val="FootnoteText"/>
        <w:ind w:left="567" w:hanging="567"/>
        <w:rPr>
          <w:sz w:val="24"/>
          <w:lang w:val="fi-FI"/>
        </w:rPr>
      </w:pPr>
      <w:r w:rsidRPr="002403F9">
        <w:rPr>
          <w:rStyle w:val="FootnoteReference"/>
          <w:sz w:val="24"/>
          <w:lang w:val="fi-FI"/>
        </w:rPr>
        <w:footnoteRef/>
      </w:r>
      <w:r w:rsidR="00D7507D" w:rsidRPr="002403F9">
        <w:rPr>
          <w:sz w:val="24"/>
          <w:lang w:val="fi-FI"/>
        </w:rPr>
        <w:t xml:space="preserve"> </w:t>
      </w:r>
      <w:r w:rsidR="00D7507D" w:rsidRPr="002403F9">
        <w:rPr>
          <w:sz w:val="24"/>
          <w:lang w:val="fi-FI"/>
        </w:rPr>
        <w:tab/>
      </w:r>
      <w:r w:rsidRPr="002403F9">
        <w:rPr>
          <w:sz w:val="24"/>
          <w:lang w:val="fi-FI"/>
        </w:rPr>
        <w:t xml:space="preserve">YK:n </w:t>
      </w:r>
      <w:proofErr w:type="spellStart"/>
      <w:r w:rsidRPr="002403F9">
        <w:rPr>
          <w:sz w:val="24"/>
          <w:lang w:val="fi-FI"/>
        </w:rPr>
        <w:t>biodiversiteettisopimusta</w:t>
      </w:r>
      <w:proofErr w:type="spellEnd"/>
      <w:r w:rsidRPr="002403F9">
        <w:rPr>
          <w:sz w:val="24"/>
          <w:lang w:val="fi-FI"/>
        </w:rPr>
        <w:t xml:space="preserve"> koskevassa COP15-kokouksessa sovittiin joulukuussa 2022 maailmanlaajuisesta </w:t>
      </w:r>
      <w:proofErr w:type="spellStart"/>
      <w:r w:rsidRPr="002403F9">
        <w:rPr>
          <w:sz w:val="24"/>
          <w:lang w:val="fi-FI"/>
        </w:rPr>
        <w:t>biodiversiteettikehyksestä</w:t>
      </w:r>
      <w:proofErr w:type="spellEnd"/>
      <w:r w:rsidRPr="002403F9">
        <w:rPr>
          <w:sz w:val="24"/>
          <w:lang w:val="fi-FI"/>
        </w:rPr>
        <w:t xml:space="preserve">, johon sisältyy maailmanlaajuinen tavoite vähentää torjunta-aineista aiheutuvia riskejä vähintään 50 prosentilla vuoteen 2030 mennessä (ks. </w:t>
      </w:r>
      <w:hyperlink r:id="rId16" w:history="1">
        <w:r w:rsidRPr="002403F9">
          <w:rPr>
            <w:rStyle w:val="Hyperlink"/>
            <w:sz w:val="24"/>
            <w:lang w:val="fi-FI"/>
          </w:rPr>
          <w:t>https://ec.europa.eu/commission/presscorner/detail/fi/ip_22_7834</w:t>
        </w:r>
      </w:hyperlink>
    </w:p>
  </w:footnote>
  <w:footnote w:id="18">
    <w:p w:rsidR="00796558" w:rsidRPr="002403F9" w:rsidRDefault="00796558" w:rsidP="00D7507D">
      <w:pPr>
        <w:pStyle w:val="FootnoteText"/>
        <w:ind w:left="567" w:hanging="567"/>
        <w:rPr>
          <w:sz w:val="24"/>
          <w:lang w:val="fi-FI"/>
        </w:rPr>
      </w:pPr>
      <w:r w:rsidRPr="002403F9">
        <w:rPr>
          <w:rStyle w:val="FootnoteReference"/>
          <w:sz w:val="24"/>
          <w:lang w:val="fi-FI"/>
        </w:rPr>
        <w:footnoteRef/>
      </w:r>
      <w:r w:rsidR="00D7507D" w:rsidRPr="002403F9">
        <w:rPr>
          <w:sz w:val="24"/>
          <w:lang w:val="fi-FI"/>
        </w:rPr>
        <w:t xml:space="preserve"> </w:t>
      </w:r>
      <w:r w:rsidR="00D7507D" w:rsidRPr="002403F9">
        <w:rPr>
          <w:sz w:val="24"/>
          <w:lang w:val="fi-FI"/>
        </w:rPr>
        <w:tab/>
      </w:r>
      <w:r w:rsidRPr="002403F9">
        <w:rPr>
          <w:sz w:val="24"/>
          <w:lang w:val="fi-FI"/>
        </w:rPr>
        <w:t xml:space="preserve">Kuten esitetään 14. lokakuuta 2020 annetun komission tiedonannon ”Kestävyyttä edistävä kemikaalistrategia – Kohti myrkytöntä ympäristöä” COM(2020)0667 liitteessä, </w:t>
      </w:r>
      <w:hyperlink r:id="rId17" w:anchor="document2" w:history="1">
        <w:r w:rsidRPr="002403F9">
          <w:rPr>
            <w:rStyle w:val="Hyperlink"/>
            <w:sz w:val="24"/>
            <w:lang w:val="fi-FI"/>
          </w:rPr>
          <w:t>https://eur-lex.europa.eu/legal-content/FI/TXT/?uri=COM%3A2020%3A667%3AFIN#document2</w:t>
        </w:r>
      </w:hyperlink>
      <w:r w:rsidRPr="002403F9">
        <w:rPr>
          <w:sz w:val="24"/>
          <w:lang w:val="fi-FI"/>
        </w:rPr>
        <w:t>.</w:t>
      </w:r>
    </w:p>
  </w:footnote>
  <w:footnote w:id="19">
    <w:p w:rsidR="00796558" w:rsidRPr="008B12D2" w:rsidRDefault="00796558" w:rsidP="00D7507D">
      <w:pPr>
        <w:pStyle w:val="FootnoteText"/>
        <w:ind w:left="567" w:hanging="567"/>
        <w:rPr>
          <w:sz w:val="24"/>
          <w:lang w:val="fi-FI"/>
        </w:rPr>
      </w:pPr>
      <w:r w:rsidRPr="002403F9">
        <w:rPr>
          <w:rStyle w:val="FootnoteReference"/>
          <w:sz w:val="24"/>
          <w:lang w:val="fi-FI"/>
        </w:rPr>
        <w:footnoteRef/>
      </w:r>
      <w:r w:rsidR="00D7507D" w:rsidRPr="002403F9">
        <w:rPr>
          <w:sz w:val="24"/>
          <w:lang w:val="fi-FI"/>
        </w:rPr>
        <w:t xml:space="preserve"> </w:t>
      </w:r>
      <w:r w:rsidR="00D7507D" w:rsidRPr="002403F9">
        <w:rPr>
          <w:sz w:val="24"/>
          <w:lang w:val="fi-FI"/>
        </w:rPr>
        <w:tab/>
      </w:r>
      <w:hyperlink r:id="rId18" w:history="1">
        <w:r w:rsidR="008B12D2" w:rsidRPr="008B12D2">
          <w:rPr>
            <w:rStyle w:val="Hyperlink"/>
            <w:sz w:val="24"/>
            <w:lang w:val="fi-FI"/>
          </w:rPr>
          <w:t>https://tillymetz.lu/wp-content/uploads/2020/09/Co-signed-letter-MEP-Metz.pdf</w:t>
        </w:r>
      </w:hyperlink>
      <w:r w:rsidR="008B12D2" w:rsidRPr="008B12D2">
        <w:rPr>
          <w:rStyle w:val="Hyperlink"/>
          <w:sz w:val="24"/>
          <w:lang w:val="fi-FI"/>
        </w:rPr>
        <w:t>.</w:t>
      </w:r>
    </w:p>
  </w:footnote>
  <w:footnote w:id="20">
    <w:p w:rsidR="00796558" w:rsidRPr="00D7507D" w:rsidRDefault="00796558" w:rsidP="00D7507D">
      <w:pPr>
        <w:pStyle w:val="FootnoteText"/>
        <w:ind w:left="567" w:hanging="567"/>
        <w:rPr>
          <w:sz w:val="24"/>
          <w:szCs w:val="22"/>
          <w:lang w:val="fi-FI"/>
        </w:rPr>
      </w:pPr>
      <w:r w:rsidRPr="002403F9">
        <w:rPr>
          <w:rStyle w:val="FootnoteReference"/>
          <w:sz w:val="24"/>
          <w:lang w:val="fi-FI"/>
        </w:rPr>
        <w:footnoteRef/>
      </w:r>
      <w:r w:rsidR="00D7507D" w:rsidRPr="002403F9">
        <w:rPr>
          <w:sz w:val="24"/>
          <w:lang w:val="fi-FI"/>
        </w:rPr>
        <w:t xml:space="preserve"> </w:t>
      </w:r>
      <w:r w:rsidR="00D7507D" w:rsidRPr="002403F9">
        <w:rPr>
          <w:sz w:val="24"/>
          <w:lang w:val="fi-FI"/>
        </w:rPr>
        <w:tab/>
      </w:r>
      <w:r w:rsidRPr="002403F9">
        <w:rPr>
          <w:sz w:val="24"/>
          <w:lang w:val="fi-FI"/>
        </w:rPr>
        <w:t>Euroopan parlamentin päätöslauselma, annettu 15. tammikuuta 2020, Euroopan vihreän kehityksen ohjelmasta (EUVL C 270, 7.7.2021, s. 2), 102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FI"/>
    <w:docVar w:name="dvnumam" w:val="0"/>
    <w:docVar w:name="dvpe" w:val="763.293"/>
    <w:docVar w:name="dvtitre" w:val="Euroopan parlamentin päätöslauselma xx. marraskuuta 2024 ehdotuksesta komission täytäntöönpanopäätökseksi luvan antamisesta muuntogeenistä maissia DP202216 sisältävien, siitä koostuvien tai siitä valmistettujen tuotteiden saattamiseksi markkinoille Euroopan parlamentin ja neuvoston asetuksen (EY) N:o 1829/2003 mukaisesti(D098501/04 – 2024/2837(RSP))"/>
  </w:docVars>
  <w:rsids>
    <w:rsidRoot w:val="00833934"/>
    <w:rsid w:val="00002272"/>
    <w:rsid w:val="00064002"/>
    <w:rsid w:val="000677B9"/>
    <w:rsid w:val="000831BA"/>
    <w:rsid w:val="000A42CC"/>
    <w:rsid w:val="000E7DD9"/>
    <w:rsid w:val="0010095E"/>
    <w:rsid w:val="0012480E"/>
    <w:rsid w:val="00125B37"/>
    <w:rsid w:val="00187494"/>
    <w:rsid w:val="001F32AE"/>
    <w:rsid w:val="002403F9"/>
    <w:rsid w:val="002767FF"/>
    <w:rsid w:val="002B18FE"/>
    <w:rsid w:val="002B5493"/>
    <w:rsid w:val="00343214"/>
    <w:rsid w:val="00361C00"/>
    <w:rsid w:val="00377CC9"/>
    <w:rsid w:val="00390F5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E1B"/>
    <w:rsid w:val="005C2568"/>
    <w:rsid w:val="005F1B17"/>
    <w:rsid w:val="006037C0"/>
    <w:rsid w:val="006631B6"/>
    <w:rsid w:val="00680577"/>
    <w:rsid w:val="006F74FA"/>
    <w:rsid w:val="00731ADD"/>
    <w:rsid w:val="00734777"/>
    <w:rsid w:val="00747932"/>
    <w:rsid w:val="00751A4A"/>
    <w:rsid w:val="00756632"/>
    <w:rsid w:val="00762C74"/>
    <w:rsid w:val="00786EC0"/>
    <w:rsid w:val="00796558"/>
    <w:rsid w:val="007D1690"/>
    <w:rsid w:val="007E22AD"/>
    <w:rsid w:val="00817416"/>
    <w:rsid w:val="00833934"/>
    <w:rsid w:val="00842779"/>
    <w:rsid w:val="00865F67"/>
    <w:rsid w:val="00881A7B"/>
    <w:rsid w:val="008840E5"/>
    <w:rsid w:val="00887B3E"/>
    <w:rsid w:val="008B12D2"/>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507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5CC1B69-A96C-471C-A3D2-FF280F891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96558"/>
    <w:pPr>
      <w:spacing w:before="480" w:after="240"/>
    </w:pPr>
  </w:style>
  <w:style w:type="paragraph" w:customStyle="1" w:styleId="NormalHanging12a">
    <w:name w:val="NormalHanging12a"/>
    <w:basedOn w:val="Normal"/>
    <w:rsid w:val="00796558"/>
    <w:pPr>
      <w:spacing w:after="240"/>
      <w:ind w:left="567" w:hanging="567"/>
    </w:pPr>
  </w:style>
  <w:style w:type="character" w:styleId="Hyperlink">
    <w:name w:val="Hyperlink"/>
    <w:basedOn w:val="DefaultParagraphFont"/>
    <w:uiPriority w:val="99"/>
    <w:rsid w:val="00796558"/>
    <w:rPr>
      <w:color w:val="0563C1" w:themeColor="hyperlink"/>
      <w:u w:val="single"/>
    </w:rPr>
  </w:style>
  <w:style w:type="paragraph" w:styleId="Footer">
    <w:name w:val="footer"/>
    <w:basedOn w:val="Normal"/>
    <w:link w:val="FooterChar"/>
    <w:rsid w:val="00377CC9"/>
    <w:pPr>
      <w:tabs>
        <w:tab w:val="center" w:pos="4513"/>
        <w:tab w:val="right" w:pos="9026"/>
      </w:tabs>
    </w:pPr>
  </w:style>
  <w:style w:type="character" w:customStyle="1" w:styleId="FooterChar">
    <w:name w:val="Footer Char"/>
    <w:basedOn w:val="DefaultParagraphFont"/>
    <w:link w:val="Footer"/>
    <w:rsid w:val="00377CC9"/>
    <w:rPr>
      <w:sz w:val="24"/>
      <w:lang w:val="fi-FI"/>
    </w:rPr>
  </w:style>
  <w:style w:type="paragraph" w:styleId="BalloonText">
    <w:name w:val="Balloon Text"/>
    <w:basedOn w:val="Normal"/>
    <w:link w:val="BalloonTextChar"/>
    <w:rsid w:val="00377CC9"/>
    <w:rPr>
      <w:rFonts w:ascii="Segoe UI" w:hAnsi="Segoe UI" w:cs="Segoe UI"/>
      <w:sz w:val="18"/>
      <w:szCs w:val="18"/>
    </w:rPr>
  </w:style>
  <w:style w:type="character" w:customStyle="1" w:styleId="BalloonTextChar">
    <w:name w:val="Balloon Text Char"/>
    <w:basedOn w:val="DefaultParagraphFont"/>
    <w:link w:val="BalloonText"/>
    <w:rsid w:val="00377CC9"/>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9/1107/oj" TargetMode="External"/><Relationship Id="rId13" Type="http://schemas.openxmlformats.org/officeDocument/2006/relationships/hyperlink" Target="https://ec.europa.eu/commission/presscorner/detail/fi/ip_22_7834" TargetMode="External"/><Relationship Id="rId18" Type="http://schemas.openxmlformats.org/officeDocument/2006/relationships/hyperlink" Target="https://tillymetz.lu/wp-content/uploads/2020/09/Co-signed-letter-MEP-Metz.pdf" TargetMode="External"/><Relationship Id="rId3" Type="http://schemas.openxmlformats.org/officeDocument/2006/relationships/hyperlink" Target="https://doi.org/10.2903/j.efsa.2024.8655"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indicators.report/targets/3-9/" TargetMode="External"/><Relationship Id="rId17" Type="http://schemas.openxmlformats.org/officeDocument/2006/relationships/hyperlink" Target="https://eur-lex.europa.eu/legal-content/FI/TXT/?uri=CELEX:52020DC0667" TargetMode="External"/><Relationship Id="rId2" Type="http://schemas.openxmlformats.org/officeDocument/2006/relationships/hyperlink" Target="http://data.europa.eu/eli/reg/2011/182/oj" TargetMode="External"/><Relationship Id="rId16" Type="http://schemas.openxmlformats.org/officeDocument/2006/relationships/hyperlink" Target="https://ec.europa.eu/commission/presscorner/detail/fi/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ohchr.org/en/documents/thematic-reports/ahrc3448-report-special-rapporteur-right-food" TargetMode="External"/><Relationship Id="rId5" Type="http://schemas.openxmlformats.org/officeDocument/2006/relationships/hyperlink" Target="https://doi.org/10.1126/science.abe1148" TargetMode="External"/><Relationship Id="rId15" Type="http://schemas.openxmlformats.org/officeDocument/2006/relationships/hyperlink" Target="http://data.europa.eu/eli/reg/2002/178/oj" TargetMode="External"/><Relationship Id="rId10" Type="http://schemas.openxmlformats.org/officeDocument/2006/relationships/hyperlink" Target="https://agriculture.ec.europa.eu/document/download/171329ff-0f50-4fa5-946f-aea11032172e_en?filename=strategic-dialogue-report-2024_en.pdf" TargetMode="External"/><Relationship Id="rId4" Type="http://schemas.openxmlformats.org/officeDocument/2006/relationships/hyperlink" Target="http://data.europa.eu/eli/reg_impl/2013/503/oj" TargetMode="External"/><Relationship Id="rId9" Type="http://schemas.openxmlformats.org/officeDocument/2006/relationships/hyperlink" Target="https://efsa.onlinelibrary.wiley.com/action/downloadSupplement?doi=10.2903/j.efsa.2024.8655&amp;file=efs28655-sup-0008-Annex8.pdf" TargetMode="External"/><Relationship Id="rId14" Type="http://schemas.openxmlformats.org/officeDocument/2006/relationships/hyperlink" Target="https://commission.europa.eu/document/2c64e540-c07a-4376-a1da-368d289f4af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04832-47C6-405A-B46E-7FEFB11CA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1438</Words>
  <Characters>12246</Characters>
  <Application>Microsoft Office Word</Application>
  <DocSecurity>0</DocSecurity>
  <Lines>102</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2024-11-26T13:30:00Z</dcterms:created>
  <dcterms:modified xsi:type="dcterms:W3CDTF">2024-11-26T13:30:00Z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B10-0152/2024</vt:lpwstr>
  </property>
  <property fmtid="{D5CDD505-2E9C-101B-9397-08002B2CF9AE}" pid="4" name="&lt;Type&gt;">
    <vt:lpwstr>RR</vt:lpwstr>
  </property>
  <property fmtid="{D5CDD505-2E9C-101B-9397-08002B2CF9AE}" pid="5" name="&lt;Model&gt;">
    <vt:lpwstr/>
  </property>
</Properties>
</file>