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70DD" w:rsidTr="0010095E">
        <w:trPr>
          <w:trHeight w:hRule="exact" w:val="1418"/>
        </w:trPr>
        <w:tc>
          <w:tcPr>
            <w:tcW w:w="6804" w:type="dxa"/>
            <w:shd w:val="clear" w:color="auto" w:fill="auto"/>
            <w:vAlign w:val="center"/>
          </w:tcPr>
          <w:p w:rsidR="00751A4A" w:rsidRPr="004B70DD" w:rsidRDefault="00D64CB6" w:rsidP="0010095E">
            <w:pPr>
              <w:pStyle w:val="EPName"/>
            </w:pPr>
            <w:r w:rsidRPr="004B70DD">
              <w:t>Európai Parlament</w:t>
            </w:r>
          </w:p>
          <w:p w:rsidR="00751A4A" w:rsidRPr="004B70DD" w:rsidRDefault="005F1B17" w:rsidP="005F1B17">
            <w:pPr>
              <w:pStyle w:val="EPTerm"/>
              <w:rPr>
                <w:rStyle w:val="HideTWBExt"/>
                <w:noProof w:val="0"/>
                <w:vanish w:val="0"/>
                <w:color w:val="auto"/>
              </w:rPr>
            </w:pPr>
            <w:r w:rsidRPr="004B70DD">
              <w:t>2024</w:t>
            </w:r>
            <w:r w:rsidR="00817416" w:rsidRPr="004B70DD">
              <w:t>-202</w:t>
            </w:r>
            <w:r w:rsidRPr="004B70DD">
              <w:t>9</w:t>
            </w:r>
          </w:p>
        </w:tc>
        <w:tc>
          <w:tcPr>
            <w:tcW w:w="2268" w:type="dxa"/>
            <w:shd w:val="clear" w:color="auto" w:fill="auto"/>
          </w:tcPr>
          <w:p w:rsidR="00751A4A" w:rsidRPr="004B70DD" w:rsidRDefault="00187494" w:rsidP="0010095E">
            <w:pPr>
              <w:pStyle w:val="EPLogo"/>
            </w:pPr>
            <w:r w:rsidRPr="004B70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70DD" w:rsidRDefault="00D058B8" w:rsidP="004C5D52">
      <w:pPr>
        <w:pStyle w:val="LineTop"/>
      </w:pPr>
    </w:p>
    <w:p w:rsidR="00680577" w:rsidRPr="004B70DD" w:rsidRDefault="00D64CB6" w:rsidP="00680577">
      <w:pPr>
        <w:pStyle w:val="EPBodyTA1"/>
      </w:pPr>
      <w:r w:rsidRPr="004B70DD">
        <w:t>ELFOGADOTT SZÖVEGEK</w:t>
      </w:r>
    </w:p>
    <w:p w:rsidR="00D058B8" w:rsidRPr="004B70DD" w:rsidRDefault="00D058B8" w:rsidP="00D058B8">
      <w:pPr>
        <w:pStyle w:val="LineBottom"/>
      </w:pPr>
    </w:p>
    <w:p w:rsidR="00D64CB6" w:rsidRPr="000401B9" w:rsidRDefault="00D64CB6" w:rsidP="00D64CB6">
      <w:pPr>
        <w:pStyle w:val="ATHeading1"/>
      </w:pPr>
      <w:bookmarkStart w:id="0" w:name="TANumber"/>
      <w:r w:rsidRPr="000401B9">
        <w:t>P10_</w:t>
      </w:r>
      <w:proofErr w:type="gramStart"/>
      <w:r w:rsidRPr="000401B9">
        <w:t>TA(</w:t>
      </w:r>
      <w:proofErr w:type="gramEnd"/>
      <w:r w:rsidRPr="000401B9">
        <w:t>2024)00</w:t>
      </w:r>
      <w:r w:rsidR="000401B9" w:rsidRPr="000401B9">
        <w:t>44</w:t>
      </w:r>
      <w:bookmarkEnd w:id="0"/>
    </w:p>
    <w:p w:rsidR="00D64CB6" w:rsidRPr="000401B9" w:rsidRDefault="00AD6015" w:rsidP="008B2B58">
      <w:pPr>
        <w:pStyle w:val="ATHeading2"/>
      </w:pPr>
      <w:r w:rsidRPr="000401B9">
        <w:t xml:space="preserve">A </w:t>
      </w:r>
      <w:r w:rsidR="008B2B58" w:rsidRPr="000401B9">
        <w:t>géntechnológiával módosított DP202216 kukorica</w:t>
      </w:r>
    </w:p>
    <w:p w:rsidR="00D64CB6" w:rsidRPr="000401B9" w:rsidRDefault="00D64CB6" w:rsidP="00D64CB6">
      <w:pPr>
        <w:rPr>
          <w:i/>
          <w:vanish/>
        </w:rPr>
      </w:pPr>
      <w:r w:rsidRPr="000401B9">
        <w:rPr>
          <w:i/>
        </w:rPr>
        <w:fldChar w:fldCharType="begin"/>
      </w:r>
      <w:r w:rsidRPr="000401B9">
        <w:rPr>
          <w:i/>
        </w:rPr>
        <w:instrText xml:space="preserve"> TC"(</w:instrText>
      </w:r>
      <w:bookmarkStart w:id="1" w:name="DocNumber"/>
      <w:r w:rsidRPr="000401B9">
        <w:rPr>
          <w:i/>
        </w:rPr>
        <w:instrText>B10-0152/2024</w:instrText>
      </w:r>
      <w:bookmarkEnd w:id="1"/>
      <w:r w:rsidRPr="000401B9">
        <w:rPr>
          <w:i/>
        </w:rPr>
        <w:instrText xml:space="preserve">)"\l3 \n&gt; \* MERGEFORMAT </w:instrText>
      </w:r>
      <w:r w:rsidRPr="000401B9">
        <w:rPr>
          <w:i/>
        </w:rPr>
        <w:fldChar w:fldCharType="end"/>
      </w:r>
    </w:p>
    <w:p w:rsidR="00D64CB6" w:rsidRPr="000401B9" w:rsidRDefault="00D64CB6" w:rsidP="00D64CB6">
      <w:pPr>
        <w:rPr>
          <w:vanish/>
        </w:rPr>
      </w:pPr>
      <w:bookmarkStart w:id="2" w:name="PE"/>
      <w:r w:rsidRPr="000401B9">
        <w:rPr>
          <w:vanish/>
        </w:rPr>
        <w:t>PE763.293</w:t>
      </w:r>
      <w:bookmarkEnd w:id="2"/>
    </w:p>
    <w:p w:rsidR="00D64CB6" w:rsidRPr="000401B9" w:rsidRDefault="00D64CB6" w:rsidP="00D64CB6">
      <w:pPr>
        <w:pStyle w:val="ATHeading3"/>
      </w:pPr>
      <w:bookmarkStart w:id="3" w:name="Sujet"/>
      <w:r w:rsidRPr="000401B9">
        <w:t xml:space="preserve">Az Európai Parlament 2024. </w:t>
      </w:r>
      <w:r w:rsidR="00492E86" w:rsidRPr="000401B9">
        <w:t>november</w:t>
      </w:r>
      <w:r w:rsidRPr="000401B9">
        <w:t xml:space="preserve"> </w:t>
      </w:r>
      <w:r w:rsidR="00AD6015" w:rsidRPr="000401B9">
        <w:t>26-</w:t>
      </w:r>
      <w:r w:rsidRPr="000401B9">
        <w:t xml:space="preserve">i állásfoglalása a géntechnológiával módosított DP202216 kukoricát tartalmazó, abból álló vagy abból előállított termékek forgalomba hozatalának az 1829/2003/EK európai parlamenti és tanácsi rendelet szerinti engedélyezéséről szóló </w:t>
      </w:r>
      <w:r w:rsidR="00AD6015" w:rsidRPr="000401B9">
        <w:t xml:space="preserve">(EU) 2024/2618 </w:t>
      </w:r>
      <w:r w:rsidRPr="000401B9">
        <w:t>bizottsági végrehajtási határozat</w:t>
      </w:r>
      <w:r w:rsidR="00AD6015" w:rsidRPr="000401B9">
        <w:t>ról</w:t>
      </w:r>
      <w:r w:rsidRPr="000401B9">
        <w:t xml:space="preserve"> </w:t>
      </w:r>
      <w:bookmarkStart w:id="4" w:name="References"/>
      <w:bookmarkEnd w:id="3"/>
      <w:r w:rsidRPr="000401B9">
        <w:t>(D098501/04 – 2024/</w:t>
      </w:r>
      <w:proofErr w:type="gramStart"/>
      <w:r w:rsidRPr="000401B9">
        <w:t>2837(</w:t>
      </w:r>
      <w:proofErr w:type="gramEnd"/>
      <w:r w:rsidRPr="000401B9">
        <w:t>RSP))</w:t>
      </w:r>
      <w:bookmarkEnd w:id="4"/>
    </w:p>
    <w:p w:rsidR="007548CA" w:rsidRPr="004B70DD" w:rsidRDefault="007548CA" w:rsidP="007548CA">
      <w:pPr>
        <w:pStyle w:val="EPComma"/>
      </w:pPr>
      <w:bookmarkStart w:id="5" w:name="TextBodyBegin"/>
      <w:bookmarkEnd w:id="5"/>
      <w:r w:rsidRPr="004B70DD">
        <w:rPr>
          <w:i/>
          <w:iCs/>
        </w:rPr>
        <w:t>Az Európai Parlament</w:t>
      </w:r>
      <w:r w:rsidRPr="004B70DD">
        <w:t>,</w:t>
      </w:r>
    </w:p>
    <w:p w:rsidR="007548CA" w:rsidRPr="004B70DD" w:rsidRDefault="007548CA" w:rsidP="00F35168">
      <w:pPr>
        <w:pStyle w:val="NormalHanging12a"/>
        <w:widowControl/>
      </w:pPr>
      <w:r w:rsidRPr="004B70DD">
        <w:t>–</w:t>
      </w:r>
      <w:r w:rsidRPr="004B70DD">
        <w:tab/>
      </w:r>
      <w:proofErr w:type="gramStart"/>
      <w:r w:rsidRPr="004B70DD">
        <w:t>tekintettel</w:t>
      </w:r>
      <w:proofErr w:type="gramEnd"/>
      <w:r w:rsidRPr="004B70DD">
        <w:t xml:space="preserve"> a géntechnológiával módosított DP202216 kukoricát tartalmazó, abból álló vagy abból előállított termékek forgalomba hozatalának az 1829/2003/EK európai parlamenti és tanácsi rendelet szerinti engedélyezéséről szóló </w:t>
      </w:r>
      <w:r w:rsidR="00AD6015">
        <w:t xml:space="preserve">(EU) 2024/2618 </w:t>
      </w:r>
      <w:r w:rsidRPr="004B70DD">
        <w:t>bizottsági végrehajtási határozat</w:t>
      </w:r>
      <w:r w:rsidR="00AD6015">
        <w:t>ra</w:t>
      </w:r>
      <w:r w:rsidR="00AD6015">
        <w:rPr>
          <w:rStyle w:val="FootnoteReference"/>
        </w:rPr>
        <w:footnoteReference w:id="1"/>
      </w:r>
      <w:r w:rsidRPr="004B70DD">
        <w:t>,</w:t>
      </w:r>
    </w:p>
    <w:p w:rsidR="007548CA" w:rsidRPr="004B70DD" w:rsidRDefault="007548CA" w:rsidP="00F35168">
      <w:pPr>
        <w:pStyle w:val="NormalHanging12a"/>
        <w:widowControl/>
      </w:pPr>
      <w:r w:rsidRPr="004B70DD">
        <w:t>–</w:t>
      </w:r>
      <w:r w:rsidRPr="004B70DD">
        <w:tab/>
      </w:r>
      <w:proofErr w:type="gramStart"/>
      <w:r w:rsidRPr="004B70DD">
        <w:t>tekintettel</w:t>
      </w:r>
      <w:proofErr w:type="gramEnd"/>
      <w:r w:rsidRPr="004B70DD">
        <w:t xml:space="preserve"> a géntechnológiával módosított élelmiszerekről és takarmányokról szóló, 2003. szeptember 22-i 1829/2003/EK európai parlamenti és tanácsi rendeletre</w:t>
      </w:r>
      <w:r w:rsidRPr="004B70DD">
        <w:rPr>
          <w:rStyle w:val="FootnoteReference"/>
        </w:rPr>
        <w:footnoteReference w:id="2"/>
      </w:r>
      <w:r w:rsidRPr="004B70DD">
        <w:t>, és különösen 7. cikkének (3) bekezdésére és 19. cikkének (3) bekezdésére,</w:t>
      </w:r>
    </w:p>
    <w:p w:rsidR="007548CA" w:rsidRPr="004B70DD" w:rsidRDefault="007548CA" w:rsidP="00F35168">
      <w:pPr>
        <w:pStyle w:val="NormalHanging12a"/>
        <w:widowControl/>
      </w:pPr>
      <w:r w:rsidRPr="004B70DD">
        <w:t>–</w:t>
      </w:r>
      <w:r w:rsidRPr="004B70DD">
        <w:tab/>
        <w:t xml:space="preserve">tekintettel </w:t>
      </w:r>
      <w:r w:rsidRPr="004B70DD">
        <w:rPr>
          <w:shd w:val="clear" w:color="auto" w:fill="FFFFFF"/>
        </w:rPr>
        <w:t>az 1829/2003/EK rendelet 35. cikkében említett, a növényekkel, állatokkal, élelmiszerekkel és takarmányokkal foglalkozó állandó bizottságban 2024. július 8-án tartott szavazásra, amelyen nem született vélemény, valamint a fellebbviteli bizottságban 2024. szeptember 3-án tartott szavazására, amelyen ugyancsak nem</w:t>
      </w:r>
      <w:r w:rsidRPr="004B70DD">
        <w:t xml:space="preserve"> született vélemény,</w:t>
      </w:r>
    </w:p>
    <w:p w:rsidR="007548CA" w:rsidRPr="004B70DD" w:rsidRDefault="007548CA" w:rsidP="00F35168">
      <w:pPr>
        <w:pStyle w:val="NormalHanging12a"/>
        <w:widowControl/>
      </w:pPr>
      <w:r w:rsidRPr="004B70DD">
        <w:t>–</w:t>
      </w:r>
      <w:r w:rsidRPr="004B70DD">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4B70DD">
        <w:rPr>
          <w:rStyle w:val="FootnoteReference"/>
        </w:rPr>
        <w:footnoteReference w:id="3"/>
      </w:r>
      <w:r w:rsidRPr="004B70DD">
        <w:t xml:space="preserve"> 11. cikkére,</w:t>
      </w:r>
    </w:p>
    <w:p w:rsidR="007548CA" w:rsidRPr="004B70DD" w:rsidRDefault="007548CA" w:rsidP="00F35168">
      <w:pPr>
        <w:pStyle w:val="NormalHanging12a"/>
        <w:widowControl/>
      </w:pPr>
      <w:r w:rsidRPr="004B70DD">
        <w:lastRenderedPageBreak/>
        <w:t>–</w:t>
      </w:r>
      <w:r w:rsidRPr="004B70DD">
        <w:tab/>
        <w:t>tekintettel az Európai Élelmiszerbiztonsági Hatóság (EFSA) által 2024. február 7-én elfogadott és 2024. március 20-án közzétett véleményre</w:t>
      </w:r>
      <w:r w:rsidRPr="004B70DD">
        <w:rPr>
          <w:rStyle w:val="FootnoteReference"/>
        </w:rPr>
        <w:footnoteReference w:id="4"/>
      </w:r>
      <w:r w:rsidRPr="004B70DD">
        <w:t>,</w:t>
      </w:r>
    </w:p>
    <w:p w:rsidR="007548CA" w:rsidRPr="004B70DD" w:rsidRDefault="007548CA" w:rsidP="00F35168">
      <w:pPr>
        <w:pStyle w:val="NormalHanging12a"/>
        <w:widowControl/>
        <w:rPr>
          <w:szCs w:val="24"/>
          <w:shd w:val="clear" w:color="auto" w:fill="FFFFFF"/>
        </w:rPr>
      </w:pPr>
      <w:r w:rsidRPr="004B70DD">
        <w:t>–</w:t>
      </w:r>
      <w:r w:rsidRPr="004B70DD">
        <w:rPr>
          <w:shd w:val="clear" w:color="auto" w:fill="FFFFFF"/>
        </w:rPr>
        <w:tab/>
      </w:r>
      <w:proofErr w:type="gramStart"/>
      <w:r w:rsidRPr="004B70DD">
        <w:rPr>
          <w:shd w:val="clear" w:color="auto" w:fill="FFFFFF"/>
        </w:rPr>
        <w:t>tekintettel</w:t>
      </w:r>
      <w:proofErr w:type="gramEnd"/>
      <w:r w:rsidRPr="004B70DD">
        <w:rPr>
          <w:shd w:val="clear" w:color="auto" w:fill="FFFFFF"/>
        </w:rPr>
        <w:t xml:space="preserve"> a géntechnológiával módosított szervezetek (GMO-k) engedélyezését kifogásoló korábbi állásfoglalásaira</w:t>
      </w:r>
      <w:r w:rsidRPr="004B70DD">
        <w:rPr>
          <w:szCs w:val="24"/>
          <w:shd w:val="clear" w:color="auto" w:fill="FFFFFF"/>
          <w:vertAlign w:val="superscript"/>
        </w:rPr>
        <w:footnoteReference w:id="5"/>
      </w:r>
      <w:r w:rsidRPr="004B70DD">
        <w:rPr>
          <w:shd w:val="clear" w:color="auto" w:fill="FFFFFF"/>
        </w:rPr>
        <w:t>,</w:t>
      </w:r>
    </w:p>
    <w:p w:rsidR="007548CA" w:rsidRPr="004B70DD" w:rsidRDefault="007548CA" w:rsidP="00F35168">
      <w:pPr>
        <w:pStyle w:val="NormalHanging12a"/>
        <w:widowControl/>
      </w:pPr>
      <w:r w:rsidRPr="004B70DD">
        <w:t>–</w:t>
      </w:r>
      <w:r w:rsidRPr="004B70DD">
        <w:tab/>
        <w:t>tekintettel eljárási szabályzata 115. cikkének (2) és (3) bekezdésére,</w:t>
      </w:r>
    </w:p>
    <w:p w:rsidR="007548CA" w:rsidRPr="004B70DD" w:rsidRDefault="007548CA" w:rsidP="00F35168">
      <w:pPr>
        <w:pStyle w:val="NormalHanging12a"/>
        <w:widowControl/>
      </w:pPr>
      <w:r w:rsidRPr="004B70DD">
        <w:t>–</w:t>
      </w:r>
      <w:r w:rsidRPr="004B70DD">
        <w:tab/>
        <w:t>tekintettel a Környezetvédelmi, Közegészségügyi és Élelmiszer-biztonsági Bizottság állásfoglalásra irányuló indítványára,</w:t>
      </w:r>
    </w:p>
    <w:p w:rsidR="007548CA" w:rsidRPr="004B70DD" w:rsidRDefault="007548CA" w:rsidP="00F35168">
      <w:pPr>
        <w:pStyle w:val="NormalHanging12a"/>
        <w:widowControl/>
      </w:pPr>
      <w:proofErr w:type="gramStart"/>
      <w:r w:rsidRPr="004B70DD">
        <w:t>A.</w:t>
      </w:r>
      <w:proofErr w:type="gramEnd"/>
      <w:r w:rsidRPr="004B70DD">
        <w:tab/>
      </w:r>
      <w:proofErr w:type="gramStart"/>
      <w:r w:rsidRPr="004B70DD">
        <w:t>mivel 2019. július 1-én az egyesült államokbeli székhelyű Pioneer Hi-Bred International Inc. nevében eljáró, belgiumi székhelyű Pioneer Overseas Corporation az 1829/2003/EK rendelet 5. és 17. cikkével összhangban kérelmet nyújtott be az illetékes holland nemzeti hatósághoz a géntechnológiával módosított DP202216 kukoricát tartalmazó, abból álló vagy abból előállított élelmiszerek, élelmiszer-összetevők és takarmányok forgalomba hozatalára vonatkozóan; mivel a kérelem a géntechnológiával módosított kukoricát tartalmazó vagy abból álló olyan termékek forgalomba hozatalára is kiterjedt, amelyeket</w:t>
      </w:r>
      <w:proofErr w:type="gramEnd"/>
      <w:r w:rsidRPr="004B70DD">
        <w:t xml:space="preserve"> – a termesztés kivételével – nem élelmezési vagy takarmányozási felhasználásra szánnak;  </w:t>
      </w:r>
    </w:p>
    <w:p w:rsidR="007548CA" w:rsidRPr="004B70DD" w:rsidRDefault="007548CA" w:rsidP="00F35168">
      <w:pPr>
        <w:pStyle w:val="NormalHanging12a"/>
        <w:widowControl/>
      </w:pPr>
      <w:r w:rsidRPr="004B70DD">
        <w:t>B.</w:t>
      </w:r>
      <w:r w:rsidRPr="004B70DD">
        <w:tab/>
        <w:t>mivel az EFSA 2024. február 7-én kedvező véleményt adott, amelyet 2024. március 20-án tettek közzé;</w:t>
      </w:r>
    </w:p>
    <w:p w:rsidR="007548CA" w:rsidRPr="004B70DD" w:rsidRDefault="007548CA" w:rsidP="00F35168">
      <w:pPr>
        <w:pStyle w:val="NormalHanging12a"/>
        <w:widowControl/>
      </w:pPr>
      <w:r w:rsidRPr="004B70DD">
        <w:t>C.</w:t>
      </w:r>
      <w:r w:rsidRPr="004B70DD">
        <w:tab/>
        <w:t xml:space="preserve">mivel a géntechnológiával módosított kukorica a glufozináttal szemben ellenálló géneket tartalmaz, és feltételezhetően magasabb </w:t>
      </w:r>
      <w:proofErr w:type="gramStart"/>
      <w:r w:rsidRPr="004B70DD">
        <w:rPr>
          <w:color w:val="000000"/>
          <w:shd w:val="clear" w:color="auto" w:fill="FFFFFF"/>
        </w:rPr>
        <w:t>potenciális</w:t>
      </w:r>
      <w:proofErr w:type="gramEnd"/>
      <w:r w:rsidRPr="004B70DD">
        <w:rPr>
          <w:color w:val="000000"/>
          <w:shd w:val="clear" w:color="auto" w:fill="FFFFFF"/>
        </w:rPr>
        <w:t xml:space="preserve"> terméshozammal rendelkezik</w:t>
      </w:r>
      <w:r w:rsidRPr="004B70DD">
        <w:t>;</w:t>
      </w:r>
      <w:r w:rsidRPr="004B70DD">
        <w:rPr>
          <w:rFonts w:ascii="Segoe UI" w:hAnsi="Segoe UI"/>
          <w:color w:val="000000"/>
          <w:sz w:val="22"/>
          <w:shd w:val="clear" w:color="auto" w:fill="FFFFFF"/>
        </w:rPr>
        <w:t xml:space="preserve"> </w:t>
      </w:r>
    </w:p>
    <w:p w:rsidR="007548CA" w:rsidRPr="004B70DD" w:rsidRDefault="007548CA" w:rsidP="00F35168">
      <w:pPr>
        <w:pStyle w:val="NormalHanging12a"/>
        <w:widowControl/>
        <w:rPr>
          <w:b/>
          <w:i/>
        </w:rPr>
      </w:pPr>
      <w:r w:rsidRPr="004B70DD">
        <w:rPr>
          <w:b/>
          <w:i/>
        </w:rPr>
        <w:t>A kiegészítő gyomirtó szer értékelésének hiánya</w:t>
      </w:r>
    </w:p>
    <w:p w:rsidR="007548CA" w:rsidRPr="004B70DD" w:rsidRDefault="007548CA" w:rsidP="00F35168">
      <w:pPr>
        <w:pStyle w:val="NormalHanging12a"/>
        <w:widowControl/>
      </w:pPr>
      <w:r w:rsidRPr="004B70DD">
        <w:t>D.</w:t>
      </w:r>
      <w:r w:rsidRPr="004B70DD">
        <w:tab/>
        <w:t>mivel a Bizottság 503/2013/EU végrehajtási rendelete</w:t>
      </w:r>
      <w:r w:rsidRPr="004B70DD">
        <w:rPr>
          <w:rStyle w:val="FootnoteReference"/>
        </w:rPr>
        <w:footnoteReference w:id="6"/>
      </w:r>
      <w:r w:rsidRPr="004B70DD">
        <w:t xml:space="preserve"> előírja annak értékelését, hogy a várható mezőgazdasági gyakorlatok befolyásolják-e a tanulmányozott végpontok eredményét; mivel az említett végrehajtási rendelet szerint ez különösen fontos a gyomirtó szernek ellenálló növények esetében;</w:t>
      </w:r>
    </w:p>
    <w:p w:rsidR="007548CA" w:rsidRPr="004B70DD" w:rsidRDefault="007548CA" w:rsidP="00F35168">
      <w:pPr>
        <w:pStyle w:val="NormalHanging12a"/>
        <w:widowControl/>
      </w:pPr>
      <w:r w:rsidRPr="004B70DD">
        <w:t>E.</w:t>
      </w:r>
      <w:r w:rsidRPr="004B70DD">
        <w:tab/>
      </w:r>
      <w:proofErr w:type="gramStart"/>
      <w:r w:rsidRPr="004B70DD">
        <w:t xml:space="preserve">mivel a géntechnológiával módosított növények túlnyomó többségét azért módosították géntechnológiával, hogy ellenállók legyenek egy vagy több olyan „kiegészítő” gyomirtó szerrel szemben, amelyeket a géntechnológiával módosított növény termesztése során végig lehet használni anélkül, hogy a növény elpusztulna, ami a gyomirtó szernek nem </w:t>
      </w:r>
      <w:r w:rsidRPr="004B70DD">
        <w:lastRenderedPageBreak/>
        <w:t>ellenálló növények esetében viszont megtörténne; mivel számos tanulmány kimutatta, hogy a gyomirtó szernek ellenálló, géntechnológiával módosított növények esetében nagyobb arányban használnak kiegészítő gyomirtó szereket, nagyrészt a gyomirtó szernek ellenálló</w:t>
      </w:r>
      <w:proofErr w:type="gramEnd"/>
      <w:r w:rsidRPr="004B70DD">
        <w:t xml:space="preserve"> </w:t>
      </w:r>
      <w:proofErr w:type="gramStart"/>
      <w:r w:rsidRPr="004B70DD">
        <w:t>gyomok</w:t>
      </w:r>
      <w:proofErr w:type="gramEnd"/>
      <w:r w:rsidRPr="004B70DD">
        <w:t xml:space="preserve"> megjelenése miatt</w:t>
      </w:r>
      <w:r w:rsidRPr="004B70DD">
        <w:rPr>
          <w:rStyle w:val="FootnoteReference"/>
        </w:rPr>
        <w:footnoteReference w:id="7"/>
      </w:r>
      <w:r w:rsidRPr="004B70DD">
        <w:t>;</w:t>
      </w:r>
    </w:p>
    <w:p w:rsidR="007548CA" w:rsidRPr="004B70DD" w:rsidRDefault="007548CA" w:rsidP="00F35168">
      <w:pPr>
        <w:pStyle w:val="NormalHanging12a"/>
        <w:widowControl/>
      </w:pPr>
      <w:r w:rsidRPr="004B70DD">
        <w:t>F.</w:t>
      </w:r>
      <w:r w:rsidRPr="004B70DD">
        <w:tab/>
      </w:r>
      <w:proofErr w:type="gramStart"/>
      <w:r w:rsidRPr="004B70DD">
        <w:t>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amely csak akkor indokolható, ha az ilyen vetőmagot vásárló mezőgazdasági termelők a kiegészítő gyomirtó szerekkel is permeteznek; mivel a kiegészítő gyomirtó szerekre való fokozott támaszkodás a géntechnológiával módosított növényeket ültető gazdaságokban felgyorsítja az ilyen gyomirtó szereknek ellenálló</w:t>
      </w:r>
      <w:proofErr w:type="gramEnd"/>
      <w:r w:rsidRPr="004B70DD">
        <w:t xml:space="preserve"> gyomok megjelenését és terjedését, és </w:t>
      </w:r>
      <w:proofErr w:type="gramStart"/>
      <w:r w:rsidRPr="004B70DD">
        <w:t>ezáltal</w:t>
      </w:r>
      <w:proofErr w:type="gramEnd"/>
      <w:r w:rsidRPr="004B70DD">
        <w:t xml:space="preserve"> szükségessé teszi a gyomirtó szerek még nagyobb mértékű használatát, ami a „gyomirtó szerek taposómalma” néven ismert ördögi kör;</w:t>
      </w:r>
    </w:p>
    <w:p w:rsidR="007548CA" w:rsidRPr="004B70DD" w:rsidRDefault="007548CA" w:rsidP="00F35168">
      <w:pPr>
        <w:pStyle w:val="NormalHanging12a"/>
        <w:widowControl/>
      </w:pPr>
      <w:r w:rsidRPr="004B70DD">
        <w:t>G.</w:t>
      </w:r>
      <w:r w:rsidRPr="004B70DD">
        <w:tab/>
        <w:t xml:space="preserve">mivel a gyomirtó szerektől való túlzott függésből eredő káros hatások rontják a talaj egészségét, a vízminőséget, valamint a talaj feletti és alatti biológiai sokféleséget, valamint az emberek és állatok fokozott kitettségéhez vezetnek, </w:t>
      </w:r>
      <w:proofErr w:type="gramStart"/>
      <w:r w:rsidRPr="004B70DD">
        <w:t>potenciálisan</w:t>
      </w:r>
      <w:proofErr w:type="gramEnd"/>
      <w:r w:rsidRPr="004B70DD">
        <w:t xml:space="preserve"> az élelmiszerekben és takarmányokban található gyomirtószer-maradékok növekedése révén is;</w:t>
      </w:r>
    </w:p>
    <w:p w:rsidR="007548CA" w:rsidRPr="004B70DD" w:rsidRDefault="007548CA" w:rsidP="00F35168">
      <w:pPr>
        <w:pStyle w:val="NormalHanging12a"/>
        <w:widowControl/>
      </w:pPr>
      <w:r w:rsidRPr="004B70DD">
        <w:t>H.</w:t>
      </w:r>
      <w:r w:rsidRPr="004B70DD">
        <w:tab/>
        <w:t xml:space="preserve">mivel a glufozinát 1B. </w:t>
      </w:r>
      <w:proofErr w:type="gramStart"/>
      <w:r w:rsidRPr="004B70DD">
        <w:t>kategóriájú</w:t>
      </w:r>
      <w:proofErr w:type="gramEnd"/>
      <w:r w:rsidRPr="004B70DD">
        <w:t>, reprodukciós toxicitású anyagnak minősül, és így az 1107/2009/EK európai parlamenti és tanácsi rendeletben</w:t>
      </w:r>
      <w:r w:rsidRPr="004B70DD">
        <w:rPr>
          <w:rStyle w:val="FootnoteReference"/>
        </w:rPr>
        <w:footnoteReference w:id="8"/>
      </w:r>
      <w:r w:rsidRPr="004B70DD">
        <w:t xml:space="preserve"> előírt „kizárási kritériumok” vonatkoznak rá; mivel a glufozinát Unióban való használatára vonatkozó jóváhagyás 2018. július 31-én lejárt;</w:t>
      </w:r>
    </w:p>
    <w:p w:rsidR="007548CA" w:rsidRPr="004B70DD" w:rsidRDefault="007548CA" w:rsidP="00F35168">
      <w:pPr>
        <w:pStyle w:val="NormalHanging12a"/>
        <w:widowControl/>
      </w:pPr>
      <w:r w:rsidRPr="004B70DD">
        <w:t>I.</w:t>
      </w:r>
      <w:r w:rsidRPr="004B70DD">
        <w:tab/>
        <w:t>mivel a géntechnológiával módosított növényeken talált gyomirtószer-maradványok és bomlástermékeik (metabolitok) értékelése kívül esik az EFSA géntechnológiával módosított szervezetekkel foglalkozó tudományos testületének hatáskörén, ezért a GMO-kra vonatkozó engedélyezési eljárás részeként ilyen értékelésre nem kerül sor;</w:t>
      </w:r>
    </w:p>
    <w:p w:rsidR="007548CA" w:rsidRPr="004B70DD" w:rsidRDefault="007548CA" w:rsidP="00F35168">
      <w:pPr>
        <w:pStyle w:val="NormalHanging12a"/>
        <w:widowControl/>
        <w:rPr>
          <w:b/>
          <w:i/>
        </w:rPr>
      </w:pPr>
      <w:r w:rsidRPr="004B70DD">
        <w:rPr>
          <w:b/>
          <w:i/>
        </w:rPr>
        <w:t>A tagállami illetékes hatóságok és az érdekelt felek észrevételei</w:t>
      </w:r>
    </w:p>
    <w:p w:rsidR="007548CA" w:rsidRPr="004B70DD" w:rsidRDefault="007548CA" w:rsidP="00F35168">
      <w:pPr>
        <w:pStyle w:val="NormalHanging12a"/>
        <w:widowControl/>
      </w:pPr>
      <w:r w:rsidRPr="004B70DD">
        <w:t>J.</w:t>
      </w:r>
      <w:r w:rsidRPr="004B70DD">
        <w:tab/>
      </w:r>
      <w:proofErr w:type="gramStart"/>
      <w:r w:rsidRPr="004B70DD">
        <w:t>mivel a tagállamok a három hónapos konzultációs időszak alatt számos kritikai észrevételt nyújtottak be az EFSA-hoz</w:t>
      </w:r>
      <w:r w:rsidRPr="004B70DD">
        <w:rPr>
          <w:rStyle w:val="FootnoteReference"/>
        </w:rPr>
        <w:footnoteReference w:id="9"/>
      </w:r>
      <w:r w:rsidRPr="004B70DD">
        <w:t xml:space="preserve">, többek között azt, hogy a meglévő </w:t>
      </w:r>
      <w:r w:rsidRPr="004B70DD">
        <w:lastRenderedPageBreak/>
        <w:t>monitorozási terv nem biztosítja, hogy a termék nyomon követéséhez szükséges releváns információkat összegyűjtsék, és ezért az nem tekinthető megfelelőnek, hogy további információkat kell benyújtani a kockázatértékelés véglegesítése előtt, és hogy bár a GMO-t nem termesztésre szánják, a kérelmezőnek részletes információkat kell szolgáltatnia a kukorica vadon élő rokonáról, a teozintéről, amelyet többször felfedeztek az Unió területein, és hogy</w:t>
      </w:r>
      <w:proofErr w:type="gramEnd"/>
      <w:r w:rsidRPr="004B70DD">
        <w:t xml:space="preserve"> </w:t>
      </w:r>
      <w:proofErr w:type="gramStart"/>
      <w:r w:rsidRPr="004B70DD">
        <w:t>számolni</w:t>
      </w:r>
      <w:proofErr w:type="gramEnd"/>
      <w:r w:rsidRPr="004B70DD">
        <w:t xml:space="preserve"> kell a kukoricavetőmag szállítás közbeni kiömlésével; </w:t>
      </w:r>
    </w:p>
    <w:p w:rsidR="007548CA" w:rsidRPr="004B70DD" w:rsidRDefault="007548CA" w:rsidP="000401B9">
      <w:pPr>
        <w:pStyle w:val="NormalHanging12a"/>
        <w:widowControl/>
        <w:ind w:left="0" w:firstLine="0"/>
        <w:rPr>
          <w:b/>
          <w:i/>
        </w:rPr>
      </w:pPr>
      <w:proofErr w:type="gramStart"/>
      <w:r w:rsidRPr="004B70DD">
        <w:rPr>
          <w:b/>
          <w:i/>
        </w:rPr>
        <w:t>Globálisan</w:t>
      </w:r>
      <w:proofErr w:type="gramEnd"/>
      <w:r w:rsidRPr="004B70DD">
        <w:rPr>
          <w:b/>
          <w:i/>
        </w:rPr>
        <w:t xml:space="preserve"> egyenlő versenyfeltételek biztosítása és az Unió nemzetközi kötelezettségeinek tiszteletben tartása</w:t>
      </w:r>
    </w:p>
    <w:p w:rsidR="007548CA" w:rsidRPr="004B70DD" w:rsidRDefault="007548CA" w:rsidP="00F35168">
      <w:pPr>
        <w:pStyle w:val="NormalHanging12a"/>
        <w:widowControl/>
      </w:pPr>
      <w:r w:rsidRPr="004B70DD">
        <w:t>K.</w:t>
      </w:r>
      <w:r w:rsidRPr="004B70DD">
        <w:tab/>
        <w:t>mivel az EU mezőgazdaságának jövőjéről szóló stratégiai párbeszéd</w:t>
      </w:r>
      <w:r w:rsidRPr="004B70DD">
        <w:rPr>
          <w:rStyle w:val="FootnoteReference"/>
        </w:rPr>
        <w:footnoteReference w:id="10"/>
      </w:r>
      <w:r w:rsidRPr="004B70DD">
        <w:t xml:space="preserve"> következtetései felkérik a Bizottságot, hogy értékelje újra az agrár-élelmiszeripari </w:t>
      </w:r>
      <w:proofErr w:type="gramStart"/>
      <w:r w:rsidRPr="004B70DD">
        <w:t>import</w:t>
      </w:r>
      <w:proofErr w:type="gramEnd"/>
      <w:r w:rsidRPr="004B70DD">
        <w:t xml:space="preserve"> és export piacra jutásával kapcsolatos megközelítését, tekintettel az Unió és kereskedelmi partnerei eltérő normái jelentette kihívásra; mivel a 2023-as és 2024-es demonstrációk során a mezőgazdasági termelők egyik fő igénye az egészséges környezetre vonatkozó célokkal összhangban lévő, globális szinten tisztességesebb kereskedelmi kapcsolatok kialakítása volt;</w:t>
      </w:r>
    </w:p>
    <w:p w:rsidR="007548CA" w:rsidRPr="004B70DD" w:rsidRDefault="007548CA" w:rsidP="00F35168">
      <w:pPr>
        <w:pStyle w:val="NormalHanging12a"/>
        <w:widowControl/>
      </w:pPr>
      <w:proofErr w:type="gramStart"/>
      <w:r w:rsidRPr="004B70DD">
        <w:t>L.</w:t>
      </w:r>
      <w:r w:rsidRPr="004B70DD">
        <w:tab/>
        <w:t>mivel az Egyesült Nemzetek Szervezetén (ENSZ) belül az élelemhez való jog kérdésével megbízott különleges előadó 2017-es jelentésében megállapította, hogy a veszélyes peszticidek – különösen a fejlődő országokban – katasztrofális hatást gyakorolnak az egészségre</w:t>
      </w:r>
      <w:r w:rsidRPr="004B70DD">
        <w:rPr>
          <w:rStyle w:val="FootnoteReference"/>
        </w:rPr>
        <w:footnoteReference w:id="11"/>
      </w:r>
      <w:r w:rsidRPr="004B70DD">
        <w:t>; mivel az ENSZ 3.9. fenntartható fejlődési célja a veszélyes vegyi anyagok, valamint a levegő-, víz- és talajszennyezés és -fertőzöttség miatt bekövetkező halálesetek és megbetegedések számának jelentős mértékű csökkenését tűzte ki 2030-ra</w:t>
      </w:r>
      <w:r w:rsidRPr="004B70DD">
        <w:rPr>
          <w:rStyle w:val="FootnoteReference"/>
        </w:rPr>
        <w:footnoteReference w:id="12"/>
      </w:r>
      <w:r w:rsidRPr="004B70DD">
        <w:t>;</w:t>
      </w:r>
      <w:proofErr w:type="gramEnd"/>
    </w:p>
    <w:p w:rsidR="007548CA" w:rsidRPr="004B70DD" w:rsidRDefault="007548CA" w:rsidP="00F35168">
      <w:pPr>
        <w:pStyle w:val="NormalHanging12a"/>
        <w:widowControl/>
      </w:pPr>
      <w:r w:rsidRPr="004B70DD">
        <w:t>M.</w:t>
      </w:r>
      <w:r w:rsidRPr="004B70DD">
        <w:tab/>
        <w:t xml:space="preserve">mivel az ENSZ Biológiai Sokféleség Egyezménye (UN CBD) részes feleinek 15. </w:t>
      </w:r>
      <w:proofErr w:type="gramStart"/>
      <w:r w:rsidRPr="004B70DD">
        <w:t>konferenciáján</w:t>
      </w:r>
      <w:proofErr w:type="gramEnd"/>
      <w:r w:rsidRPr="004B70DD">
        <w:t xml:space="preserve"> 2022 decemberében elfogadott kunming-montreali globális biodiverzitás-megőrzési keretstratégia (a továbbiakban: kunming-montreali keretstratégia) tartalmaz egy globális célt, amely szerint 2030-ig legalább 50%-kal kell csökkenteni a növényvédő szerek kockázatát</w:t>
      </w:r>
      <w:r w:rsidRPr="004B70DD">
        <w:rPr>
          <w:rStyle w:val="FootnoteReference"/>
        </w:rPr>
        <w:footnoteReference w:id="13"/>
      </w:r>
      <w:r w:rsidRPr="004B70DD">
        <w:t>;</w:t>
      </w:r>
    </w:p>
    <w:p w:rsidR="007548CA" w:rsidRPr="004B70DD" w:rsidRDefault="007548CA" w:rsidP="00F35168">
      <w:pPr>
        <w:pStyle w:val="NormalHanging12a"/>
        <w:widowControl/>
      </w:pPr>
      <w:r w:rsidRPr="004B70DD">
        <w:t>N.</w:t>
      </w:r>
      <w:r w:rsidRPr="004B70DD">
        <w:tab/>
      </w:r>
      <w:proofErr w:type="gramStart"/>
      <w:r w:rsidRPr="004B70DD">
        <w:t>mivel az 1829/2003/EK rendelet egyfelől rögzíti, hogy a géntechnológiával módosított élelmiszerek vagy takarmányok nem gyakorolhatnak kedvezőtlen hatást az emberi egészségre, az állati egészségre vagy a környezetre, másfelől pedig előírja a Bizottság számára, hogy határozatainak megszövegezése során vegye figyelembe az uniós jog minden vonatkozó rendelkezését és a vizsgált üggyel kapcsolatos egyéb ténylegesen indokolt tényezőket; mivel az ilyen ténylegesen indokolt tényezőknek magukban kell foglalniuk az Uniónak az ENSZ fenntartható fejlődési céljai és az ENSZ Biológiai Sokféleség Egyezménye szerint</w:t>
      </w:r>
      <w:proofErr w:type="gramEnd"/>
      <w:r w:rsidRPr="004B70DD">
        <w:t xml:space="preserve">i </w:t>
      </w:r>
      <w:proofErr w:type="gramStart"/>
      <w:r w:rsidRPr="004B70DD">
        <w:t>kötelezettségeit</w:t>
      </w:r>
      <w:proofErr w:type="gramEnd"/>
      <w:r w:rsidRPr="004B70DD">
        <w:t>;</w:t>
      </w:r>
    </w:p>
    <w:p w:rsidR="007548CA" w:rsidRPr="004B70DD" w:rsidRDefault="007548CA" w:rsidP="00F35168">
      <w:pPr>
        <w:pStyle w:val="NormalHanging12a"/>
        <w:widowControl/>
        <w:rPr>
          <w:b/>
          <w:i/>
        </w:rPr>
      </w:pPr>
      <w:r w:rsidRPr="004B70DD">
        <w:rPr>
          <w:b/>
          <w:i/>
        </w:rPr>
        <w:lastRenderedPageBreak/>
        <w:t xml:space="preserve">Az </w:t>
      </w:r>
      <w:proofErr w:type="gramStart"/>
      <w:r w:rsidRPr="004B70DD">
        <w:rPr>
          <w:b/>
          <w:i/>
        </w:rPr>
        <w:t>importált</w:t>
      </w:r>
      <w:proofErr w:type="gramEnd"/>
      <w:r w:rsidRPr="004B70DD">
        <w:rPr>
          <w:b/>
          <w:i/>
        </w:rPr>
        <w:t xml:space="preserve"> takarmánytól való függőség csökkentése</w:t>
      </w:r>
    </w:p>
    <w:p w:rsidR="007548CA" w:rsidRPr="004B70DD" w:rsidRDefault="007548CA" w:rsidP="00F35168">
      <w:pPr>
        <w:pStyle w:val="NormalHanging12a"/>
        <w:widowControl/>
      </w:pPr>
      <w:r w:rsidRPr="004B70DD">
        <w:t>O.</w:t>
      </w:r>
      <w:r w:rsidRPr="004B70DD">
        <w:tab/>
        <w:t>mivel a Covid19-válság és a folyamatban lévő ukrajnai háború egyik tanulsága az, hogy az Uniónak véget kell vetnie az egyes kritikus fontosságú anyagoktól való függőségének; mivel a Christophe Hansen biztosjelöltnek címzett megbízólevélben Ursula von der Leyen, a Bizottság elnöke arra kéri őt, hogy vizsgálja meg a kritikus fontosságú áruk behozatala csökkentésének módjait</w:t>
      </w:r>
      <w:r w:rsidRPr="004B70DD">
        <w:rPr>
          <w:rStyle w:val="FootnoteReference"/>
        </w:rPr>
        <w:footnoteReference w:id="14"/>
      </w:r>
      <w:r w:rsidRPr="004B70DD">
        <w:t xml:space="preserve">; </w:t>
      </w:r>
    </w:p>
    <w:p w:rsidR="007548CA" w:rsidRPr="004B70DD" w:rsidRDefault="007548CA" w:rsidP="00F35168">
      <w:pPr>
        <w:pStyle w:val="NormalHanging12a"/>
        <w:widowControl/>
        <w:rPr>
          <w:b/>
          <w:i/>
        </w:rPr>
      </w:pPr>
      <w:r w:rsidRPr="004B70DD">
        <w:rPr>
          <w:b/>
          <w:i/>
        </w:rPr>
        <w:t>Nem demokratikus döntéshozatal</w:t>
      </w:r>
    </w:p>
    <w:p w:rsidR="007548CA" w:rsidRPr="004B70DD" w:rsidRDefault="007548CA" w:rsidP="00F35168">
      <w:pPr>
        <w:pStyle w:val="NormalHanging12a"/>
        <w:widowControl/>
      </w:pPr>
      <w:r w:rsidRPr="004B70DD">
        <w:t>P.</w:t>
      </w:r>
      <w:r w:rsidRPr="004B70DD">
        <w:tab/>
        <w:t>mivel a Parlament a 8. parlamenti ciklusban összesen 36 olyan állásfoglalást fogadott el, amelyben kifogásolta az élelmiszernek és takarmánynak szánt GMO-k forgalomba hozatalát (33 állásfoglalás), valamint a GMO-k Unión belüli termesztését (három állásfoglalás); mivel a 9. parlamenti ciklusban a Parlament 38 kifogást fogadott el GMO-k forgalomba hozatala ellen;</w:t>
      </w:r>
    </w:p>
    <w:p w:rsidR="007548CA" w:rsidRPr="004B70DD" w:rsidRDefault="007548CA" w:rsidP="00F35168">
      <w:pPr>
        <w:pStyle w:val="NormalHanging12a"/>
        <w:widowControl/>
      </w:pPr>
      <w:r w:rsidRPr="004B70DD">
        <w:t>Q.</w:t>
      </w:r>
      <w:r w:rsidRPr="004B70DD">
        <w:tab/>
      </w:r>
      <w:proofErr w:type="gramStart"/>
      <w:r w:rsidRPr="004B70DD">
        <w:t>mivel</w:t>
      </w:r>
      <w:proofErr w:type="gramEnd"/>
      <w:r w:rsidRPr="004B70DD">
        <w:t xml:space="preserve"> a Bizottság – annak ellenére, hogy elismeri a demokratikus hiányosságokat, a tagállamok támogatásának hiányát és a Parlament kifogásait – továbbra is folytatja a GMO-k engedélyezését;</w:t>
      </w:r>
    </w:p>
    <w:p w:rsidR="007548CA" w:rsidRPr="004B70DD" w:rsidRDefault="007548CA" w:rsidP="00F35168">
      <w:pPr>
        <w:pStyle w:val="NormalHanging12a"/>
        <w:widowControl/>
      </w:pPr>
      <w:r w:rsidRPr="004B70DD">
        <w:t>R.</w:t>
      </w:r>
      <w:r w:rsidRPr="004B70DD">
        <w:tab/>
      </w:r>
      <w:proofErr w:type="gramStart"/>
      <w:r w:rsidRPr="004B70DD">
        <w:t>mivel</w:t>
      </w:r>
      <w:proofErr w:type="gramEnd"/>
      <w:r w:rsidRPr="004B70DD">
        <w:t xml:space="preserve"> nincs szükség jogszabály-módosításra ahhoz, hogy a Bizottság elállhasson a GMO-k engedélyezésétől olyan esetben, amikor a fellebbviteli bizottságban nincs meg a tagállamok minősített többségének támogatása</w:t>
      </w:r>
      <w:r w:rsidRPr="004B70DD">
        <w:rPr>
          <w:rStyle w:val="FootnoteReference"/>
        </w:rPr>
        <w:footnoteReference w:id="15"/>
      </w:r>
      <w:r w:rsidRPr="004B70DD">
        <w:t>;</w:t>
      </w:r>
    </w:p>
    <w:p w:rsidR="007548CA" w:rsidRPr="004B70DD" w:rsidRDefault="007548CA" w:rsidP="00F35168">
      <w:pPr>
        <w:pStyle w:val="NormalHanging12a"/>
        <w:widowControl/>
      </w:pPr>
      <w:r w:rsidRPr="004B70DD">
        <w:t>S.</w:t>
      </w:r>
      <w:r w:rsidRPr="004B70DD">
        <w:tab/>
      </w:r>
      <w:proofErr w:type="gramStart"/>
      <w:r w:rsidRPr="004B70DD">
        <w:rPr>
          <w:shd w:val="clear" w:color="auto" w:fill="FFFFFF"/>
        </w:rPr>
        <w:t>mivel</w:t>
      </w:r>
      <w:proofErr w:type="gramEnd"/>
      <w:r w:rsidRPr="004B70DD">
        <w:rPr>
          <w:shd w:val="clear" w:color="auto" w:fill="FFFFFF"/>
        </w:rPr>
        <w:t xml:space="preserve"> az 1829/2003/EK rendelet 35. cikkében említett Növények, Állatok, Élelmiszerek és Takarmányok Állandó Bizottsága 2024. július 8-i szavazása során nem nyilvánított véleményt, ami azt jelenti, hogy az engedélyezést nem támogatta a tagállamok minősített többsége; mivel a fellebbviteli bizottság 2024. szeptember 3-i szavazása során ismét nem született vélemény;</w:t>
      </w:r>
    </w:p>
    <w:p w:rsidR="007548CA" w:rsidRPr="004B70DD" w:rsidRDefault="007548CA" w:rsidP="00F35168">
      <w:pPr>
        <w:pStyle w:val="NormalHanging12a"/>
        <w:widowControl/>
      </w:pPr>
      <w:r w:rsidRPr="004B70DD">
        <w:t>1.</w:t>
      </w:r>
      <w:r w:rsidRPr="004B70DD">
        <w:tab/>
        <w:t>úgy véli, hogy a</w:t>
      </w:r>
      <w:r w:rsidR="00AD6015">
        <w:t>z (EU) 20</w:t>
      </w:r>
      <w:r w:rsidR="00B86C8B">
        <w:t>2</w:t>
      </w:r>
      <w:r w:rsidR="00AD6015">
        <w:t>4/2618</w:t>
      </w:r>
      <w:r w:rsidRPr="004B70DD">
        <w:t xml:space="preserve"> bizottsági végrehajtási határozat</w:t>
      </w:r>
      <w:r w:rsidR="00AD6015">
        <w:t>a</w:t>
      </w:r>
      <w:r w:rsidRPr="004B70DD">
        <w:t xml:space="preserve"> túllépi az 1829/2003/EK rendeletben meghatározott végrehajtási hatásköröket;</w:t>
      </w:r>
    </w:p>
    <w:p w:rsidR="007548CA" w:rsidRPr="004B70DD" w:rsidRDefault="007548CA" w:rsidP="00F35168">
      <w:pPr>
        <w:pStyle w:val="NormalHanging12a"/>
        <w:widowControl/>
      </w:pPr>
      <w:proofErr w:type="gramStart"/>
      <w:r w:rsidRPr="004B70DD">
        <w:t>2.</w:t>
      </w:r>
      <w:r w:rsidRPr="004B70DD">
        <w:tab/>
        <w:t>úgy véli, hogy a</w:t>
      </w:r>
      <w:r w:rsidR="00AD6015" w:rsidRPr="00AD6015">
        <w:t>z (EU) 20</w:t>
      </w:r>
      <w:r w:rsidR="00B86C8B">
        <w:t>2</w:t>
      </w:r>
      <w:r w:rsidR="00AD6015" w:rsidRPr="00AD6015">
        <w:t>4/2618</w:t>
      </w:r>
      <w:r w:rsidRPr="004B70DD">
        <w:t xml:space="preserve"> bizottsági végrehajtási határozat nem felel meg az uniós jognak, mivel nem egyeztethető össze az 1829/2003/EK rendelet célkitűzésével, azaz a 178/2002/EK európai parlamenti és tanácsi rendeletben</w:t>
      </w:r>
      <w:r w:rsidRPr="004B70DD">
        <w:rPr>
          <w:rStyle w:val="FootnoteReference"/>
        </w:rPr>
        <w:footnoteReference w:id="16"/>
      </w:r>
      <w:r w:rsidRPr="004B70DD">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roofErr w:type="gramEnd"/>
    </w:p>
    <w:p w:rsidR="000401B9" w:rsidRPr="0079082E" w:rsidRDefault="000401B9" w:rsidP="00F35168">
      <w:pPr>
        <w:pStyle w:val="NormalHanging12a"/>
        <w:widowControl/>
      </w:pPr>
      <w:r w:rsidRPr="0079082E">
        <w:lastRenderedPageBreak/>
        <w:t>3.</w:t>
      </w:r>
      <w:r w:rsidRPr="0079082E">
        <w:tab/>
        <w:t>felhívja a Bizottságot, hogy az uniós biztonsági előírásoknak való megfelelés érdekében a szabadkereskedelmi megállapodásokról szóló tárgyalások során biztosítsa a normák közelítését az Unió és partnerei között;</w:t>
      </w:r>
    </w:p>
    <w:p w:rsidR="007548CA" w:rsidRPr="004B70DD" w:rsidRDefault="000401B9" w:rsidP="00F35168">
      <w:pPr>
        <w:pStyle w:val="NormalHanging12a"/>
        <w:widowControl/>
      </w:pPr>
      <w:r>
        <w:t>4</w:t>
      </w:r>
      <w:r w:rsidR="007548CA" w:rsidRPr="004B70DD">
        <w:t>.</w:t>
      </w:r>
      <w:r w:rsidR="007548CA" w:rsidRPr="004B70DD">
        <w:tab/>
        <w:t xml:space="preserve">felkéri a Bizottságot, hogy </w:t>
      </w:r>
      <w:r w:rsidR="00AD6015">
        <w:t xml:space="preserve">helyezze hatályon kívül </w:t>
      </w:r>
      <w:r w:rsidR="00AD6015" w:rsidRPr="00AD6015">
        <w:t>az (EU) 2024/26</w:t>
      </w:r>
      <w:r w:rsidR="00B86C8B">
        <w:t>18</w:t>
      </w:r>
      <w:bookmarkStart w:id="6" w:name="_GoBack"/>
      <w:bookmarkEnd w:id="6"/>
      <w:r w:rsidR="00AD6015" w:rsidRPr="00AD6015">
        <w:t xml:space="preserve"> </w:t>
      </w:r>
      <w:r w:rsidR="007548CA" w:rsidRPr="004B70DD">
        <w:t>végrehajtási határozat</w:t>
      </w:r>
      <w:r w:rsidR="00AD6015">
        <w:t>át</w:t>
      </w:r>
      <w:r w:rsidR="007548CA" w:rsidRPr="004B70DD">
        <w:t xml:space="preserve"> és nyújtson be új tervezetet a bizottságnak;</w:t>
      </w:r>
    </w:p>
    <w:p w:rsidR="007548CA" w:rsidRPr="004B70DD" w:rsidRDefault="000401B9" w:rsidP="00F35168">
      <w:pPr>
        <w:pStyle w:val="NormalHanging12a"/>
        <w:widowControl/>
      </w:pPr>
      <w:r>
        <w:t>5</w:t>
      </w:r>
      <w:r w:rsidR="007548CA" w:rsidRPr="004B70DD">
        <w:t>.</w:t>
      </w:r>
      <w:r w:rsidR="007548CA" w:rsidRPr="004B70DD">
        <w:tab/>
        <w:t xml:space="preserve">felhívja a Bizottságot, hogy összhangban az „egy egészség” megközelítéssel ne engedélyezze a gyomirtó szereknek ellenálló, géntechnológiával módosított növényeket, mert ennek következményeként megnő a kiegészítő gyomirtó szerek használata, és </w:t>
      </w:r>
      <w:proofErr w:type="gramStart"/>
      <w:r w:rsidR="007548CA" w:rsidRPr="004B70DD">
        <w:t>ezáltal</w:t>
      </w:r>
      <w:proofErr w:type="gramEnd"/>
      <w:r w:rsidR="007548CA" w:rsidRPr="004B70DD">
        <w:t xml:space="preserve"> megnőnek a biológiai sokféleséget, az élelmiszer-biztonságot és a munkavállalók egészségét fenyegető kockázatok is;</w:t>
      </w:r>
    </w:p>
    <w:p w:rsidR="007548CA" w:rsidRPr="004B70DD" w:rsidRDefault="000401B9" w:rsidP="00F35168">
      <w:pPr>
        <w:pStyle w:val="NormalHanging12a"/>
        <w:widowControl/>
      </w:pPr>
      <w:r>
        <w:t>6</w:t>
      </w:r>
      <w:r w:rsidR="007548CA" w:rsidRPr="004B70DD">
        <w:t>.</w:t>
      </w:r>
      <w:r w:rsidR="007548CA" w:rsidRPr="004B70DD">
        <w:tab/>
        <w:t>kiemeli e tekintetben, hogy az Unióban betiltott gyomirtó szerekkel – például a glufozináttal – szemben ellenállóvá tett, géntechnológiával módosított növények élelmiszerként vagy takarmányként való felhasználás céljával történő behozatalának engedélyezése nincs összhangban az Unió nemzetközi kötelezettségvállalásaival, többek között az ENSZ fenntartható fejlődési céljaival és az ENSZ biológiai sokféleségről szóló egyezményével, beleértve a közelmúltban elfogadott kunming-montreali keretstratégiát is</w:t>
      </w:r>
      <w:r w:rsidR="007548CA" w:rsidRPr="004B70DD">
        <w:rPr>
          <w:rStyle w:val="FootnoteReference"/>
        </w:rPr>
        <w:footnoteReference w:id="17"/>
      </w:r>
      <w:r w:rsidR="007548CA" w:rsidRPr="004B70DD">
        <w:t>;</w:t>
      </w:r>
    </w:p>
    <w:p w:rsidR="007548CA" w:rsidRPr="004B70DD" w:rsidRDefault="000401B9" w:rsidP="00F35168">
      <w:pPr>
        <w:pStyle w:val="NormalHanging12a"/>
        <w:widowControl/>
      </w:pPr>
      <w:r>
        <w:t>7</w:t>
      </w:r>
      <w:r w:rsidR="007548CA" w:rsidRPr="004B70DD">
        <w:t>.</w:t>
      </w:r>
      <w:r w:rsidR="007548CA" w:rsidRPr="004B70DD">
        <w:tab/>
        <w:t>elvárja, hogy a Bizottság sürgősen teljesítse azon kötelezettségvállalását</w:t>
      </w:r>
      <w:r w:rsidR="007548CA" w:rsidRPr="004B70DD">
        <w:rPr>
          <w:rStyle w:val="FootnoteReference"/>
        </w:rPr>
        <w:footnoteReference w:id="18"/>
      </w:r>
      <w:r w:rsidR="007548CA" w:rsidRPr="004B70DD">
        <w:t xml:space="preserve">, hogy javaslatot terjeszt elő annak biztosítására, hogy az Unióban betiltott veszélyes vegyi anyagokat ne gyártsák </w:t>
      </w:r>
      <w:proofErr w:type="gramStart"/>
      <w:r w:rsidR="007548CA" w:rsidRPr="004B70DD">
        <w:t>exportra</w:t>
      </w:r>
      <w:proofErr w:type="gramEnd"/>
      <w:r w:rsidR="007548CA" w:rsidRPr="004B70DD">
        <w:t>;</w:t>
      </w:r>
    </w:p>
    <w:p w:rsidR="007548CA" w:rsidRPr="004B70DD" w:rsidRDefault="000401B9" w:rsidP="00F35168">
      <w:pPr>
        <w:pStyle w:val="NormalHanging12a"/>
        <w:widowControl/>
      </w:pPr>
      <w:r>
        <w:t>8</w:t>
      </w:r>
      <w:r w:rsidR="007548CA" w:rsidRPr="004B70DD">
        <w:t>.</w:t>
      </w:r>
      <w:r w:rsidR="007548CA" w:rsidRPr="004B70DD">
        <w:tab/>
        <w:t>üdvözli, hogy a Bizottság a képviselőknek címzett 2020. szeptember 11-i levelében végül elismerte, hogy a GMO-kra vonatkozó engedélyezési határozatoknál figyelembe kell venni a fenntarthatóságot</w:t>
      </w:r>
      <w:r w:rsidR="007548CA" w:rsidRPr="004B70DD">
        <w:rPr>
          <w:rStyle w:val="FootnoteReference"/>
        </w:rPr>
        <w:footnoteReference w:id="19"/>
      </w:r>
      <w:r w:rsidR="007548CA" w:rsidRPr="004B70DD">
        <w:t xml:space="preserve">; ugyanakkor mély csalódottságának ad hangot amiatt, hogy a Bizottság </w:t>
      </w:r>
      <w:proofErr w:type="gramStart"/>
      <w:r w:rsidR="007548CA" w:rsidRPr="004B70DD">
        <w:t>azóta</w:t>
      </w:r>
      <w:proofErr w:type="gramEnd"/>
      <w:r w:rsidR="007548CA" w:rsidRPr="004B70DD">
        <w:t xml:space="preserve"> is folytatja a GMO-k behozatalának engedélyezését, jóllehet a Parlament ezt ellenzi, és a tagállamok minősített többsége nem támogatja azt;</w:t>
      </w:r>
    </w:p>
    <w:p w:rsidR="007548CA" w:rsidRPr="004B70DD" w:rsidRDefault="000401B9" w:rsidP="00F35168">
      <w:pPr>
        <w:pStyle w:val="NormalHanging12a"/>
        <w:widowControl/>
      </w:pPr>
      <w:r>
        <w:t>9</w:t>
      </w:r>
      <w:r w:rsidR="007548CA" w:rsidRPr="004B70DD">
        <w:t>.</w:t>
      </w:r>
      <w:r w:rsidR="007548CA" w:rsidRPr="004B70DD">
        <w:tab/>
        <w:t xml:space="preserve">ismételten sürgeti a Bizottságot, hogy vegye figyelembe az Unió nemzetközi megállapodások – például a Párizsi Megállapodás, a biológiai sokféleségről szóló ENSZ-egyezmény és az ENSZ fenntartható fejlődési céljai – szerinti kötelezettségeit; ismételten kéri, hogy a végrehajtási jogi </w:t>
      </w:r>
      <w:proofErr w:type="gramStart"/>
      <w:r w:rsidR="007548CA" w:rsidRPr="004B70DD">
        <w:t>aktusok</w:t>
      </w:r>
      <w:proofErr w:type="gramEnd"/>
      <w:r w:rsidR="007548CA" w:rsidRPr="004B70DD">
        <w:t xml:space="preserve"> tervezetéhez mellékeljenek indokolást arról, hogy azok hogyan tartják tiszteletben a „ne árts” elvet</w:t>
      </w:r>
      <w:r w:rsidR="007548CA" w:rsidRPr="004B70DD">
        <w:rPr>
          <w:rStyle w:val="FootnoteReference"/>
        </w:rPr>
        <w:footnoteReference w:id="20"/>
      </w:r>
      <w:r w:rsidR="007548CA" w:rsidRPr="004B70DD">
        <w:t xml:space="preserve">; </w:t>
      </w:r>
    </w:p>
    <w:p w:rsidR="004B70DD" w:rsidRPr="004B70DD" w:rsidRDefault="000401B9" w:rsidP="00F35168">
      <w:pPr>
        <w:pStyle w:val="NormalHanging12a"/>
        <w:widowControl/>
      </w:pPr>
      <w:r>
        <w:lastRenderedPageBreak/>
        <w:t>10</w:t>
      </w:r>
      <w:r w:rsidR="007548CA" w:rsidRPr="004B70DD">
        <w:t>.</w:t>
      </w:r>
      <w:r w:rsidR="007548CA" w:rsidRPr="004B70DD">
        <w:tab/>
        <w:t>utasítja elnökét, hogy továbbítsa ezt az állásfoglalást a Tanácsnak és a Bizottságnak, valamint a tagállamok kormányainak és parlamentjeinek.</w:t>
      </w:r>
    </w:p>
    <w:sectPr w:rsidR="004B70DD" w:rsidRPr="004B70DD" w:rsidSect="004B70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CB6" w:rsidRPr="004B70DD" w:rsidRDefault="00D64CB6">
      <w:r w:rsidRPr="004B70DD">
        <w:separator/>
      </w:r>
    </w:p>
  </w:endnote>
  <w:endnote w:type="continuationSeparator" w:id="0">
    <w:p w:rsidR="00D64CB6" w:rsidRPr="004B70DD" w:rsidRDefault="00D64CB6">
      <w:r w:rsidRPr="004B7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CB6" w:rsidRPr="004B70DD" w:rsidRDefault="00D64CB6">
      <w:r w:rsidRPr="004B70DD">
        <w:separator/>
      </w:r>
    </w:p>
  </w:footnote>
  <w:footnote w:type="continuationSeparator" w:id="0">
    <w:p w:rsidR="00D64CB6" w:rsidRPr="004B70DD" w:rsidRDefault="00D64CB6">
      <w:r w:rsidRPr="004B70DD">
        <w:continuationSeparator/>
      </w:r>
    </w:p>
  </w:footnote>
  <w:footnote w:id="1">
    <w:p w:rsidR="00AD6015" w:rsidRPr="000401B9" w:rsidRDefault="00AD6015" w:rsidP="000401B9">
      <w:pPr>
        <w:pStyle w:val="FootnoteText"/>
        <w:ind w:left="567" w:hanging="567"/>
        <w:rPr>
          <w:sz w:val="24"/>
          <w:szCs w:val="24"/>
          <w:lang w:val="fi-FI"/>
        </w:rPr>
      </w:pPr>
      <w:r w:rsidRPr="000401B9">
        <w:rPr>
          <w:rStyle w:val="FootnoteReference"/>
          <w:sz w:val="24"/>
          <w:szCs w:val="24"/>
        </w:rPr>
        <w:footnoteRef/>
      </w:r>
      <w:r w:rsidRPr="000401B9">
        <w:rPr>
          <w:sz w:val="24"/>
          <w:szCs w:val="24"/>
          <w:lang w:val="fi-FI"/>
        </w:rPr>
        <w:t xml:space="preserve"> </w:t>
      </w:r>
      <w:r w:rsidRPr="000401B9">
        <w:rPr>
          <w:sz w:val="24"/>
          <w:szCs w:val="24"/>
          <w:lang w:val="fi-FI"/>
        </w:rPr>
        <w:tab/>
        <w:t>HL L, 2024/2618, 202</w:t>
      </w:r>
      <w:r w:rsidR="00B86C8B">
        <w:rPr>
          <w:sz w:val="24"/>
          <w:szCs w:val="24"/>
          <w:lang w:val="fi-FI"/>
        </w:rPr>
        <w:t>4</w:t>
      </w:r>
      <w:r w:rsidRPr="000401B9">
        <w:rPr>
          <w:sz w:val="24"/>
          <w:szCs w:val="24"/>
          <w:lang w:val="fi-FI"/>
        </w:rPr>
        <w:t xml:space="preserve">.10.10., ELI: </w:t>
      </w:r>
      <w:hyperlink r:id="rId1" w:history="1">
        <w:r w:rsidRPr="000401B9">
          <w:rPr>
            <w:rStyle w:val="Hyperlink"/>
            <w:sz w:val="24"/>
            <w:szCs w:val="24"/>
            <w:lang w:val="fi-FI"/>
          </w:rPr>
          <w:t>http://data.europa.eu/eli/dec_impl/2024/2618/oj</w:t>
        </w:r>
      </w:hyperlink>
      <w:r w:rsidRPr="000401B9">
        <w:rPr>
          <w:sz w:val="24"/>
          <w:szCs w:val="24"/>
          <w:lang w:val="fi-FI"/>
        </w:rPr>
        <w:t>.</w:t>
      </w:r>
    </w:p>
  </w:footnote>
  <w:footnote w:id="2">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HL L 268., 2003.10.18</w:t>
      </w:r>
      <w:proofErr w:type="gramStart"/>
      <w:r w:rsidRPr="00326AC1">
        <w:rPr>
          <w:sz w:val="24"/>
          <w:szCs w:val="24"/>
          <w:lang w:val="hu-HU"/>
        </w:rPr>
        <w:t>.,</w:t>
      </w:r>
      <w:proofErr w:type="gramEnd"/>
      <w:r w:rsidRPr="00326AC1">
        <w:rPr>
          <w:sz w:val="24"/>
          <w:szCs w:val="24"/>
          <w:lang w:val="hu-HU"/>
        </w:rPr>
        <w:t xml:space="preserve"> 1. o., ELI: </w:t>
      </w:r>
      <w:hyperlink r:id="rId2" w:tooltip="Az ELI (európai jogszabály-azonosító) URI-hivatkozása révén biztosít hozzáférést a dokumentumhoz." w:history="1">
        <w:r w:rsidRPr="000401B9">
          <w:rPr>
            <w:rStyle w:val="Hyperlink"/>
            <w:color w:val="337AB7"/>
            <w:sz w:val="24"/>
            <w:szCs w:val="24"/>
            <w:shd w:val="clear" w:color="auto" w:fill="FFFFFF"/>
            <w:lang w:val="hu-HU"/>
          </w:rPr>
          <w:t>http://data.europa.eu/eli/reg/2003/1829/oj</w:t>
        </w:r>
      </w:hyperlink>
      <w:r w:rsidR="00492E86" w:rsidRPr="00326AC1">
        <w:rPr>
          <w:rStyle w:val="Hyperlink"/>
          <w:color w:val="337AB7"/>
          <w:sz w:val="24"/>
          <w:szCs w:val="24"/>
          <w:shd w:val="clear" w:color="auto" w:fill="FFFFFF"/>
          <w:lang w:val="hu-HU"/>
        </w:rPr>
        <w:t>.</w:t>
      </w:r>
    </w:p>
  </w:footnote>
  <w:footnote w:id="3">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HL L 55., 2011.2.28</w:t>
      </w:r>
      <w:proofErr w:type="gramStart"/>
      <w:r w:rsidRPr="00326AC1">
        <w:rPr>
          <w:sz w:val="24"/>
          <w:szCs w:val="24"/>
          <w:lang w:val="hu-HU"/>
        </w:rPr>
        <w:t>.,</w:t>
      </w:r>
      <w:proofErr w:type="gramEnd"/>
      <w:r w:rsidRPr="00326AC1">
        <w:rPr>
          <w:sz w:val="24"/>
          <w:szCs w:val="24"/>
          <w:lang w:val="hu-HU"/>
        </w:rPr>
        <w:t xml:space="preserve"> 13. o., ELI: </w:t>
      </w:r>
      <w:hyperlink r:id="rId3" w:tooltip="Az ELI (európai jogszabály-azonosító) URI-hivatkozása révén biztosít hozzáférést a dokumentumhoz." w:history="1">
        <w:r w:rsidRPr="000401B9">
          <w:rPr>
            <w:rStyle w:val="Hyperlink"/>
            <w:color w:val="337AB7"/>
            <w:sz w:val="24"/>
            <w:szCs w:val="24"/>
            <w:shd w:val="clear" w:color="auto" w:fill="FFFFFF"/>
            <w:lang w:val="hu-HU"/>
          </w:rPr>
          <w:t>http://data.europa.eu/eli/reg/2011/182/oj</w:t>
        </w:r>
      </w:hyperlink>
      <w:r w:rsidR="00492E86" w:rsidRPr="00326AC1">
        <w:rPr>
          <w:rStyle w:val="Hyperlink"/>
          <w:color w:val="337AB7"/>
          <w:sz w:val="24"/>
          <w:szCs w:val="24"/>
          <w:shd w:val="clear" w:color="auto" w:fill="FFFFFF"/>
          <w:lang w:val="hu-HU"/>
        </w:rPr>
        <w:t>.</w:t>
      </w:r>
    </w:p>
  </w:footnote>
  <w:footnote w:id="4">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Az EFSA géntechnológiával módosított szervezetekkel foglalkozó </w:t>
      </w:r>
      <w:r w:rsidRPr="00E75B2C">
        <w:rPr>
          <w:sz w:val="24"/>
          <w:szCs w:val="24"/>
          <w:lang w:val="hu-HU"/>
        </w:rPr>
        <w:t>tudományos testületének tudományos szakvéleménye a géntechnológiával módosított DP202216 kukorica élelmiszerként és takarmányként való felhasználás céljából történő, az 1829/2003/EK rendelet szerinti értékeléséről (EFSA-GMO-NL-2019-159 kérelem), EFSA Jou</w:t>
      </w:r>
      <w:r w:rsidRPr="000401B9">
        <w:rPr>
          <w:sz w:val="24"/>
          <w:szCs w:val="24"/>
          <w:lang w:val="hu-HU"/>
        </w:rPr>
        <w:t xml:space="preserve">rnal, 2024 </w:t>
      </w:r>
      <w:proofErr w:type="gramStart"/>
      <w:r w:rsidRPr="000401B9">
        <w:rPr>
          <w:sz w:val="24"/>
          <w:szCs w:val="24"/>
          <w:lang w:val="hu-HU"/>
        </w:rPr>
        <w:t>22(</w:t>
      </w:r>
      <w:proofErr w:type="gramEnd"/>
      <w:r w:rsidRPr="000401B9">
        <w:rPr>
          <w:sz w:val="24"/>
          <w:szCs w:val="24"/>
          <w:lang w:val="hu-HU"/>
        </w:rPr>
        <w:t xml:space="preserve">3):8655, </w:t>
      </w:r>
      <w:hyperlink r:id="rId4" w:history="1">
        <w:r w:rsidRPr="000401B9">
          <w:rPr>
            <w:rStyle w:val="Hyperlink"/>
            <w:sz w:val="24"/>
            <w:szCs w:val="24"/>
            <w:lang w:val="hu-HU"/>
          </w:rPr>
          <w:t>https://doi.org/10.2903/j.efsa.2024.8655</w:t>
        </w:r>
      </w:hyperlink>
      <w:r w:rsidRPr="00326AC1">
        <w:rPr>
          <w:sz w:val="24"/>
          <w:szCs w:val="24"/>
          <w:lang w:val="hu-HU"/>
        </w:rPr>
        <w:t>.</w:t>
      </w:r>
    </w:p>
  </w:footnote>
  <w:footnote w:id="5">
    <w:p w:rsidR="007548CA" w:rsidRPr="000401B9"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A 8. parlamenti ciklusban a Parlament 36, a 9. ciklusban pedig 38 olyan állásfoglalást fogadott el, amelyben kifogást emelt GMO-k eng</w:t>
      </w:r>
      <w:r w:rsidRPr="00E75B2C">
        <w:rPr>
          <w:sz w:val="24"/>
          <w:szCs w:val="24"/>
          <w:lang w:val="hu-HU"/>
        </w:rPr>
        <w:t>edélyezésével szemben.</w:t>
      </w:r>
      <w:r w:rsidRPr="000401B9">
        <w:rPr>
          <w:color w:val="000000" w:themeColor="text1"/>
          <w:sz w:val="24"/>
          <w:szCs w:val="24"/>
          <w:lang w:val="hu-HU"/>
        </w:rPr>
        <w:t xml:space="preserve"> </w:t>
      </w:r>
    </w:p>
  </w:footnote>
  <w:footnote w:id="6">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proofErr w:type="gramStart"/>
      <w:r w:rsidRPr="00326AC1">
        <w:rPr>
          <w:sz w:val="24"/>
          <w:szCs w:val="24"/>
          <w:lang w:val="hu-HU"/>
        </w:rPr>
        <w:t>A Bizottság 503/2013/EU végrehajtási rendelete (2013. április 3.) a géntechnológiával módosított élelmiszerek és takarmányok 1829/2003/EK európai parlamenti és tanácsi rendelet szerinti engedélyezése iránti kérelemről, valamint a 641/2004/EK és az 1981/200</w:t>
      </w:r>
      <w:r w:rsidRPr="00E75B2C">
        <w:rPr>
          <w:sz w:val="24"/>
          <w:szCs w:val="24"/>
          <w:lang w:val="hu-HU"/>
        </w:rPr>
        <w:t xml:space="preserve">6/EK bizottsági rendelet módosításáról (HL L 157., 2013.6.8., 1. o., ELI: </w:t>
      </w:r>
      <w:hyperlink r:id="rId5" w:tooltip="Az ELI (európai jogszabály-azonosító) URI-hivatkozása révén biztosít hozzáférést a dokumentumhoz." w:history="1">
        <w:r w:rsidRPr="000401B9">
          <w:rPr>
            <w:rStyle w:val="Hyperlink"/>
            <w:sz w:val="24"/>
            <w:szCs w:val="24"/>
            <w:lang w:val="hu-HU"/>
          </w:rPr>
          <w:t>http://data.europa.eu/eli/reg_impl/2013/503/oj</w:t>
        </w:r>
      </w:hyperlink>
      <w:r w:rsidRPr="00326AC1">
        <w:rPr>
          <w:sz w:val="24"/>
          <w:szCs w:val="24"/>
          <w:lang w:val="hu-HU"/>
        </w:rPr>
        <w:t>).</w:t>
      </w:r>
      <w:proofErr w:type="gramEnd"/>
    </w:p>
  </w:footnote>
  <w:footnote w:id="7">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Lásd például Schulz, R</w:t>
      </w:r>
      <w:proofErr w:type="gramStart"/>
      <w:r w:rsidRPr="00326AC1">
        <w:rPr>
          <w:sz w:val="24"/>
          <w:szCs w:val="24"/>
          <w:lang w:val="hu-HU"/>
        </w:rPr>
        <w:t>.,</w:t>
      </w:r>
      <w:proofErr w:type="gramEnd"/>
      <w:r w:rsidRPr="00326AC1">
        <w:rPr>
          <w:sz w:val="24"/>
          <w:szCs w:val="24"/>
          <w:lang w:val="hu-HU"/>
        </w:rPr>
        <w:t xml:space="preserve"> Bub, S., Petschick, L. L., Stehle, S., Wolfram, J. (2021), „</w:t>
      </w:r>
      <w:proofErr w:type="gramStart"/>
      <w:r w:rsidRPr="00326AC1">
        <w:rPr>
          <w:sz w:val="24"/>
          <w:szCs w:val="24"/>
          <w:lang w:val="hu-HU"/>
        </w:rPr>
        <w:t>Applied pesticide toxicity shifts toward plants and invertebrates, even in GM crops”, Science 372(6537), 81–84. o.</w:t>
      </w:r>
      <w:hyperlink r:id="rId6" w:history="1">
        <w:r w:rsidRPr="000401B9">
          <w:rPr>
            <w:rStyle w:val="Hyperlink"/>
            <w:sz w:val="24"/>
            <w:szCs w:val="24"/>
            <w:lang w:val="hu-HU"/>
          </w:rPr>
          <w:t>https://doi.org/10.1126/science.abe1148</w:t>
        </w:r>
      </w:hyperlink>
      <w:r w:rsidRPr="00326AC1">
        <w:rPr>
          <w:rStyle w:val="Hyperlink"/>
          <w:sz w:val="24"/>
          <w:szCs w:val="24"/>
          <w:lang w:val="hu-HU"/>
        </w:rPr>
        <w:t>;</w:t>
      </w:r>
      <w:r w:rsidRPr="00326AC1">
        <w:rPr>
          <w:sz w:val="24"/>
          <w:szCs w:val="24"/>
          <w:lang w:val="hu-HU"/>
        </w:rPr>
        <w:t xml:space="preserve"> Bonny, S., „Genetical Modified Herbicide-Tolerant Crops, Weeds és Herbicides: Overview and Impact, Environmental Management, 2016. január, 57(1), 31–48. o., </w:t>
      </w:r>
      <w:hyperlink r:id="rId7" w:history="1">
        <w:r w:rsidRPr="000401B9">
          <w:rPr>
            <w:rStyle w:val="Hyperlink"/>
            <w:sz w:val="24"/>
            <w:szCs w:val="24"/>
            <w:lang w:val="hu-HU"/>
          </w:rPr>
          <w:t>https://www.ncbi.nlm.nih.gov/pubmed/26296738</w:t>
        </w:r>
      </w:hyperlink>
      <w:r w:rsidRPr="00326AC1">
        <w:rPr>
          <w:sz w:val="24"/>
          <w:szCs w:val="24"/>
          <w:lang w:val="hu-HU"/>
        </w:rPr>
        <w:t xml:space="preserve"> és Benbrook, C. M., „Impacts of genetically engineered crops on pesticide use in the U.S.</w:t>
      </w:r>
      <w:proofErr w:type="gramEnd"/>
      <w:r w:rsidRPr="00326AC1">
        <w:rPr>
          <w:sz w:val="24"/>
          <w:szCs w:val="24"/>
          <w:lang w:val="hu-HU"/>
        </w:rPr>
        <w:t xml:space="preserve"> - the first sixteen years”, Environmental Sciences Europe, 2012. szeptember 28</w:t>
      </w:r>
      <w:proofErr w:type="gramStart"/>
      <w:r w:rsidRPr="00326AC1">
        <w:rPr>
          <w:sz w:val="24"/>
          <w:szCs w:val="24"/>
          <w:lang w:val="hu-HU"/>
        </w:rPr>
        <w:t>.,</w:t>
      </w:r>
      <w:proofErr w:type="gramEnd"/>
      <w:r w:rsidRPr="00326AC1">
        <w:rPr>
          <w:sz w:val="24"/>
          <w:szCs w:val="24"/>
          <w:lang w:val="hu-HU"/>
        </w:rPr>
        <w:t xml:space="preserve"> Vol. </w:t>
      </w:r>
      <w:proofErr w:type="gramStart"/>
      <w:r w:rsidRPr="00326AC1">
        <w:rPr>
          <w:sz w:val="24"/>
          <w:szCs w:val="24"/>
          <w:lang w:val="hu-HU"/>
        </w:rPr>
        <w:t>24(</w:t>
      </w:r>
      <w:proofErr w:type="gramEnd"/>
      <w:r w:rsidRPr="00326AC1">
        <w:rPr>
          <w:sz w:val="24"/>
          <w:szCs w:val="24"/>
          <w:lang w:val="hu-HU"/>
        </w:rPr>
        <w:t xml:space="preserve">1), </w:t>
      </w:r>
      <w:hyperlink r:id="rId8" w:history="1">
        <w:r w:rsidRPr="000401B9">
          <w:rPr>
            <w:rStyle w:val="Hyperlink"/>
            <w:sz w:val="24"/>
            <w:szCs w:val="24"/>
            <w:lang w:val="hu-HU"/>
          </w:rPr>
          <w:t>https://enveurope.springeropen.com/articles/10.1186/2190-4715-24-24</w:t>
        </w:r>
      </w:hyperlink>
      <w:r w:rsidRPr="00326AC1">
        <w:rPr>
          <w:sz w:val="24"/>
          <w:szCs w:val="24"/>
          <w:lang w:val="hu-HU"/>
        </w:rPr>
        <w:t>.</w:t>
      </w:r>
    </w:p>
  </w:footnote>
  <w:footnote w:id="8">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Az Európai Parlament és a Tanács 1107/2009/EK rendelete (2009. október 21.) a növényvédő szerek forgalomba hozataláról valamint a 79/117/EGK és a 91/414/EGK tanácsi irányelvek hatályon kívül helyezéséről (HL L </w:t>
      </w:r>
      <w:r w:rsidR="00B86C8B">
        <w:rPr>
          <w:sz w:val="24"/>
          <w:szCs w:val="24"/>
          <w:lang w:val="hu-HU"/>
        </w:rPr>
        <w:t>309., 2009.11.24</w:t>
      </w:r>
      <w:proofErr w:type="gramStart"/>
      <w:r w:rsidR="00B86C8B">
        <w:rPr>
          <w:sz w:val="24"/>
          <w:szCs w:val="24"/>
          <w:lang w:val="hu-HU"/>
        </w:rPr>
        <w:t>.,</w:t>
      </w:r>
      <w:proofErr w:type="gramEnd"/>
      <w:r w:rsidR="00B86C8B">
        <w:rPr>
          <w:sz w:val="24"/>
          <w:szCs w:val="24"/>
          <w:lang w:val="hu-HU"/>
        </w:rPr>
        <w:t xml:space="preserve"> 1. o</w:t>
      </w:r>
      <w:r w:rsidRPr="00326AC1">
        <w:rPr>
          <w:sz w:val="24"/>
          <w:szCs w:val="24"/>
          <w:lang w:val="hu-HU"/>
        </w:rPr>
        <w:t xml:space="preserve">., ELI: </w:t>
      </w:r>
      <w:hyperlink r:id="rId9" w:tooltip="Az ELI (európai jogszabály-azonosító) URI-hivatkozása révén biztosít hozzáférést a dokumentumhoz." w:history="1">
        <w:r w:rsidRPr="000401B9">
          <w:rPr>
            <w:rStyle w:val="Hyperlink"/>
            <w:sz w:val="24"/>
            <w:szCs w:val="24"/>
            <w:lang w:val="hu-HU"/>
          </w:rPr>
          <w:t>http://data.europa.eu/eli/reg/2009/1107/oj</w:t>
        </w:r>
      </w:hyperlink>
      <w:r w:rsidRPr="00326AC1">
        <w:rPr>
          <w:sz w:val="24"/>
          <w:szCs w:val="24"/>
          <w:lang w:val="hu-HU"/>
        </w:rPr>
        <w:t>).</w:t>
      </w:r>
    </w:p>
  </w:footnote>
  <w:footnote w:id="9">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hyperlink r:id="rId10" w:history="1">
        <w:r w:rsidRPr="000401B9">
          <w:rPr>
            <w:rStyle w:val="Hyperlink"/>
            <w:sz w:val="24"/>
            <w:szCs w:val="24"/>
            <w:lang w:val="hu-HU"/>
          </w:rPr>
          <w:t>https://efsa.onlinelibrary.wiley.com/action/downloadSupplement?doi=10.2903%‌2Fj.efsa.2024.8655&amp;file=efs28655-sup-0008-Annex8.pdf</w:t>
        </w:r>
      </w:hyperlink>
      <w:r w:rsidRPr="00326AC1">
        <w:rPr>
          <w:rStyle w:val="Hyperlink"/>
          <w:sz w:val="24"/>
          <w:szCs w:val="24"/>
          <w:lang w:val="hu-HU"/>
        </w:rPr>
        <w:t>.</w:t>
      </w:r>
    </w:p>
  </w:footnote>
  <w:footnote w:id="10">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Strategic Dialogue on the Future of EU Agriculture - A shared prospect for farming and food in Europe, 2024. szeptember, </w:t>
      </w:r>
      <w:hyperlink r:id="rId11" w:history="1">
        <w:r w:rsidRPr="000401B9">
          <w:rPr>
            <w:rStyle w:val="Hyperlink"/>
            <w:sz w:val="24"/>
            <w:szCs w:val="24"/>
            <w:lang w:val="hu-HU"/>
          </w:rPr>
          <w:t>https://agriculture.ec.europa.eu/document/download/171329ff-0f50-4fa5-946f-aea11032172e_en?filename=strategic-dialogue-report-2024_en.pdf</w:t>
        </w:r>
      </w:hyperlink>
      <w:r w:rsidRPr="00326AC1">
        <w:rPr>
          <w:sz w:val="24"/>
          <w:szCs w:val="24"/>
          <w:lang w:val="hu-HU"/>
        </w:rPr>
        <w:t>.</w:t>
      </w:r>
    </w:p>
  </w:footnote>
  <w:footnote w:id="11">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hyperlink r:id="rId12" w:history="1">
        <w:r w:rsidRPr="000401B9">
          <w:rPr>
            <w:rStyle w:val="Hyperlink"/>
            <w:sz w:val="24"/>
            <w:szCs w:val="24"/>
            <w:lang w:val="hu-HU"/>
          </w:rPr>
          <w:t>https://www.ohchr.org/en/documents/thematic-reports/ahrc3448-report-special-rapporteur-right-food</w:t>
        </w:r>
      </w:hyperlink>
    </w:p>
  </w:footnote>
  <w:footnote w:id="12">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hyperlink r:id="rId13" w:history="1">
        <w:r w:rsidRPr="000401B9">
          <w:rPr>
            <w:rStyle w:val="Hyperlink"/>
            <w:sz w:val="24"/>
            <w:szCs w:val="24"/>
            <w:lang w:val="hu-HU"/>
          </w:rPr>
          <w:t>https://indicators.report/targets/3-9/</w:t>
        </w:r>
      </w:hyperlink>
    </w:p>
  </w:footnote>
  <w:footnote w:id="13">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Lásd: </w:t>
      </w:r>
      <w:hyperlink r:id="rId14" w:history="1">
        <w:r w:rsidRPr="000401B9">
          <w:rPr>
            <w:rStyle w:val="Hyperlink"/>
            <w:sz w:val="24"/>
            <w:szCs w:val="24"/>
            <w:lang w:val="hu-HU"/>
          </w:rPr>
          <w:t>https://ec.europa.eu/commission/presscorner/detail/hu/ip_22_7834</w:t>
        </w:r>
      </w:hyperlink>
      <w:r w:rsidRPr="00326AC1">
        <w:rPr>
          <w:sz w:val="24"/>
          <w:szCs w:val="24"/>
          <w:lang w:val="hu-HU"/>
        </w:rPr>
        <w:t>.</w:t>
      </w:r>
    </w:p>
  </w:footnote>
  <w:footnote w:id="14">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hyperlink r:id="rId15" w:history="1">
        <w:r w:rsidRPr="000401B9">
          <w:rPr>
            <w:rStyle w:val="Hyperlink"/>
            <w:sz w:val="24"/>
            <w:szCs w:val="24"/>
            <w:lang w:val="hu-HU"/>
          </w:rPr>
          <w:t>https://commission.europa.eu/document/2c64e540-c07a-4376-a1da-368d289f4afe_en</w:t>
        </w:r>
      </w:hyperlink>
    </w:p>
  </w:footnote>
  <w:footnote w:id="15">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A 182/2011/EU rendelet 6. cikkének (3) bekezdése </w:t>
      </w:r>
      <w:proofErr w:type="gramStart"/>
      <w:r w:rsidRPr="00326AC1">
        <w:rPr>
          <w:sz w:val="24"/>
          <w:szCs w:val="24"/>
          <w:lang w:val="hu-HU"/>
        </w:rPr>
        <w:t>szerint</w:t>
      </w:r>
      <w:proofErr w:type="gramEnd"/>
      <w:r w:rsidRPr="00326AC1">
        <w:rPr>
          <w:sz w:val="24"/>
          <w:szCs w:val="24"/>
          <w:lang w:val="hu-HU"/>
        </w:rPr>
        <w:t xml:space="preserve"> ha nincs meg a tagállamok minősített többsége a fellebbviteli bizottságban, az Európai Bizottság az engedélyezést „folytathatja”, nem pedig „köteles folytatni”.</w:t>
      </w:r>
    </w:p>
  </w:footnote>
  <w:footnote w:id="16">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w:t>
      </w:r>
      <w:proofErr w:type="gramStart"/>
      <w:r w:rsidRPr="00326AC1">
        <w:rPr>
          <w:sz w:val="24"/>
          <w:szCs w:val="24"/>
          <w:lang w:val="hu-HU"/>
        </w:rPr>
        <w:t>.,</w:t>
      </w:r>
      <w:proofErr w:type="gramEnd"/>
      <w:r w:rsidRPr="00326AC1">
        <w:rPr>
          <w:sz w:val="24"/>
          <w:szCs w:val="24"/>
          <w:lang w:val="hu-HU"/>
        </w:rPr>
        <w:t xml:space="preserve"> 2002.2.1., 1. o., ELI: </w:t>
      </w:r>
      <w:hyperlink r:id="rId16" w:tooltip="Az ELI (európai jogszabály-azonosító) URI-hivatkozása révén biztosít hozzáférést a dokumentumhoz." w:history="1">
        <w:r w:rsidRPr="000401B9">
          <w:rPr>
            <w:rStyle w:val="Hyperlink"/>
            <w:sz w:val="24"/>
            <w:szCs w:val="24"/>
            <w:lang w:val="hu-HU"/>
          </w:rPr>
          <w:t>http://data.europa.eu/eli/reg/2002/178/oj</w:t>
        </w:r>
      </w:hyperlink>
      <w:r w:rsidRPr="00326AC1">
        <w:rPr>
          <w:sz w:val="24"/>
          <w:szCs w:val="24"/>
          <w:lang w:val="hu-HU"/>
        </w:rPr>
        <w:t>).</w:t>
      </w:r>
    </w:p>
  </w:footnote>
  <w:footnote w:id="17">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2022 decemberében a biológiai sokféleségről szóló ENSZ-egyezmény részes feleinek 15. </w:t>
      </w:r>
      <w:proofErr w:type="gramStart"/>
      <w:r w:rsidRPr="00326AC1">
        <w:rPr>
          <w:sz w:val="24"/>
          <w:szCs w:val="24"/>
          <w:lang w:val="hu-HU"/>
        </w:rPr>
        <w:t>konferenciáján</w:t>
      </w:r>
      <w:proofErr w:type="gramEnd"/>
      <w:r w:rsidRPr="00326AC1">
        <w:rPr>
          <w:sz w:val="24"/>
          <w:szCs w:val="24"/>
          <w:lang w:val="hu-HU"/>
        </w:rPr>
        <w:t xml:space="preserve"> globális keretet fogadtak el a biológiai sokféleségről, amely magában foglalja azt a globális célt, hogy 2030-ig legalább 50%-kal csökkentsék a peszticidek kockázatát (lásd: </w:t>
      </w:r>
      <w:hyperlink r:id="rId17" w:history="1">
        <w:r w:rsidRPr="000401B9">
          <w:rPr>
            <w:rStyle w:val="Hyperlink"/>
            <w:sz w:val="24"/>
            <w:szCs w:val="24"/>
            <w:lang w:val="hu-HU"/>
          </w:rPr>
          <w:t>https://ec.europa.eu/commission/presscorner/detail/hu/ip_22_7834</w:t>
        </w:r>
      </w:hyperlink>
      <w:r w:rsidRPr="00326AC1">
        <w:rPr>
          <w:sz w:val="24"/>
          <w:szCs w:val="24"/>
          <w:lang w:val="hu-HU"/>
        </w:rPr>
        <w:t>).</w:t>
      </w:r>
    </w:p>
  </w:footnote>
  <w:footnote w:id="18">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 xml:space="preserve">„A vegyi anyagokra vonatkozó fenntarthatósági stratégia a </w:t>
      </w:r>
      <w:proofErr w:type="gramStart"/>
      <w:r w:rsidRPr="00326AC1">
        <w:rPr>
          <w:sz w:val="24"/>
          <w:szCs w:val="24"/>
          <w:lang w:val="hu-HU"/>
        </w:rPr>
        <w:t>toxikus</w:t>
      </w:r>
      <w:proofErr w:type="gramEnd"/>
      <w:r w:rsidRPr="00326AC1">
        <w:rPr>
          <w:sz w:val="24"/>
          <w:szCs w:val="24"/>
          <w:lang w:val="hu-HU"/>
        </w:rPr>
        <w:t xml:space="preserve"> anyagoktól mentes környezetért” című 2020. október 14-i bizottsági közlemény (COM(2020)0667, </w:t>
      </w:r>
      <w:hyperlink r:id="rId18" w:anchor="document2" w:history="1">
        <w:r w:rsidRPr="000401B9">
          <w:rPr>
            <w:rStyle w:val="Hyperlink"/>
            <w:sz w:val="24"/>
            <w:szCs w:val="24"/>
            <w:lang w:val="hu-HU"/>
          </w:rPr>
          <w:t>https://eur-lex.europa.eu/legal-content/HU/TXT/?uri=COM%3A2020%3A667%3AFIN#document2</w:t>
        </w:r>
      </w:hyperlink>
      <w:r w:rsidRPr="00326AC1">
        <w:rPr>
          <w:sz w:val="24"/>
          <w:szCs w:val="24"/>
          <w:lang w:val="hu-HU"/>
        </w:rPr>
        <w:t>) mellékletében foglaltaknak megfelelően.</w:t>
      </w:r>
    </w:p>
  </w:footnote>
  <w:footnote w:id="19">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hyperlink r:id="rId19" w:history="1">
        <w:r w:rsidRPr="000401B9">
          <w:rPr>
            <w:rStyle w:val="Hyperlink"/>
            <w:sz w:val="24"/>
            <w:szCs w:val="24"/>
            <w:lang w:val="hu-HU"/>
          </w:rPr>
          <w:t>https://tillymetz.lu/wp-content/uploads/2020/09/Co-signed-letter-MEP-Metz.pdf</w:t>
        </w:r>
      </w:hyperlink>
      <w:r w:rsidRPr="00326AC1">
        <w:rPr>
          <w:rStyle w:val="Hyperlink"/>
          <w:sz w:val="24"/>
          <w:szCs w:val="24"/>
          <w:lang w:val="hu-HU"/>
        </w:rPr>
        <w:t>.</w:t>
      </w:r>
    </w:p>
  </w:footnote>
  <w:footnote w:id="20">
    <w:p w:rsidR="007548CA" w:rsidRPr="00326AC1" w:rsidRDefault="007548CA" w:rsidP="004B70DD">
      <w:pPr>
        <w:pStyle w:val="FootnoteText"/>
        <w:ind w:left="567" w:hanging="567"/>
        <w:rPr>
          <w:sz w:val="24"/>
          <w:szCs w:val="24"/>
          <w:lang w:val="hu-HU"/>
        </w:rPr>
      </w:pPr>
      <w:r w:rsidRPr="00326AC1">
        <w:rPr>
          <w:rStyle w:val="FootnoteReference"/>
          <w:sz w:val="24"/>
          <w:szCs w:val="24"/>
          <w:lang w:val="hu-HU"/>
        </w:rPr>
        <w:footnoteRef/>
      </w:r>
      <w:r w:rsidR="004B70DD" w:rsidRPr="00326AC1">
        <w:rPr>
          <w:sz w:val="24"/>
          <w:szCs w:val="24"/>
          <w:lang w:val="hu-HU"/>
        </w:rPr>
        <w:t xml:space="preserve"> </w:t>
      </w:r>
      <w:r w:rsidR="004B70DD" w:rsidRPr="00326AC1">
        <w:rPr>
          <w:sz w:val="24"/>
          <w:szCs w:val="24"/>
          <w:lang w:val="hu-HU"/>
        </w:rPr>
        <w:tab/>
      </w:r>
      <w:r w:rsidRPr="00326AC1">
        <w:rPr>
          <w:sz w:val="24"/>
          <w:szCs w:val="24"/>
          <w:lang w:val="hu-HU"/>
        </w:rPr>
        <w:t>Az Európai Parlament állásfoglalása (2020. január 15.) az európai zöld megállapodásról (HL C 270., 2021.7.7</w:t>
      </w:r>
      <w:proofErr w:type="gramStart"/>
      <w:r w:rsidRPr="00326AC1">
        <w:rPr>
          <w:sz w:val="24"/>
          <w:szCs w:val="24"/>
          <w:lang w:val="hu-HU"/>
        </w:rPr>
        <w:t>.,</w:t>
      </w:r>
      <w:proofErr w:type="gramEnd"/>
      <w:r w:rsidRPr="00326AC1">
        <w:rPr>
          <w:sz w:val="24"/>
          <w:szCs w:val="24"/>
          <w:lang w:val="hu-HU"/>
        </w:rPr>
        <w:t xml:space="preserve"> 2. o.), 102. bekezdés.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0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HU"/>
    <w:docVar w:name="dvnumam" w:val="0"/>
    <w:docVar w:name="dvpe" w:val="763.293"/>
    <w:docVar w:name="dvtitre" w:val="Az Európai Parlament 2024.  ...-i állásfoglalása a géntechnológiával módosított DP202216 kukoricát tartalmazó, abból álló vagy abból előállított termékek forgalomba hozatalának az 1829/2003/EK európai parlamenti és tanácsi rendelet szerinti engedélyezéséről szóló bizottsági végrehajtási határozat tervezetéről(D098501/04 – 2024/2837(RSP))"/>
  </w:docVars>
  <w:rsids>
    <w:rsidRoot w:val="00D64CB6"/>
    <w:rsid w:val="00002272"/>
    <w:rsid w:val="000401B9"/>
    <w:rsid w:val="00064002"/>
    <w:rsid w:val="000677B9"/>
    <w:rsid w:val="000831BA"/>
    <w:rsid w:val="000A42CC"/>
    <w:rsid w:val="000E7DD9"/>
    <w:rsid w:val="0010095E"/>
    <w:rsid w:val="00125B37"/>
    <w:rsid w:val="00187494"/>
    <w:rsid w:val="001F32AE"/>
    <w:rsid w:val="002767FF"/>
    <w:rsid w:val="002B18FE"/>
    <w:rsid w:val="002B5493"/>
    <w:rsid w:val="00326AC1"/>
    <w:rsid w:val="00343214"/>
    <w:rsid w:val="00361C00"/>
    <w:rsid w:val="00395FA1"/>
    <w:rsid w:val="003E15D4"/>
    <w:rsid w:val="00411CCE"/>
    <w:rsid w:val="0041666E"/>
    <w:rsid w:val="00421060"/>
    <w:rsid w:val="00471C19"/>
    <w:rsid w:val="004867E3"/>
    <w:rsid w:val="00492E86"/>
    <w:rsid w:val="00494A28"/>
    <w:rsid w:val="004B70D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8CA"/>
    <w:rsid w:val="00756632"/>
    <w:rsid w:val="00762C74"/>
    <w:rsid w:val="00786EC0"/>
    <w:rsid w:val="0079082E"/>
    <w:rsid w:val="007D1690"/>
    <w:rsid w:val="007E22AD"/>
    <w:rsid w:val="00817416"/>
    <w:rsid w:val="00842779"/>
    <w:rsid w:val="00865F67"/>
    <w:rsid w:val="00881A7B"/>
    <w:rsid w:val="008840E5"/>
    <w:rsid w:val="00887B3E"/>
    <w:rsid w:val="008B2B58"/>
    <w:rsid w:val="008C2AC6"/>
    <w:rsid w:val="00930C23"/>
    <w:rsid w:val="0093193B"/>
    <w:rsid w:val="009509D8"/>
    <w:rsid w:val="00950B64"/>
    <w:rsid w:val="00981893"/>
    <w:rsid w:val="00A1687D"/>
    <w:rsid w:val="00A43E52"/>
    <w:rsid w:val="00A4678D"/>
    <w:rsid w:val="00A778C7"/>
    <w:rsid w:val="00AB441E"/>
    <w:rsid w:val="00AB6293"/>
    <w:rsid w:val="00AD6015"/>
    <w:rsid w:val="00AE0928"/>
    <w:rsid w:val="00AF3B82"/>
    <w:rsid w:val="00B12E95"/>
    <w:rsid w:val="00B22876"/>
    <w:rsid w:val="00B558F0"/>
    <w:rsid w:val="00B86C8B"/>
    <w:rsid w:val="00BD48FE"/>
    <w:rsid w:val="00BD7BD8"/>
    <w:rsid w:val="00BE6ADC"/>
    <w:rsid w:val="00C05BFE"/>
    <w:rsid w:val="00C23CD4"/>
    <w:rsid w:val="00C61C0C"/>
    <w:rsid w:val="00C941CB"/>
    <w:rsid w:val="00CC2357"/>
    <w:rsid w:val="00CF071A"/>
    <w:rsid w:val="00D058B8"/>
    <w:rsid w:val="00D56C11"/>
    <w:rsid w:val="00D64CB6"/>
    <w:rsid w:val="00D834A0"/>
    <w:rsid w:val="00D872DF"/>
    <w:rsid w:val="00D91E21"/>
    <w:rsid w:val="00DA7FCD"/>
    <w:rsid w:val="00E365E1"/>
    <w:rsid w:val="00E75B2C"/>
    <w:rsid w:val="00E820A4"/>
    <w:rsid w:val="00EB006A"/>
    <w:rsid w:val="00EB4772"/>
    <w:rsid w:val="00ED169E"/>
    <w:rsid w:val="00ED4235"/>
    <w:rsid w:val="00F04346"/>
    <w:rsid w:val="00F075DC"/>
    <w:rsid w:val="00F149E9"/>
    <w:rsid w:val="00F3516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0B52C"/>
  <w15:chartTrackingRefBased/>
  <w15:docId w15:val="{FCE299F2-24ED-47BF-B152-175F2C49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48CA"/>
    <w:pPr>
      <w:spacing w:before="480" w:after="240"/>
    </w:pPr>
  </w:style>
  <w:style w:type="paragraph" w:customStyle="1" w:styleId="NormalHanging12a">
    <w:name w:val="NormalHanging12a"/>
    <w:basedOn w:val="Normal"/>
    <w:rsid w:val="007548CA"/>
    <w:pPr>
      <w:spacing w:after="240"/>
      <w:ind w:left="567" w:hanging="567"/>
    </w:pPr>
  </w:style>
  <w:style w:type="character" w:styleId="Hyperlink">
    <w:name w:val="Hyperlink"/>
    <w:basedOn w:val="DefaultParagraphFont"/>
    <w:uiPriority w:val="99"/>
    <w:rsid w:val="007548CA"/>
    <w:rPr>
      <w:color w:val="0563C1" w:themeColor="hyperlink"/>
      <w:u w:val="single"/>
    </w:rPr>
  </w:style>
  <w:style w:type="paragraph" w:styleId="BalloonText">
    <w:name w:val="Balloon Text"/>
    <w:basedOn w:val="Normal"/>
    <w:link w:val="BalloonTextChar"/>
    <w:rsid w:val="00AD6015"/>
    <w:rPr>
      <w:rFonts w:ascii="Segoe UI" w:hAnsi="Segoe UI" w:cs="Segoe UI"/>
      <w:sz w:val="18"/>
      <w:szCs w:val="18"/>
    </w:rPr>
  </w:style>
  <w:style w:type="character" w:customStyle="1" w:styleId="BalloonTextChar">
    <w:name w:val="Balloon Text Char"/>
    <w:basedOn w:val="DefaultParagraphFont"/>
    <w:link w:val="BalloonText"/>
    <w:rsid w:val="00AD601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HU/TXT/?uri=COM:2020:667: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hu/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hu/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B3826-5B23-4C5B-B37A-FE734DAB9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11785</Characters>
  <Application>Microsoft Office Word</Application>
  <DocSecurity>0</DocSecurity>
  <Lines>231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2024-12-17T08:29:00Z</dcterms:created>
  <dcterms:modified xsi:type="dcterms:W3CDTF">2024-12-17T08:29:00Z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B10-0152/2024</vt:lpwstr>
  </property>
  <property fmtid="{D5CDD505-2E9C-101B-9397-08002B2CF9AE}" pid="4" name="&lt;Type&gt;">
    <vt:lpwstr>RR</vt:lpwstr>
  </property>
</Properties>
</file>