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3C86" w:rsidTr="0010095E">
        <w:trPr>
          <w:trHeight w:hRule="exact" w:val="1418"/>
        </w:trPr>
        <w:tc>
          <w:tcPr>
            <w:tcW w:w="6804" w:type="dxa"/>
            <w:shd w:val="clear" w:color="auto" w:fill="auto"/>
            <w:vAlign w:val="center"/>
          </w:tcPr>
          <w:p w:rsidR="00751A4A" w:rsidRPr="00EB3C86" w:rsidRDefault="009D137B" w:rsidP="0010095E">
            <w:pPr>
              <w:pStyle w:val="EPName"/>
            </w:pPr>
            <w:r w:rsidRPr="00EB3C86">
              <w:t>Europos Parlamentas</w:t>
            </w:r>
          </w:p>
          <w:p w:rsidR="00751A4A" w:rsidRPr="00EB3C86" w:rsidRDefault="005F1B17" w:rsidP="005F1B17">
            <w:pPr>
              <w:pStyle w:val="EPTerm"/>
              <w:rPr>
                <w:rStyle w:val="HideTWBExt"/>
                <w:noProof w:val="0"/>
                <w:vanish w:val="0"/>
                <w:color w:val="auto"/>
              </w:rPr>
            </w:pPr>
            <w:r w:rsidRPr="00EB3C86">
              <w:t>2024</w:t>
            </w:r>
            <w:r w:rsidR="00817416" w:rsidRPr="00EB3C86">
              <w:t>-202</w:t>
            </w:r>
            <w:r w:rsidRPr="00EB3C86">
              <w:t>9</w:t>
            </w:r>
          </w:p>
        </w:tc>
        <w:tc>
          <w:tcPr>
            <w:tcW w:w="2268" w:type="dxa"/>
            <w:shd w:val="clear" w:color="auto" w:fill="auto"/>
          </w:tcPr>
          <w:p w:rsidR="00751A4A" w:rsidRPr="00EB3C86" w:rsidRDefault="00187494" w:rsidP="0010095E">
            <w:pPr>
              <w:pStyle w:val="EPLogo"/>
            </w:pPr>
            <w:r w:rsidRPr="00EB3C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3C86" w:rsidRDefault="00D058B8" w:rsidP="004C5D52">
      <w:pPr>
        <w:pStyle w:val="LineTop"/>
      </w:pPr>
    </w:p>
    <w:p w:rsidR="00680577" w:rsidRPr="00EB3C86" w:rsidRDefault="009D137B" w:rsidP="00680577">
      <w:pPr>
        <w:pStyle w:val="EPBodyTA1"/>
      </w:pPr>
      <w:r w:rsidRPr="00EB3C86">
        <w:t>PRIIMTI TEKSTAI</w:t>
      </w:r>
    </w:p>
    <w:p w:rsidR="00D058B8" w:rsidRPr="00EB3C86" w:rsidRDefault="00D058B8" w:rsidP="00D058B8">
      <w:pPr>
        <w:pStyle w:val="LineBottom"/>
      </w:pPr>
    </w:p>
    <w:p w:rsidR="009D137B" w:rsidRPr="00EB3C86" w:rsidRDefault="009D137B" w:rsidP="009D137B">
      <w:pPr>
        <w:pStyle w:val="ATHeading1"/>
      </w:pPr>
      <w:bookmarkStart w:id="0" w:name="TANumber"/>
      <w:r w:rsidRPr="00EB3C86">
        <w:t>P10_TA(2024)00</w:t>
      </w:r>
      <w:r w:rsidR="006D5765" w:rsidRPr="00EB3C86">
        <w:t>44</w:t>
      </w:r>
      <w:bookmarkEnd w:id="0"/>
    </w:p>
    <w:p w:rsidR="009D137B" w:rsidRPr="00EB3C86" w:rsidRDefault="009D137B" w:rsidP="009D137B">
      <w:pPr>
        <w:pStyle w:val="ATHeading2"/>
      </w:pPr>
      <w:bookmarkStart w:id="1" w:name="title"/>
      <w:r w:rsidRPr="00EB3C86">
        <w:t>Genetiškai modifikuoti kukurūzai DP202216</w:t>
      </w:r>
      <w:bookmarkEnd w:id="1"/>
    </w:p>
    <w:p w:rsidR="009D137B" w:rsidRPr="00EB3C86" w:rsidRDefault="009D137B" w:rsidP="009D137B">
      <w:pPr>
        <w:rPr>
          <w:i/>
          <w:vanish/>
        </w:rPr>
      </w:pPr>
      <w:r w:rsidRPr="00EB3C86">
        <w:rPr>
          <w:i/>
        </w:rPr>
        <w:fldChar w:fldCharType="begin"/>
      </w:r>
      <w:r w:rsidRPr="00EB3C86">
        <w:rPr>
          <w:i/>
        </w:rPr>
        <w:instrText xml:space="preserve"> TC"(</w:instrText>
      </w:r>
      <w:bookmarkStart w:id="2" w:name="DocNumber"/>
      <w:r w:rsidRPr="00EB3C86">
        <w:rPr>
          <w:i/>
        </w:rPr>
        <w:instrText>B10-0152/2024</w:instrText>
      </w:r>
      <w:bookmarkEnd w:id="2"/>
      <w:r w:rsidRPr="00EB3C86">
        <w:rPr>
          <w:i/>
        </w:rPr>
        <w:instrText xml:space="preserve">)"\l3 \n&gt; \* MERGEFORMAT </w:instrText>
      </w:r>
      <w:r w:rsidRPr="00EB3C86">
        <w:rPr>
          <w:i/>
        </w:rPr>
        <w:fldChar w:fldCharType="end"/>
      </w:r>
    </w:p>
    <w:p w:rsidR="009D137B" w:rsidRPr="00EB3C86" w:rsidRDefault="009D137B" w:rsidP="009D137B">
      <w:pPr>
        <w:rPr>
          <w:vanish/>
        </w:rPr>
      </w:pPr>
      <w:bookmarkStart w:id="3" w:name="PE"/>
      <w:r w:rsidRPr="00EB3C86">
        <w:rPr>
          <w:vanish/>
        </w:rPr>
        <w:t>PE763.293</w:t>
      </w:r>
      <w:bookmarkEnd w:id="3"/>
    </w:p>
    <w:p w:rsidR="009D137B" w:rsidRPr="00EB3C86" w:rsidRDefault="009D137B" w:rsidP="00620FAE">
      <w:pPr>
        <w:pStyle w:val="ATHeading3"/>
      </w:pPr>
      <w:bookmarkStart w:id="4" w:name="Sujet"/>
      <w:r w:rsidRPr="00EB3C86">
        <w:t xml:space="preserve">2024 m. </w:t>
      </w:r>
      <w:r w:rsidR="00620FAE" w:rsidRPr="00EB3C86">
        <w:t>lapkričio</w:t>
      </w:r>
      <w:r w:rsidRPr="00EB3C86">
        <w:t xml:space="preserve"> 26 d. Europos Parlamento rezoliucija dėl Komisijos įgyvendinimo sprendimo</w:t>
      </w:r>
      <w:r w:rsidR="00620FAE" w:rsidRPr="00EB3C86">
        <w:t xml:space="preserve"> (ES) 2024/2618</w:t>
      </w:r>
      <w:r w:rsidRPr="00EB3C86">
        <w:t>, kuriuo pagal Europos Parlamento ir Tarybos reglamentą (EB) Nr. 1829/2003 leidžiama pateikti rinkai produktus, kurių sudėtyje yra genetiškai modifikuotų kukurūzų DP202216, kurie iš jų sudaryti arba kurie iš jų pagaminti</w:t>
      </w:r>
      <w:bookmarkEnd w:id="4"/>
      <w:r w:rsidRPr="00EB3C86">
        <w:t xml:space="preserve"> </w:t>
      </w:r>
      <w:bookmarkStart w:id="5" w:name="References"/>
      <w:r w:rsidRPr="00EB3C86">
        <w:t>(2024/2837(RSP))</w:t>
      </w:r>
      <w:bookmarkEnd w:id="5"/>
    </w:p>
    <w:p w:rsidR="008B3F1A" w:rsidRPr="00EB3C86" w:rsidRDefault="008B3F1A" w:rsidP="008B3F1A">
      <w:pPr>
        <w:pStyle w:val="EPComma"/>
      </w:pPr>
      <w:bookmarkStart w:id="6" w:name="TextBodyBegin"/>
      <w:bookmarkEnd w:id="6"/>
      <w:r w:rsidRPr="00EB3C86">
        <w:rPr>
          <w:i/>
        </w:rPr>
        <w:t>Europos Parlamentas</w:t>
      </w:r>
      <w:r w:rsidRPr="00EB3C86">
        <w:t>,</w:t>
      </w:r>
    </w:p>
    <w:p w:rsidR="008B3F1A" w:rsidRPr="00EB3C86" w:rsidRDefault="008B3F1A" w:rsidP="008B3F1A">
      <w:pPr>
        <w:pStyle w:val="NormalHanging12a"/>
      </w:pPr>
      <w:r w:rsidRPr="00EB3C86">
        <w:t>–</w:t>
      </w:r>
      <w:r w:rsidRPr="00EB3C86">
        <w:tab/>
        <w:t>atsižvelgdamas į Komisijos įgyvendinimo sprendimo</w:t>
      </w:r>
      <w:r w:rsidR="00620FAE" w:rsidRPr="00EB3C86">
        <w:t xml:space="preserve"> (ES) 2024/2618</w:t>
      </w:r>
      <w:r w:rsidRPr="00EB3C86">
        <w:t>, kuriuo pagal Europos Parlamento ir Tarybos reglamentą (EB) Nr. 1829/2003</w:t>
      </w:r>
      <w:r w:rsidR="008800AD" w:rsidRPr="00EB3C86">
        <w:rPr>
          <w:rStyle w:val="FootnoteReference"/>
        </w:rPr>
        <w:footnoteReference w:id="1"/>
      </w:r>
      <w:r w:rsidRPr="00EB3C86">
        <w:t xml:space="preserve"> leidžiama pateikti rinkai produktus, kurių sudėtyje yra genetiškai modifikuotų kukurūzų DP202216, kurie iš jų sudaryti arba kurie iš jų pagaminti,</w:t>
      </w:r>
    </w:p>
    <w:p w:rsidR="008B3F1A" w:rsidRPr="00EB3C86" w:rsidRDefault="008B3F1A" w:rsidP="008B3F1A">
      <w:pPr>
        <w:pStyle w:val="NormalHanging12a"/>
      </w:pPr>
      <w:r w:rsidRPr="00EB3C86">
        <w:t>–</w:t>
      </w:r>
      <w:r w:rsidRPr="00EB3C86">
        <w:tab/>
        <w:t>atsižvelgdamas į 2003 m. rugsėjo 22 d. Europos Parlamento ir Tarybos reglamentą (EB) Nr. 1829/2003 dėl genetiškai modifikuoto maisto ir pašarų</w:t>
      </w:r>
      <w:r w:rsidRPr="00EB3C86">
        <w:rPr>
          <w:rStyle w:val="FootnoteReference"/>
        </w:rPr>
        <w:footnoteReference w:id="2"/>
      </w:r>
      <w:r w:rsidRPr="00EB3C86">
        <w:t>, ypač į jo 7 straipsnio 3 dalį ir 19 straipsnio 3 dalį,</w:t>
      </w:r>
    </w:p>
    <w:p w:rsidR="008B3F1A" w:rsidRPr="00EB3C86" w:rsidRDefault="008B3F1A" w:rsidP="008B3F1A">
      <w:pPr>
        <w:pStyle w:val="NormalHanging12a"/>
      </w:pPr>
      <w:r w:rsidRPr="00EB3C86">
        <w:t>–</w:t>
      </w:r>
      <w:r w:rsidRPr="00EB3C86">
        <w:tab/>
        <w:t>atsižvelgdamas į tai, kad Reglamento (EB) Nr. 1829/2003 35 straipsnyje nurodytas Augalų, gyvūnų, maisto ir pašarų nuolatinis komitetas per 2024 m. liepos 8 d. vykusį balsavimą nusprendė nuomonės neteikti, ir į tai, kad apeliacinis komitetas 2024 m. rugsėjo 3 d. balsavimu taip pat nusprendė nuomonės neteikti,</w:t>
      </w:r>
    </w:p>
    <w:p w:rsidR="008B3F1A" w:rsidRPr="00EB3C86" w:rsidRDefault="008B3F1A" w:rsidP="008B3F1A">
      <w:pPr>
        <w:pStyle w:val="NormalHanging12a"/>
      </w:pPr>
      <w:r w:rsidRPr="00EB3C86">
        <w:t>–</w:t>
      </w:r>
      <w:r w:rsidRPr="00EB3C86">
        <w:tab/>
        <w:t>atsižvelgdamas į 2011 m. vasario 16 d. Europos Parlamento ir Tarybos reglamento (ES) Nr. 182/2011, kuriuo nustatomos valstybių narių vykdomos Komisijos naudojimosi įgyvendinimo įgaliojimais kontrolės mechanizmų taisyklės ir bendrieji principai</w:t>
      </w:r>
      <w:r w:rsidRPr="00EB3C86">
        <w:rPr>
          <w:rStyle w:val="FootnoteReference"/>
        </w:rPr>
        <w:footnoteReference w:id="3"/>
      </w:r>
      <w:r w:rsidRPr="00EB3C86">
        <w:t xml:space="preserve">, 11 </w:t>
      </w:r>
      <w:r w:rsidRPr="00EB3C86">
        <w:lastRenderedPageBreak/>
        <w:t>straipsnį,</w:t>
      </w:r>
    </w:p>
    <w:p w:rsidR="008B3F1A" w:rsidRPr="00EB3C86" w:rsidRDefault="008B3F1A" w:rsidP="008B3F1A">
      <w:pPr>
        <w:pStyle w:val="NormalHanging12a"/>
      </w:pPr>
      <w:r w:rsidRPr="00EB3C86">
        <w:t>–</w:t>
      </w:r>
      <w:r w:rsidRPr="00EB3C86">
        <w:tab/>
        <w:t>atsižvelgdamas į Europos maisto saugos tarnybos (EFSA) 2024 m. vasario 7 d. priimtą ir 2024 m. kovo 20 d. paskelbtą nuomonę</w:t>
      </w:r>
      <w:r w:rsidRPr="00EB3C86">
        <w:rPr>
          <w:rStyle w:val="FootnoteReference"/>
        </w:rPr>
        <w:footnoteReference w:id="4"/>
      </w:r>
      <w:r w:rsidRPr="00EB3C86">
        <w:t>,</w:t>
      </w:r>
    </w:p>
    <w:p w:rsidR="008B3F1A" w:rsidRPr="00EB3C86" w:rsidRDefault="008B3F1A" w:rsidP="008B3F1A">
      <w:pPr>
        <w:pStyle w:val="NormalHanging12a"/>
        <w:rPr>
          <w:szCs w:val="24"/>
          <w:shd w:val="clear" w:color="auto" w:fill="FFFFFF"/>
        </w:rPr>
      </w:pPr>
      <w:r w:rsidRPr="00EB3C86">
        <w:t>–</w:t>
      </w:r>
      <w:r w:rsidRPr="00EB3C86">
        <w:rPr>
          <w:shd w:val="clear" w:color="auto" w:fill="FFFFFF"/>
        </w:rPr>
        <w:tab/>
        <w:t>atsižvelgdamas į ankstesnes savo rezoliucijas, kuriomis prieštaraujama leidimui naudoti genetiškai modifikuotus organizmus (GMO)</w:t>
      </w:r>
      <w:r w:rsidRPr="00EB3C86">
        <w:rPr>
          <w:szCs w:val="24"/>
          <w:shd w:val="clear" w:color="auto" w:fill="FFFFFF"/>
          <w:vertAlign w:val="superscript"/>
        </w:rPr>
        <w:footnoteReference w:id="5"/>
      </w:r>
      <w:r w:rsidRPr="00EB3C86">
        <w:rPr>
          <w:shd w:val="clear" w:color="auto" w:fill="FFFFFF"/>
        </w:rPr>
        <w:t>,</w:t>
      </w:r>
    </w:p>
    <w:p w:rsidR="008B3F1A" w:rsidRPr="00EB3C86" w:rsidRDefault="008B3F1A" w:rsidP="008B3F1A">
      <w:pPr>
        <w:pStyle w:val="NormalHanging12a"/>
      </w:pPr>
      <w:r w:rsidRPr="00EB3C86">
        <w:t>–</w:t>
      </w:r>
      <w:r w:rsidRPr="00EB3C86">
        <w:tab/>
        <w:t>atsižvelgdamas į Darbo tvarkos taisyklių 115 straipsnio 2 ir 3 dalis,</w:t>
      </w:r>
    </w:p>
    <w:p w:rsidR="008B3F1A" w:rsidRPr="00EB3C86" w:rsidRDefault="008B3F1A" w:rsidP="008B3F1A">
      <w:pPr>
        <w:pStyle w:val="NormalHanging12a"/>
      </w:pPr>
      <w:r w:rsidRPr="00EB3C86">
        <w:t>–</w:t>
      </w:r>
      <w:r w:rsidRPr="00EB3C86">
        <w:tab/>
        <w:t>atsižvelgdamas į Aplinkos, visuomenės sveikatos ir maisto saugos komiteto pasiūlymą dėl rezoliucijos,</w:t>
      </w:r>
    </w:p>
    <w:p w:rsidR="008B3F1A" w:rsidRPr="00EB3C86" w:rsidRDefault="008B3F1A" w:rsidP="008B3F1A">
      <w:pPr>
        <w:pStyle w:val="NormalHanging12a"/>
      </w:pPr>
      <w:r w:rsidRPr="00EB3C86">
        <w:t>A.</w:t>
      </w:r>
      <w:r w:rsidRPr="00EB3C86">
        <w:tab/>
        <w:t xml:space="preserve">kadangi 2019 m. liepos 1 d. pagal Reglamento (EB) Nr. 1829/2003 5 ir 17 straipsnius Belgijoje įsisteigusi bendrovė „Pioneer Overseas Corporation“ Jungtinėse Amerikos Valstijose įsisteigusios bendrovės „Pioneer Hi-Bred International, Inc.“ vardu pateikė Nyderlandų nacionalinei kompetentingai institucijai prašymą leisti pateikti rinkai maisto produktus, maisto sudedamąsias dalis ir pašarus, kurių sudėtyje yra genetiškai modifikuotų kukurūzų DP202216, kurie iš jų sudaryti ar pagaminti; kadangi paraiška taip pat apėmė produktų, kurių sudėtyje yra genetiškai modifikuotų kukurūzų arba kurie iš jų sudaryti, naudojimą kitais tikslais nei maistui ir pašarams, išskyrus auginimą; </w:t>
      </w:r>
    </w:p>
    <w:p w:rsidR="008B3F1A" w:rsidRPr="00EB3C86" w:rsidRDefault="008B3F1A" w:rsidP="008B3F1A">
      <w:pPr>
        <w:pStyle w:val="NormalHanging12a"/>
      </w:pPr>
      <w:r w:rsidRPr="00EB3C86">
        <w:t>B.</w:t>
      </w:r>
      <w:r w:rsidRPr="00EB3C86">
        <w:tab/>
        <w:t>kadangi 2024 m. vasario 7 d. EFSA priėmė palankią nuomonę, kuri paskelbta 2024 m. kovo 20 d.;</w:t>
      </w:r>
    </w:p>
    <w:p w:rsidR="008B3F1A" w:rsidRPr="00EB3C86" w:rsidRDefault="008B3F1A" w:rsidP="008B3F1A">
      <w:pPr>
        <w:pStyle w:val="NormalHanging12a"/>
      </w:pPr>
      <w:r w:rsidRPr="00EB3C86">
        <w:t>C.</w:t>
      </w:r>
      <w:r w:rsidRPr="00EB3C86">
        <w:tab/>
        <w:t>kadangi genetiškai modifikuotuose kukurūzuose yra genų, kurie suteikia atsparumą gliufozinatui, ir, kaip teigiama, padidina derlingumo potencialą;</w:t>
      </w:r>
      <w:r w:rsidRPr="00EB3C86">
        <w:rPr>
          <w:rFonts w:ascii="Segoe UI" w:hAnsi="Segoe UI"/>
          <w:color w:val="000000"/>
          <w:sz w:val="22"/>
          <w:shd w:val="clear" w:color="auto" w:fill="FFFFFF"/>
        </w:rPr>
        <w:t xml:space="preserve"> </w:t>
      </w:r>
    </w:p>
    <w:p w:rsidR="008B3F1A" w:rsidRPr="00EB3C86" w:rsidRDefault="008B3F1A" w:rsidP="008B3F1A">
      <w:pPr>
        <w:pStyle w:val="NormalHanging12a"/>
        <w:rPr>
          <w:b/>
          <w:i/>
        </w:rPr>
      </w:pPr>
      <w:r w:rsidRPr="00EB3C86">
        <w:rPr>
          <w:b/>
          <w:i/>
        </w:rPr>
        <w:t>Nepakankamas papildomų herbicidų vertinimas</w:t>
      </w:r>
    </w:p>
    <w:p w:rsidR="008B3F1A" w:rsidRPr="00EB3C86" w:rsidRDefault="008B3F1A" w:rsidP="008B3F1A">
      <w:pPr>
        <w:pStyle w:val="NormalHanging12a"/>
      </w:pPr>
      <w:r w:rsidRPr="00EB3C86">
        <w:lastRenderedPageBreak/>
        <w:t>D.</w:t>
      </w:r>
      <w:r w:rsidRPr="00EB3C86">
        <w:tab/>
        <w:t>kadangi Komisijos įgyvendinimo reglamente (ES) Nr. 503/2013</w:t>
      </w:r>
      <w:r w:rsidRPr="00EB3C86">
        <w:rPr>
          <w:rStyle w:val="FootnoteReference"/>
        </w:rPr>
        <w:footnoteReference w:id="6"/>
      </w:r>
      <w:r w:rsidRPr="00EB3C86">
        <w:t xml:space="preserve"> reikalaujama įvertinti, ar numatoma žemės ūkio praktika daro įtaką tiriamų taškų rezultatams; kadangi, kaip nurodyta tame įgyvendinimo reglamente, tai ypač svarbu herbicidams atsparių augalų aspektu;</w:t>
      </w:r>
    </w:p>
    <w:p w:rsidR="008B3F1A" w:rsidRPr="00EB3C86" w:rsidRDefault="008B3F1A" w:rsidP="008B3F1A">
      <w:pPr>
        <w:pStyle w:val="NormalHanging12a"/>
      </w:pPr>
      <w:r w:rsidRPr="00EB3C86">
        <w:t>E.</w:t>
      </w:r>
      <w:r w:rsidRPr="00EB3C86">
        <w:tab/>
        <w:t>kadangi didžioji dauguma genetiškai modifikuotų kultūrų buvo genetiškai modifikuotos taip, kad būtų atsparios vienam ar keliems „papildomiems“ herbicidams, kuriuos galima naudoti auginant genetiškai modifikuotas kultūras, jų nesunaikinant, kaip būtų herbicidams neatsparių pasėlių atveju; kadangi ne vienu tyrimu įrodyta, jog auginant herbicidams atsparias genetiškai modifikuotas kultūras dažniau naudojami papildomi herbicidai, labiausiai dėl to, kad atsirado herbicidams atsparių piktžolių</w:t>
      </w:r>
      <w:r w:rsidRPr="00EB3C86">
        <w:rPr>
          <w:rStyle w:val="FootnoteReference"/>
        </w:rPr>
        <w:footnoteReference w:id="7"/>
      </w:r>
      <w:r w:rsidRPr="00EB3C86">
        <w:t>;</w:t>
      </w:r>
    </w:p>
    <w:p w:rsidR="008B3F1A" w:rsidRPr="00EB3C86" w:rsidRDefault="008B3F1A" w:rsidP="008B3F1A">
      <w:pPr>
        <w:pStyle w:val="NormalHanging12a"/>
      </w:pPr>
      <w:r w:rsidRPr="00EB3C86">
        <w:t>F.</w:t>
      </w:r>
      <w:r w:rsidRPr="00EB3C86">
        <w:tab/>
        <w:t>kadangi herbicidams atsparias genetiškai modifikuotas kultūras auginantys ūkininkai patenka į piktžolių valdymo sistemą, kuri labai arba visiškai priklauso nuo herbicidų, ir tai daroma taikant priemoką už genetiškai modifikuotas sėklas, kuri gali būti pateisinama tik tuo atveju, jei tokias sėklas perkantys ūkininkai purškia ir papildomą herbicidą; kadangi dėl padidėjusios priklausomybės nuo papildomų herbicidų ūkiuose, kuriuose sėjamos genetiškai modifikuotos kultūros, paspartės tiems herbicidams atsparių piktžolių atsiradimas ir plitimas, todėl reikės naudoti dar daugiau herbicidų ir taip susidarys užburtas ratas, žinomas kaip „įsuktas herbicidų ratas“;</w:t>
      </w:r>
    </w:p>
    <w:p w:rsidR="008B3F1A" w:rsidRPr="00EB3C86" w:rsidRDefault="008B3F1A" w:rsidP="008B3F1A">
      <w:pPr>
        <w:pStyle w:val="NormalHanging12a"/>
      </w:pPr>
      <w:r w:rsidRPr="00EB3C86">
        <w:t>G.</w:t>
      </w:r>
      <w:r w:rsidRPr="00EB3C86">
        <w:tab/>
        <w:t>kadangi neigiamas poveikis, kurį lemia pernelyg didelė priklausomybė nuo herbicidų, pablogins dirvožemio būklę, vandens kokybę ir virš žemės bei po žeme esančią biologinę įvairovę, taip pat turės įtakos žmonėms ir gyvūnams, be kita ko, dėl didesnių herbicidų liekanų maiste ir pašaruose;</w:t>
      </w:r>
    </w:p>
    <w:p w:rsidR="008B3F1A" w:rsidRPr="00EB3C86" w:rsidRDefault="008B3F1A" w:rsidP="008B3F1A">
      <w:pPr>
        <w:pStyle w:val="NormalHanging12a"/>
      </w:pPr>
      <w:r w:rsidRPr="00EB3C86">
        <w:lastRenderedPageBreak/>
        <w:t>H.</w:t>
      </w:r>
      <w:r w:rsidRPr="00EB3C86">
        <w:tab/>
        <w:t>kadangi gliufozinatas priskiriamas prie toksiškų reprodukcijai medžiagų (1B kategorija), todėl atitinka Europos Parlamento ir Tarybos reglamente (EB) Nr. 1107/2009</w:t>
      </w:r>
      <w:r w:rsidRPr="00EB3C86">
        <w:rPr>
          <w:rStyle w:val="FootnoteReference"/>
        </w:rPr>
        <w:footnoteReference w:id="8"/>
      </w:r>
      <w:r w:rsidRPr="00EB3C86">
        <w:t xml:space="preserve"> nustatytus paraiškos atmetimo kriterijus; kadangi leidimas Sąjungoje naudoti gliufozinatą baigė galioti 2018 m. liepos 31 d.;</w:t>
      </w:r>
    </w:p>
    <w:p w:rsidR="008B3F1A" w:rsidRPr="00EB3C86" w:rsidRDefault="008B3F1A" w:rsidP="008B3F1A">
      <w:pPr>
        <w:pStyle w:val="NormalHanging12a"/>
      </w:pPr>
      <w:r w:rsidRPr="00EB3C86">
        <w:t>I.</w:t>
      </w:r>
      <w:r w:rsidRPr="00EB3C86">
        <w:tab/>
        <w:t>kadangi laikoma, jog herbicidų liekanų ir metabolitų, randamų genetiškai modifikuotuose augaluose, vertinimas nėra EFSA genetiškai modifikuotų organizmų specialistų grupės kompetencijos sritis, todėl jis nėra atliekamas vykdant GMO autorizacijos procedūrą;</w:t>
      </w:r>
    </w:p>
    <w:p w:rsidR="008B3F1A" w:rsidRPr="00EB3C86" w:rsidRDefault="008B3F1A" w:rsidP="008B3F1A">
      <w:pPr>
        <w:pStyle w:val="NormalHanging12a"/>
        <w:rPr>
          <w:b/>
          <w:i/>
        </w:rPr>
      </w:pPr>
      <w:r w:rsidRPr="00EB3C86">
        <w:rPr>
          <w:b/>
          <w:i/>
        </w:rPr>
        <w:t>Valstybių narių kompetentingų institucijų ir suinteresuotųjų šalių pastabos</w:t>
      </w:r>
    </w:p>
    <w:p w:rsidR="008B3F1A" w:rsidRPr="00EB3C86" w:rsidRDefault="008B3F1A" w:rsidP="008B3F1A">
      <w:pPr>
        <w:pStyle w:val="NormalHanging12a"/>
      </w:pPr>
      <w:r w:rsidRPr="00EB3C86">
        <w:t>J.</w:t>
      </w:r>
      <w:r w:rsidRPr="00EB3C86">
        <w:tab/>
        <w:t>kadangi per trijų mėnesių konsultacijų laikotarpį valstybės narės EFSA pateikė daug kritinių pastabų</w:t>
      </w:r>
      <w:r w:rsidRPr="00EB3C86">
        <w:rPr>
          <w:rStyle w:val="FootnoteReference"/>
        </w:rPr>
        <w:footnoteReference w:id="9"/>
      </w:r>
      <w:r w:rsidRPr="00EB3C86">
        <w:t xml:space="preserve">, įskaitant tai, jog atitinkamu stebėsenos planu neužtikrinama, kad būtų surinkta produkto stebėsenai reikalinga informacija, todėl ji negali būti laikoma tinkama; kad prieš užbaigiant rizikos vertinimą turėtų būti pateikta papildomos informacijos ir kad, nors GMO nėra skirtas auginti, pareiškėjas turėtų pateikti išsamią informaciją apie GMO giminingą laukinę rūšį, kuri buvo ne kartą aptikta Sąjungos laukuose, ir atsižvelgti į tai, kad tam tikras kiekis kukurūzų sėklų išbyra juos vežant; </w:t>
      </w:r>
    </w:p>
    <w:p w:rsidR="008B3F1A" w:rsidRPr="00EB3C86" w:rsidRDefault="008B3F1A" w:rsidP="008B3F1A">
      <w:pPr>
        <w:pStyle w:val="NormalHanging12a"/>
        <w:rPr>
          <w:b/>
          <w:i/>
        </w:rPr>
      </w:pPr>
      <w:r w:rsidRPr="00EB3C86">
        <w:rPr>
          <w:b/>
          <w:i/>
        </w:rPr>
        <w:t>Vienodų sąlygų pasauliniu mastu užtikrinimas ir Sąjungos tarptautinių įsipareigojimų laikymasis</w:t>
      </w:r>
    </w:p>
    <w:p w:rsidR="008B3F1A" w:rsidRPr="00EB3C86" w:rsidRDefault="008B3F1A" w:rsidP="008B3F1A">
      <w:pPr>
        <w:pStyle w:val="NormalHanging12a"/>
      </w:pPr>
      <w:r w:rsidRPr="00EB3C86">
        <w:t>K.</w:t>
      </w:r>
      <w:r w:rsidRPr="00EB3C86">
        <w:tab/>
        <w:t>kadangi strateginio dialogo dėl žemės ūkio ateities ES išvadose</w:t>
      </w:r>
      <w:r w:rsidRPr="00EB3C86">
        <w:rPr>
          <w:rStyle w:val="FootnoteReference"/>
        </w:rPr>
        <w:footnoteReference w:id="10"/>
      </w:r>
      <w:r w:rsidRPr="00EB3C86">
        <w:t xml:space="preserv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ir 2024 m. demonstracijas;</w:t>
      </w:r>
    </w:p>
    <w:p w:rsidR="008B3F1A" w:rsidRPr="00EB3C86" w:rsidRDefault="008B3F1A" w:rsidP="008B3F1A">
      <w:pPr>
        <w:pStyle w:val="NormalHanging12a"/>
      </w:pPr>
      <w:r w:rsidRPr="00EB3C86">
        <w:lastRenderedPageBreak/>
        <w:t>L.</w:t>
      </w:r>
      <w:r w:rsidRPr="00EB3C86">
        <w:tab/>
        <w:t>kadangi Jungtinių Tautų specialiojo pranešėjo teisės į maistą klausimais 2017 metų ataskaitoje nustatyta, kad pavojingi pesticidai katastrofiškai veikia visų pirma besivystančių šalių gyventojų sveikatą</w:t>
      </w:r>
      <w:r w:rsidRPr="00EB3C86">
        <w:rPr>
          <w:rStyle w:val="FootnoteReference"/>
        </w:rPr>
        <w:footnoteReference w:id="11"/>
      </w:r>
      <w:r w:rsidRPr="00EB3C86">
        <w:t>; kadangi Jungtinių Tautų darnaus vystymosi tikslas (JT DVT) Nr. 3.9 – iki 2030 m. reikšmingai sumažinti mirčių ir ligų, kurias sukėlė pavojingi chemikalai, oro, vandens ir dirvožemio tarša ir užterštumas, skaičių</w:t>
      </w:r>
      <w:r w:rsidRPr="00EB3C86">
        <w:rPr>
          <w:rStyle w:val="FootnoteReference"/>
        </w:rPr>
        <w:footnoteReference w:id="12"/>
      </w:r>
      <w:r w:rsidRPr="00EB3C86">
        <w:t>;</w:t>
      </w:r>
    </w:p>
    <w:p w:rsidR="008B3F1A" w:rsidRPr="00EB3C86" w:rsidRDefault="008B3F1A" w:rsidP="008B3F1A">
      <w:pPr>
        <w:pStyle w:val="NormalHanging12a"/>
      </w:pPr>
      <w:r w:rsidRPr="00EB3C86">
        <w:t>M.</w:t>
      </w:r>
      <w:r w:rsidRPr="00EB3C86">
        <w:tab/>
        <w:t>kadangi Kunmingo ir Monrealio pasaulio biologinės įvairovės strategijoje (toliau – Kunmingo ir Monrealio strategija), dėl kurios susitarta 2022 m. gruodžio mėn. JT biologinės įvairovės konvencijos (JT BĮK) COP 15, įtrauktas pasaulinis tikslas iki 2030 m. bent 50 proc. sumažinti pesticidų keliamą riziką</w:t>
      </w:r>
      <w:r w:rsidRPr="00EB3C86">
        <w:rPr>
          <w:rStyle w:val="FootnoteReference"/>
        </w:rPr>
        <w:footnoteReference w:id="13"/>
      </w:r>
      <w:r w:rsidRPr="00EB3C86">
        <w:t>;</w:t>
      </w:r>
    </w:p>
    <w:p w:rsidR="008B3F1A" w:rsidRPr="00EB3C86" w:rsidRDefault="008B3F1A" w:rsidP="008B3F1A">
      <w:pPr>
        <w:pStyle w:val="NormalHanging12a"/>
      </w:pPr>
      <w:r w:rsidRPr="00EB3C86">
        <w:t>N.</w:t>
      </w:r>
      <w:r w:rsidRPr="00EB3C86">
        <w:tab/>
        <w:t>kadangi Reglamente (EB) Nr. 1829/2003 nustatyta, jog genetiškai modifikuotas maistas ir pašarai turi nekelti neigiamo poveikio žmonių ir gyvūnų sveikatai arba aplinkai, ir reikalaujama, kad Komisija, rengdama sprendimą, atsižvelgtų į visas atitinkamas Sąjungos teisės nuostatas ir kitus su svarstomu klausimu pagrįstai siejamus veiksnius; kadangi tokie teisėti veiksniai turėtų apimti Sąjungos įsipareigojimus pagal JT DVT ir JT BĮK;</w:t>
      </w:r>
    </w:p>
    <w:p w:rsidR="008B3F1A" w:rsidRPr="00EB3C86" w:rsidRDefault="008B3F1A" w:rsidP="008B3F1A">
      <w:pPr>
        <w:pStyle w:val="NormalHanging12a"/>
        <w:rPr>
          <w:b/>
          <w:i/>
        </w:rPr>
      </w:pPr>
      <w:r w:rsidRPr="00EB3C86">
        <w:rPr>
          <w:b/>
          <w:i/>
        </w:rPr>
        <w:t>Priklausomybės nuo importuojamų pašarų mažinimas</w:t>
      </w:r>
    </w:p>
    <w:p w:rsidR="008B3F1A" w:rsidRPr="00EB3C86" w:rsidRDefault="008B3F1A" w:rsidP="008B3F1A">
      <w:pPr>
        <w:pStyle w:val="NormalHanging12a"/>
      </w:pPr>
      <w:r w:rsidRPr="00EB3C86">
        <w:t>O.</w:t>
      </w:r>
      <w:r w:rsidRPr="00EB3C86">
        <w:tab/>
        <w:t>kadangi viena iš COVID-19 krizės ir tebevykstančio karo Ukrainoje pamokų yra tai, kad Sąjunga turi išsivaduoti iš priklausomybės nuo tam tikrų ypatingos svarbos medžiagų; kadangi paskirtajam Komisijos nariui Christophe Hansenui skirtame įgaliojamajame rašte Komisijos Pirmininkė Ursula von der Leyen prašo jo ieškoti būdų, kaip sumažinti ypatingos svarbos prekių importą</w:t>
      </w:r>
      <w:r w:rsidRPr="00EB3C86">
        <w:rPr>
          <w:rStyle w:val="FootnoteReference"/>
        </w:rPr>
        <w:footnoteReference w:id="14"/>
      </w:r>
      <w:r w:rsidRPr="00EB3C86">
        <w:t xml:space="preserve">; </w:t>
      </w:r>
    </w:p>
    <w:p w:rsidR="008B3F1A" w:rsidRPr="00EB3C86" w:rsidRDefault="008B3F1A" w:rsidP="008B3F1A">
      <w:pPr>
        <w:pStyle w:val="NormalHanging12a"/>
        <w:rPr>
          <w:b/>
          <w:i/>
        </w:rPr>
      </w:pPr>
      <w:r w:rsidRPr="00EB3C86">
        <w:rPr>
          <w:b/>
          <w:i/>
        </w:rPr>
        <w:t>Nedemokratiškas sprendimų priėmimas</w:t>
      </w:r>
    </w:p>
    <w:p w:rsidR="008B3F1A" w:rsidRPr="00EB3C86" w:rsidRDefault="008B3F1A" w:rsidP="008B3F1A">
      <w:pPr>
        <w:pStyle w:val="NormalHanging12a"/>
      </w:pPr>
      <w:r w:rsidRPr="00EB3C86">
        <w:t>P.</w:t>
      </w:r>
      <w:r w:rsidRPr="00EB3C86">
        <w:tab/>
        <w:t>kadangi per savo aštuntąją kadenciją Parlamentas priėmė iš viso 36 rezoliucijas, kuriomis nepritarė tam, kad rinkai būtų teikiamas genetiškai modifikuotas maistas ir pašarai (33 rezoliucijos) ir kad Sąjungoje būtų leidžiama auginti GMO (trys rezoliucijos); kadangi per devintąją kadenciją Parlamentas patvirtino 38 prieštaravimus dėl GMO pateikimo rinkai;</w:t>
      </w:r>
    </w:p>
    <w:p w:rsidR="008B3F1A" w:rsidRPr="00EB3C86" w:rsidRDefault="008B3F1A" w:rsidP="008B3F1A">
      <w:pPr>
        <w:pStyle w:val="NormalHanging12a"/>
      </w:pPr>
      <w:r w:rsidRPr="00EB3C86">
        <w:t>Q.</w:t>
      </w:r>
      <w:r w:rsidRPr="00EB3C86">
        <w:tab/>
        <w:t xml:space="preserve">kadangi, nepaisydama pačios pripažintų demokratijos trūkumų, to, kad valstybės narės </w:t>
      </w:r>
      <w:r w:rsidRPr="00EB3C86">
        <w:lastRenderedPageBreak/>
        <w:t>nepalaiko GMO, ir Parlamento prieštaravimų, Komisija ir toliau suteikia leidimus GMO;</w:t>
      </w:r>
    </w:p>
    <w:p w:rsidR="008B3F1A" w:rsidRPr="00EB3C86" w:rsidRDefault="008B3F1A" w:rsidP="008B3F1A">
      <w:pPr>
        <w:pStyle w:val="NormalHanging12a"/>
      </w:pPr>
      <w:r w:rsidRPr="00EB3C86">
        <w:t>R.</w:t>
      </w:r>
      <w:r w:rsidRPr="00EB3C86">
        <w:tab/>
        <w:t>kadangi nereikia teisės aktų pakeitimų, kad Komisija galėtų nesuteikti leidimų GMO, kai apeliaciniame komitete nesama patvirtinimo kvalifikuota valstybių narių balsų dauguma</w:t>
      </w:r>
      <w:r w:rsidRPr="00EB3C86">
        <w:rPr>
          <w:rStyle w:val="FootnoteReference"/>
        </w:rPr>
        <w:footnoteReference w:id="15"/>
      </w:r>
      <w:r w:rsidRPr="00EB3C86">
        <w:t>;</w:t>
      </w:r>
    </w:p>
    <w:p w:rsidR="008B3F1A" w:rsidRPr="00EB3C86" w:rsidRDefault="008B3F1A" w:rsidP="008B3F1A">
      <w:pPr>
        <w:pStyle w:val="NormalHanging12a"/>
      </w:pPr>
      <w:r w:rsidRPr="00EB3C86">
        <w:t>S.</w:t>
      </w:r>
      <w:r w:rsidRPr="00EB3C86">
        <w:tab/>
      </w:r>
      <w:r w:rsidRPr="00EB3C86">
        <w:rPr>
          <w:shd w:val="clear" w:color="auto" w:fill="FFFFFF"/>
        </w:rPr>
        <w:t>kadangi Reglamento (EB) Nr. 1829/2003 35 straipsnyje nurodytas Augalų, gyvūnų, maisto ir pašarų nuolatinis komitetas per 2024 m. liepos 8 d. vykusį balsavimą nepateikė nuomonės, o tai reiškia, kad leidimas kvalifikuota valstybių narių balsų dauguma patvirtintas nebuvo; kadangi apeliacinis komitetas balsuodamas 2024 m. rugsėjo 3 d. taip pat nusprendė nuomonės neteikti;</w:t>
      </w:r>
    </w:p>
    <w:p w:rsidR="008B3F1A" w:rsidRPr="00EB3C86" w:rsidRDefault="008B3F1A" w:rsidP="008B3F1A">
      <w:pPr>
        <w:pStyle w:val="NormalHanging12a"/>
      </w:pPr>
      <w:r w:rsidRPr="00EB3C86">
        <w:t>1.</w:t>
      </w:r>
      <w:r w:rsidRPr="00EB3C86">
        <w:tab/>
        <w:t xml:space="preserve">mano, kad </w:t>
      </w:r>
      <w:r w:rsidR="00327BE5" w:rsidRPr="00EB3C86">
        <w:t xml:space="preserve">Įgyvendinimo </w:t>
      </w:r>
      <w:r w:rsidRPr="00EB3C86">
        <w:t>sprendim</w:t>
      </w:r>
      <w:r w:rsidR="00327BE5" w:rsidRPr="00EB3C86">
        <w:t>as (ES) 2024/2618</w:t>
      </w:r>
      <w:r w:rsidRPr="00EB3C86">
        <w:t xml:space="preserve"> viršija Reglamente (EB) Nr. 1829/2003 numatytus įgyvendinimo įgaliojimus;</w:t>
      </w:r>
    </w:p>
    <w:p w:rsidR="008B3F1A" w:rsidRPr="00EB3C86" w:rsidRDefault="008B3F1A" w:rsidP="008B3F1A">
      <w:pPr>
        <w:pStyle w:val="NormalHanging12a"/>
      </w:pPr>
      <w:r w:rsidRPr="00EB3C86">
        <w:t>2.</w:t>
      </w:r>
      <w:r w:rsidRPr="00EB3C86">
        <w:tab/>
        <w:t xml:space="preserve">mano, kad </w:t>
      </w:r>
      <w:r w:rsidR="00327BE5" w:rsidRPr="00EB3C86">
        <w:t xml:space="preserve">Įgyvendinimo </w:t>
      </w:r>
      <w:r w:rsidRPr="00EB3C86">
        <w:t>sprendim</w:t>
      </w:r>
      <w:r w:rsidR="00327BE5" w:rsidRPr="00EB3C86">
        <w:t>as</w:t>
      </w:r>
      <w:r w:rsidRPr="00EB3C86">
        <w:t xml:space="preserve"> </w:t>
      </w:r>
      <w:r w:rsidR="00327BE5" w:rsidRPr="00EB3C86">
        <w:t>(ES) 2024/2618</w:t>
      </w:r>
      <w:r w:rsidR="005E0711" w:rsidRPr="00EB3C86">
        <w:t xml:space="preserve"> </w:t>
      </w:r>
      <w:r w:rsidRPr="00EB3C86">
        <w:t>neatitinka Sąjungos teisės, nes jis nesuderinamas su Reglamento (EB) Nr. 1829/2003 tikslu, pagal kurį, remiantis Europos Parlamento ir Tarybos reglamente (EB) Nr. 178/2002 nustatytais bendraisiais principais</w:t>
      </w:r>
      <w:r w:rsidRPr="00EB3C86">
        <w:rPr>
          <w:rStyle w:val="FootnoteReference"/>
        </w:rPr>
        <w:footnoteReference w:id="16"/>
      </w:r>
      <w:r w:rsidRPr="00EB3C86">
        <w:t>,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rsidR="00D549F8" w:rsidRPr="00EB3C86" w:rsidRDefault="00D549F8" w:rsidP="008B3F1A">
      <w:pPr>
        <w:pStyle w:val="NormalHanging12a"/>
      </w:pPr>
      <w:r w:rsidRPr="00EB3C86">
        <w:t>3.</w:t>
      </w:r>
      <w:r w:rsidRPr="00EB3C86">
        <w:tab/>
        <w:t>ragina Komisiją derybose dėl laisvosios prekybos susitarimų užtikrinti Sąjungos ir jos partnerių standartų konvergenciją, kad būtų laikomasi Sąjungos saugos standartų;</w:t>
      </w:r>
    </w:p>
    <w:p w:rsidR="008B3F1A" w:rsidRPr="00EB3C86" w:rsidRDefault="005442E8" w:rsidP="008B3F1A">
      <w:pPr>
        <w:pStyle w:val="NormalHanging12a"/>
      </w:pPr>
      <w:r w:rsidRPr="00EB3C86">
        <w:t>4</w:t>
      </w:r>
      <w:r w:rsidR="008B3F1A" w:rsidRPr="00EB3C86">
        <w:t>.</w:t>
      </w:r>
      <w:r w:rsidR="008B3F1A" w:rsidRPr="00EB3C86">
        <w:tab/>
        <w:t xml:space="preserve">prašo Komisijos </w:t>
      </w:r>
      <w:r w:rsidR="00F12D5A" w:rsidRPr="00EB3C86">
        <w:t xml:space="preserve">panaikinti </w:t>
      </w:r>
      <w:r w:rsidR="008B3F1A" w:rsidRPr="00EB3C86">
        <w:t xml:space="preserve">įgyvendinimo sprendimą </w:t>
      </w:r>
      <w:r w:rsidR="00327BE5" w:rsidRPr="00EB3C86">
        <w:t xml:space="preserve">(ES) 2024/2618 </w:t>
      </w:r>
      <w:r w:rsidR="008B3F1A" w:rsidRPr="00EB3C86">
        <w:t>ir pateikti komitetui naują projektą;</w:t>
      </w:r>
    </w:p>
    <w:p w:rsidR="008B3F1A" w:rsidRPr="00EB3C86" w:rsidRDefault="005442E8" w:rsidP="008B3F1A">
      <w:pPr>
        <w:pStyle w:val="NormalHanging12a"/>
      </w:pPr>
      <w:r w:rsidRPr="00EB3C86">
        <w:t>5</w:t>
      </w:r>
      <w:r w:rsidR="008B3F1A" w:rsidRPr="00EB3C86">
        <w:t>.</w:t>
      </w:r>
      <w:r w:rsidR="008B3F1A" w:rsidRPr="00EB3C86">
        <w:tab/>
        <w:t xml:space="preserve">ragina Komisiją, vadovaujantis bendros sveikatos koncepcija, neleisti tiekti rinkai herbicidams atsparių genetiškai modifikuotų kultūrinių augalų, nes dėl to didėja papildomų </w:t>
      </w:r>
      <w:r w:rsidR="008B3F1A" w:rsidRPr="00EB3C86">
        <w:lastRenderedPageBreak/>
        <w:t>herbicidų naudojimas, taigi didėja ir grėsmė biologinei įvairovei, maisto saugai ir darbuotojų sveikatai;</w:t>
      </w:r>
    </w:p>
    <w:p w:rsidR="008B3F1A" w:rsidRPr="00EB3C86" w:rsidRDefault="005442E8" w:rsidP="008B3F1A">
      <w:pPr>
        <w:pStyle w:val="NormalHanging12a"/>
      </w:pPr>
      <w:r w:rsidRPr="00EB3C86">
        <w:t>6</w:t>
      </w:r>
      <w:r w:rsidR="008B3F1A" w:rsidRPr="00EB3C86">
        <w:t>.</w:t>
      </w:r>
      <w:r w:rsidR="008B3F1A" w:rsidRPr="00EB3C86">
        <w:tab/>
        <w:t>šiuo atžvilgiu pabrėžia, kad leidimas maistui ar pašarams importuoti bet kokius genetiškai modifikuotus augalus, kurie buvo modifikuoti taip, kad taptų atsparūs Sąjungoje uždraustiems herbicidams, pavyzdžiui, gliufozinatui, neatitinka Sąjungos tarptautinių įsipareigojimų pagal, be kita ko, JT DVT ir JT BĮK, įskaitant neseniai priimtą Kunmingo ir Monrealio sistemą</w:t>
      </w:r>
      <w:r w:rsidR="008B3F1A" w:rsidRPr="00EB3C86">
        <w:rPr>
          <w:rStyle w:val="FootnoteReference"/>
        </w:rPr>
        <w:footnoteReference w:id="17"/>
      </w:r>
      <w:r w:rsidR="008B3F1A" w:rsidRPr="00EB3C86">
        <w:t>;</w:t>
      </w:r>
    </w:p>
    <w:p w:rsidR="008B3F1A" w:rsidRPr="00EB3C86" w:rsidRDefault="005442E8" w:rsidP="008B3F1A">
      <w:pPr>
        <w:pStyle w:val="NormalHanging12a"/>
      </w:pPr>
      <w:r w:rsidRPr="00EB3C86">
        <w:t>7</w:t>
      </w:r>
      <w:r w:rsidR="008B3F1A" w:rsidRPr="00EB3C86">
        <w:t>.</w:t>
      </w:r>
      <w:r w:rsidR="008B3F1A" w:rsidRPr="00EB3C86">
        <w:tab/>
        <w:t>tikisi, kad Komisija skubiai įgyvendins savo įsipareigojimą</w:t>
      </w:r>
      <w:r w:rsidR="008B3F1A" w:rsidRPr="00EB3C86">
        <w:rPr>
          <w:rStyle w:val="FootnoteReference"/>
        </w:rPr>
        <w:footnoteReference w:id="18"/>
      </w:r>
      <w:r w:rsidR="008B3F1A" w:rsidRPr="00EB3C86">
        <w:t xml:space="preserve"> pateikti pasiūlymą, kuriuo būtų užtikrinta, kad Sąjungoje uždraustos pavojingos cheminės medžiagos nebūtų gaminamos eksportui;</w:t>
      </w:r>
    </w:p>
    <w:p w:rsidR="008B3F1A" w:rsidRPr="00EB3C86" w:rsidRDefault="005442E8" w:rsidP="008B3F1A">
      <w:pPr>
        <w:pStyle w:val="NormalHanging12a"/>
      </w:pPr>
      <w:r w:rsidRPr="00EB3C86">
        <w:t>8</w:t>
      </w:r>
      <w:r w:rsidR="008B3F1A" w:rsidRPr="00EB3C86">
        <w:t>.</w:t>
      </w:r>
      <w:r w:rsidR="008B3F1A" w:rsidRPr="00EB3C86">
        <w:tab/>
        <w:t>palankiai vertina tai, kad Komisija 2020 m. rugsėjo 11 d. laiške Parlamento nariams pagaliau pripažino, jog priimant sprendimus dėl GMO leidimų reikia atsižvelgti į tvarumą</w:t>
      </w:r>
      <w:r w:rsidR="008B3F1A" w:rsidRPr="00EB3C86">
        <w:rPr>
          <w:rStyle w:val="FootnoteReference"/>
        </w:rPr>
        <w:footnoteReference w:id="19"/>
      </w:r>
      <w:r w:rsidR="008B3F1A" w:rsidRPr="00EB3C86">
        <w:t>; vis dėlto reiškia didžiulį nusivylimą, kad net ir po to Komisija tebesuteikia leidimus į Sąjungą importuoti GMO, nepaisydama nuolatinių Parlamento ir daugumos valstybių narių, balsavusių prieš, prieštaravimų;</w:t>
      </w:r>
    </w:p>
    <w:p w:rsidR="008B3F1A" w:rsidRPr="00EB3C86" w:rsidRDefault="005442E8" w:rsidP="008B3F1A">
      <w:pPr>
        <w:pStyle w:val="NormalHanging12a"/>
      </w:pPr>
      <w:r w:rsidRPr="00EB3C86">
        <w:t>9</w:t>
      </w:r>
      <w:r w:rsidR="008B3F1A" w:rsidRPr="00EB3C86">
        <w:t>.</w:t>
      </w:r>
      <w:r w:rsidR="008B3F1A" w:rsidRPr="00EB3C86">
        <w:tab/>
        <w:t>dar kartą ragina Komisiją atsižvelgti į Sąjungos įsipareigojimus pagal tarptautinius susitarimus, kaip antai Paryžiaus klimato susitarimą ir JT BĮK bei JT DVT; pakartoja savo raginimą prie įgyvendinimo aktų projektų pridėti aiškinamąjį memorandumą, kuriame būtų paaiškinta, kaip tuose aktuose laikomasi žalos nedarymo principo</w:t>
      </w:r>
      <w:r w:rsidR="008B3F1A" w:rsidRPr="00EB3C86">
        <w:rPr>
          <w:rStyle w:val="FootnoteReference"/>
        </w:rPr>
        <w:footnoteReference w:id="20"/>
      </w:r>
      <w:r w:rsidR="008B3F1A" w:rsidRPr="00EB3C86">
        <w:t xml:space="preserve">; </w:t>
      </w:r>
    </w:p>
    <w:p w:rsidR="0024750F" w:rsidRPr="0024750F" w:rsidRDefault="005442E8" w:rsidP="0024750F">
      <w:pPr>
        <w:pStyle w:val="NormalHanging12a"/>
      </w:pPr>
      <w:r w:rsidRPr="00EB3C86">
        <w:t>10</w:t>
      </w:r>
      <w:r w:rsidR="008B3F1A" w:rsidRPr="00EB3C86">
        <w:t>.</w:t>
      </w:r>
      <w:r w:rsidR="008B3F1A" w:rsidRPr="00EB3C86">
        <w:tab/>
        <w:t>paveda Pirmininkei perduoti šią rezoliuciją Tarybai ir Komisijai bei valstybių narių vyriausybėms ir parlamentams.</w:t>
      </w:r>
      <w:bookmarkStart w:id="7" w:name="_GoBack"/>
      <w:bookmarkEnd w:id="7"/>
    </w:p>
    <w:p w:rsidR="00E365E1" w:rsidRPr="0024750F" w:rsidRDefault="00E365E1" w:rsidP="009D137B"/>
    <w:sectPr w:rsidR="00E365E1" w:rsidRPr="0024750F" w:rsidSect="0024750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37B" w:rsidRPr="0024750F" w:rsidRDefault="009D137B">
      <w:r w:rsidRPr="0024750F">
        <w:separator/>
      </w:r>
    </w:p>
  </w:endnote>
  <w:endnote w:type="continuationSeparator" w:id="0">
    <w:p w:rsidR="009D137B" w:rsidRPr="0024750F" w:rsidRDefault="009D137B">
      <w:r w:rsidRPr="002475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37B" w:rsidRPr="0024750F" w:rsidRDefault="009D137B">
      <w:r w:rsidRPr="0024750F">
        <w:separator/>
      </w:r>
    </w:p>
  </w:footnote>
  <w:footnote w:type="continuationSeparator" w:id="0">
    <w:p w:rsidR="009D137B" w:rsidRPr="0024750F" w:rsidRDefault="009D137B">
      <w:r w:rsidRPr="0024750F">
        <w:continuationSeparator/>
      </w:r>
    </w:p>
  </w:footnote>
  <w:footnote w:id="1">
    <w:p w:rsidR="008800AD" w:rsidRPr="00D324C1" w:rsidRDefault="008800AD" w:rsidP="008800AD">
      <w:pPr>
        <w:pStyle w:val="FootnoteText"/>
        <w:ind w:left="567" w:hanging="567"/>
        <w:rPr>
          <w:sz w:val="24"/>
          <w:szCs w:val="24"/>
          <w:lang w:val="fi-FI"/>
        </w:rPr>
      </w:pPr>
      <w:r w:rsidRPr="008800AD">
        <w:rPr>
          <w:rStyle w:val="FootnoteReference"/>
        </w:rPr>
        <w:footnoteRef/>
      </w:r>
      <w:r w:rsidRPr="008800AD">
        <w:rPr>
          <w:lang w:val="fi-FI"/>
        </w:rPr>
        <w:t xml:space="preserve"> </w:t>
      </w:r>
      <w:r w:rsidRPr="008800AD">
        <w:rPr>
          <w:sz w:val="24"/>
          <w:szCs w:val="24"/>
          <w:lang w:val="fi-FI"/>
        </w:rPr>
        <w:tab/>
      </w:r>
      <w:r w:rsidRPr="00E86E74">
        <w:rPr>
          <w:sz w:val="24"/>
          <w:szCs w:val="24"/>
          <w:lang w:val="fi-FI"/>
        </w:rPr>
        <w:t>O</w:t>
      </w:r>
      <w:r w:rsidR="000B496E">
        <w:rPr>
          <w:sz w:val="24"/>
          <w:szCs w:val="24"/>
          <w:lang w:val="fi-FI"/>
        </w:rPr>
        <w:t>L</w:t>
      </w:r>
      <w:r w:rsidRPr="008800AD">
        <w:rPr>
          <w:sz w:val="24"/>
          <w:szCs w:val="24"/>
          <w:lang w:val="fi-FI"/>
        </w:rPr>
        <w:t xml:space="preserve"> L, 2024/2618, </w:t>
      </w:r>
      <w:r w:rsidRPr="00E86E74">
        <w:rPr>
          <w:sz w:val="24"/>
          <w:szCs w:val="24"/>
          <w:lang w:val="fi-FI"/>
        </w:rPr>
        <w:t>2024</w:t>
      </w:r>
      <w:r>
        <w:rPr>
          <w:sz w:val="24"/>
          <w:szCs w:val="24"/>
          <w:lang w:val="fi-FI"/>
        </w:rPr>
        <w:t xml:space="preserve"> 10 10</w:t>
      </w:r>
      <w:r w:rsidRPr="00E86E74">
        <w:rPr>
          <w:sz w:val="24"/>
          <w:szCs w:val="24"/>
          <w:lang w:val="fi-FI"/>
        </w:rPr>
        <w:t>, ELI: http://data.europa.eu/eli/dec_impl/2024/2618/oj.</w:t>
      </w:r>
    </w:p>
  </w:footnote>
  <w:footnote w:id="2">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OL L 268, 2003 10 18, p. </w:t>
      </w:r>
      <w:r w:rsidRPr="0024750F">
        <w:rPr>
          <w:sz w:val="24"/>
          <w:lang w:val="lt-LT"/>
        </w:rPr>
        <w:t xml:space="preserve">1, ELI: </w:t>
      </w:r>
      <w:hyperlink r:id="rId1" w:tooltip="Prieiga prie šio dokumento per jo ELI nuorodą." w:history="1">
        <w:r w:rsidRPr="0024750F">
          <w:rPr>
            <w:rStyle w:val="Hyperlink"/>
            <w:color w:val="337AB7"/>
            <w:sz w:val="24"/>
            <w:shd w:val="clear" w:color="auto" w:fill="FFFFFF"/>
            <w:lang w:val="lt-LT"/>
          </w:rPr>
          <w:t>http://data.europa.eu/eli/reg/2003/1829/oj</w:t>
        </w:r>
      </w:hyperlink>
    </w:p>
  </w:footnote>
  <w:footnote w:id="3">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OL L 55, 2011 2 28, p. </w:t>
      </w:r>
      <w:r w:rsidRPr="0024750F">
        <w:rPr>
          <w:sz w:val="24"/>
          <w:lang w:val="lt-LT"/>
        </w:rPr>
        <w:t xml:space="preserve">13, ELI: </w:t>
      </w:r>
      <w:hyperlink r:id="rId2" w:tooltip="Prieiga prie šio dokumento per jo ELI nuorodą." w:history="1">
        <w:r w:rsidRPr="0024750F">
          <w:rPr>
            <w:rStyle w:val="Hyperlink"/>
            <w:color w:val="337AB7"/>
            <w:sz w:val="24"/>
            <w:shd w:val="clear" w:color="auto" w:fill="FFFFFF"/>
            <w:lang w:val="lt-LT"/>
          </w:rPr>
          <w:t>http://data.europa.eu/eli/reg/2011/182/oj</w:t>
        </w:r>
      </w:hyperlink>
    </w:p>
  </w:footnote>
  <w:footnote w:id="4">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EFSA genetiškai modifikuotų organizmų mokslinės grupės nuomonė dėl maiste ir pašaruose naudojamų genetiškai modifikuotų kukurūzų DP202216 vertinimo pagal Reglamentą (EB) Nr. </w:t>
      </w:r>
      <w:r w:rsidRPr="0024750F">
        <w:rPr>
          <w:sz w:val="24"/>
          <w:lang w:val="lt-LT"/>
        </w:rPr>
        <w:t xml:space="preserve">1829/2003 (paraiška EFSA-GMO-NL-2019–159), EFSA leidinys 2024:22(3): 8655, </w:t>
      </w:r>
      <w:hyperlink r:id="rId3" w:history="1">
        <w:r w:rsidRPr="0024750F">
          <w:rPr>
            <w:rStyle w:val="Hyperlink"/>
            <w:sz w:val="24"/>
            <w:lang w:val="lt-LT"/>
          </w:rPr>
          <w:t>https://doi.org/10.2903/j.efsa.2024.8655</w:t>
        </w:r>
      </w:hyperlink>
      <w:r w:rsidRPr="0024750F">
        <w:rPr>
          <w:sz w:val="24"/>
          <w:lang w:val="lt-LT"/>
        </w:rPr>
        <w:t>.</w:t>
      </w:r>
    </w:p>
  </w:footnote>
  <w:footnote w:id="5">
    <w:p w:rsidR="008B3F1A" w:rsidRPr="0024750F" w:rsidRDefault="008B3F1A" w:rsidP="0024750F">
      <w:pPr>
        <w:pStyle w:val="FootnoteText"/>
        <w:ind w:left="567" w:hanging="567"/>
        <w:rPr>
          <w:sz w:val="24"/>
          <w:szCs w:val="22"/>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Per aštuntąją kadenciją Parlamentas priėmė 36 rezoliucijas, o per devintąją kadenciją – 38 rezoliucijas, kuriose prieštaraujama leidimui naudoti GMO.</w:t>
      </w:r>
      <w:r w:rsidRPr="0024750F">
        <w:rPr>
          <w:color w:val="000000" w:themeColor="text1"/>
          <w:sz w:val="24"/>
          <w:lang w:val="lt-LT"/>
        </w:rPr>
        <w:t xml:space="preserve"> </w:t>
      </w:r>
    </w:p>
  </w:footnote>
  <w:footnote w:id="6">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2013 m. balandžio 3 d. Komisijos įgyvendinimo reglamentas (ES) Nr. 503/2013 dėl paraiškų genetiškai modifikuotų maisto produktų ir pašarų leidimams gauti pagal Europos Parlamento ir Tarybos reglamentą (EB) Nr. 1829/2003 ir iš dalies jį keičiančius Komisijos reglamentą (EB) Nr. 641/2004 ir Komisijos reglamentą (EB) Nr. 1981/2006 (OL L 157, 2013 6 8, p. </w:t>
      </w:r>
      <w:r w:rsidRPr="0024750F">
        <w:rPr>
          <w:sz w:val="24"/>
          <w:lang w:val="lt-LT"/>
        </w:rPr>
        <w:t xml:space="preserve">1, ELI: </w:t>
      </w:r>
      <w:hyperlink r:id="rId4" w:tooltip="Prieiga prie šio dokumento per jo ELI nuorodą." w:history="1">
        <w:r w:rsidRPr="0024750F">
          <w:rPr>
            <w:rStyle w:val="Hyperlink"/>
            <w:sz w:val="24"/>
            <w:lang w:val="lt-LT"/>
          </w:rPr>
          <w:t>http://data.europa.eu/eli/reg_impl/2013/503/oj</w:t>
        </w:r>
      </w:hyperlink>
      <w:r w:rsidRPr="0024750F">
        <w:rPr>
          <w:sz w:val="24"/>
          <w:lang w:val="lt-LT"/>
        </w:rPr>
        <w:t>).</w:t>
      </w:r>
    </w:p>
  </w:footnote>
  <w:footnote w:id="7">
    <w:p w:rsidR="008B3F1A" w:rsidRPr="0024750F" w:rsidRDefault="008B3F1A" w:rsidP="0024750F">
      <w:pPr>
        <w:pStyle w:val="FootnoteText"/>
        <w:ind w:left="567" w:hanging="567"/>
        <w:rPr>
          <w:sz w:val="24"/>
          <w:szCs w:val="22"/>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Žr., pvz., R. Schulz, S. Bub, L. L. Petschick, S. Stehle, J. Wolfram, (2021) „Applied pesticide toxicity shifts toward plants and invertebrates, even in GM crops“, Science 372(6537), p. </w:t>
      </w:r>
      <w:r w:rsidRPr="0024750F">
        <w:rPr>
          <w:sz w:val="24"/>
          <w:lang w:val="lt-LT"/>
        </w:rPr>
        <w:t xml:space="preserve">81–84, </w:t>
      </w:r>
      <w:hyperlink r:id="rId5" w:history="1">
        <w:r w:rsidRPr="0024750F">
          <w:rPr>
            <w:rStyle w:val="Hyperlink"/>
            <w:sz w:val="24"/>
            <w:lang w:val="lt-LT"/>
          </w:rPr>
          <w:t>https://doi.org/10.1126/science.abe1148</w:t>
        </w:r>
      </w:hyperlink>
      <w:r w:rsidRPr="0024750F">
        <w:rPr>
          <w:sz w:val="24"/>
          <w:lang w:val="lt-LT"/>
        </w:rPr>
        <w:t xml:space="preserve">; Bonny, S., „Genetically Modified Herbicide-Tolerant Crops, Weeds, and Herbicides: Overview and Impact“, Environmental Management, 2016 m. sausis; 57(1), p. 31-48, </w:t>
      </w:r>
      <w:hyperlink r:id="rId6" w:history="1">
        <w:r w:rsidRPr="0024750F">
          <w:rPr>
            <w:rStyle w:val="Hyperlink"/>
            <w:sz w:val="24"/>
            <w:lang w:val="lt-LT"/>
          </w:rPr>
          <w:t>https://www.ncbi.nlm.nih.gov/pubmed/26296738</w:t>
        </w:r>
      </w:hyperlink>
      <w:r w:rsidRPr="0024750F">
        <w:rPr>
          <w:sz w:val="24"/>
          <w:lang w:val="lt-LT"/>
        </w:rPr>
        <w:t xml:space="preserve">; ir C. M. Benbrook, „Impacts of genetically engineered crops on pesticide use in the U.S. – the first sixteen years“, Environmental Sciences Europe, 2012 m. rugsėjo 28 d., 24(1) tomas, </w:t>
      </w:r>
      <w:hyperlink r:id="rId7" w:history="1">
        <w:r w:rsidRPr="0024750F">
          <w:rPr>
            <w:rStyle w:val="Hyperlink"/>
            <w:sz w:val="24"/>
            <w:lang w:val="lt-LT"/>
          </w:rPr>
          <w:t>https://enveurope.springeropen.com/articles/10.1186/2190-4715-24-24</w:t>
        </w:r>
      </w:hyperlink>
      <w:r w:rsidRPr="0024750F">
        <w:rPr>
          <w:sz w:val="24"/>
          <w:lang w:val="lt-LT"/>
        </w:rPr>
        <w:t>.</w:t>
      </w:r>
    </w:p>
  </w:footnote>
  <w:footnote w:id="8">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2009 m. spalio 21 d. Europos Parlamento ir Tarybos reglamentas (EB) Nr. 1107/2009 dėl augalų apsaugos produktų pateikimo į rinką ir panaikinantis Tarybos direktyvas 79/117/EEB ir 91/414/EEB (OL L 309, 2009 11 24, p. </w:t>
      </w:r>
      <w:r w:rsidRPr="0024750F">
        <w:rPr>
          <w:sz w:val="24"/>
          <w:lang w:val="lt-LT"/>
        </w:rPr>
        <w:t xml:space="preserve">1, ELI: </w:t>
      </w:r>
      <w:hyperlink r:id="rId8" w:tooltip="Prieiga prie šio dokumento per jo ELI nuorodą." w:history="1">
        <w:r w:rsidRPr="0024750F">
          <w:rPr>
            <w:rStyle w:val="Hyperlink"/>
            <w:sz w:val="24"/>
            <w:lang w:val="lt-LT"/>
          </w:rPr>
          <w:t>http://data.europa.eu/eli/reg/2009/1107/oj</w:t>
        </w:r>
      </w:hyperlink>
      <w:r w:rsidRPr="0024750F">
        <w:rPr>
          <w:sz w:val="24"/>
          <w:lang w:val="lt-LT"/>
        </w:rPr>
        <w:t>).</w:t>
      </w:r>
    </w:p>
  </w:footnote>
  <w:footnote w:id="9">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hyperlink r:id="rId9" w:history="1">
        <w:r w:rsidRPr="0024750F">
          <w:rPr>
            <w:rStyle w:val="Hyperlink"/>
            <w:sz w:val="24"/>
            <w:lang w:val="lt-LT"/>
          </w:rPr>
          <w:t>https://efsa.onlinelibrary.wiley.com/action/downloadSupplement?doi=10.2903%‌2Fj.efsa.2024.8655&amp;file=efs28655-sup-0008-Annex8.pdf</w:t>
        </w:r>
      </w:hyperlink>
      <w:r w:rsidRPr="0024750F">
        <w:rPr>
          <w:rStyle w:val="Hyperlink"/>
          <w:sz w:val="24"/>
          <w:lang w:val="lt-LT"/>
        </w:rPr>
        <w:t>.</w:t>
      </w:r>
    </w:p>
  </w:footnote>
  <w:footnote w:id="10">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 xml:space="preserve">„Strategic Dialogue on the Future of EU Agriculture – A shared prospect for farming and food in Europe“, 2024 m. </w:t>
      </w:r>
      <w:r w:rsidRPr="0024750F">
        <w:rPr>
          <w:sz w:val="24"/>
          <w:lang w:val="lt-LT"/>
        </w:rPr>
        <w:t xml:space="preserve">rugsėjis, </w:t>
      </w:r>
      <w:hyperlink r:id="rId10" w:history="1">
        <w:r w:rsidRPr="0024750F">
          <w:rPr>
            <w:rStyle w:val="Hyperlink"/>
            <w:sz w:val="24"/>
            <w:lang w:val="lt-LT"/>
          </w:rPr>
          <w:t>https://agriculture.ec.europa.eu/document/download/171329ff-0f50-4fa5-946f-aea11032172e_en?filename=strategic-dialogue-report-2024_en.pdf</w:t>
        </w:r>
      </w:hyperlink>
      <w:r w:rsidRPr="0024750F">
        <w:rPr>
          <w:sz w:val="24"/>
          <w:lang w:val="lt-LT"/>
        </w:rPr>
        <w:t>.</w:t>
      </w:r>
    </w:p>
  </w:footnote>
  <w:footnote w:id="11">
    <w:p w:rsidR="008B3F1A" w:rsidRPr="0024750F" w:rsidRDefault="008B3F1A" w:rsidP="0024750F">
      <w:pPr>
        <w:pStyle w:val="FootnoteText"/>
        <w:ind w:left="567" w:hanging="567"/>
        <w:rPr>
          <w:sz w:val="24"/>
          <w:szCs w:val="22"/>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hyperlink r:id="rId11" w:history="1">
        <w:r w:rsidRPr="0024750F">
          <w:rPr>
            <w:rStyle w:val="Hyperlink"/>
            <w:sz w:val="24"/>
            <w:lang w:val="lt-LT"/>
          </w:rPr>
          <w:t>https://www.ohchr.org/en/documents/thematic-reports/ahrc3448-report-special-rapporteur-right-food</w:t>
        </w:r>
      </w:hyperlink>
      <w:r w:rsidRPr="0024750F">
        <w:rPr>
          <w:sz w:val="24"/>
          <w:lang w:val="lt-LT"/>
        </w:rPr>
        <w:t>.</w:t>
      </w:r>
    </w:p>
  </w:footnote>
  <w:footnote w:id="12">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hyperlink r:id="rId12" w:history="1">
        <w:r w:rsidRPr="0024750F">
          <w:rPr>
            <w:rStyle w:val="Hyperlink"/>
            <w:sz w:val="24"/>
            <w:lang w:val="lt-LT"/>
          </w:rPr>
          <w:t>https://indicators.report/targets/3-9/</w:t>
        </w:r>
      </w:hyperlink>
      <w:r w:rsidRPr="0024750F">
        <w:rPr>
          <w:rStyle w:val="Hyperlink"/>
          <w:sz w:val="24"/>
          <w:lang w:val="lt-LT"/>
        </w:rPr>
        <w:t>.</w:t>
      </w:r>
    </w:p>
  </w:footnote>
  <w:footnote w:id="13">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 xml:space="preserve">Žr.: </w:t>
      </w:r>
      <w:hyperlink r:id="rId13" w:history="1">
        <w:r w:rsidRPr="0024750F">
          <w:rPr>
            <w:rStyle w:val="Hyperlink"/>
            <w:sz w:val="24"/>
            <w:lang w:val="lt-LT"/>
          </w:rPr>
          <w:t>https://ec.europa.eu/commission/presscorner/detail/lt/ip_22_7834</w:t>
        </w:r>
      </w:hyperlink>
      <w:r w:rsidRPr="0024750F">
        <w:rPr>
          <w:sz w:val="24"/>
          <w:lang w:val="lt-LT"/>
        </w:rPr>
        <w:t>.</w:t>
      </w:r>
    </w:p>
  </w:footnote>
  <w:footnote w:id="14">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hyperlink r:id="rId14" w:history="1">
        <w:r w:rsidRPr="0024750F">
          <w:rPr>
            <w:rStyle w:val="Hyperlink"/>
            <w:sz w:val="24"/>
            <w:lang w:val="lt-LT"/>
          </w:rPr>
          <w:t>https://commission.europa.eu/document/2c64e540-c07a-4376-a1da-368d289f4afe_en</w:t>
        </w:r>
      </w:hyperlink>
    </w:p>
  </w:footnote>
  <w:footnote w:id="15">
    <w:p w:rsidR="008B3F1A" w:rsidRPr="0024750F" w:rsidRDefault="008B3F1A" w:rsidP="0024750F">
      <w:pPr>
        <w:pStyle w:val="FootnoteText"/>
        <w:ind w:left="567" w:hanging="567"/>
        <w:rPr>
          <w:sz w:val="24"/>
          <w:szCs w:val="22"/>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Pagal Reglamento (ES) Nr. 182/2011 6 straipsnio 3 dalį Komisija „gali“, o ne „turi“ suteikti leidimą, jei apeliaciniame komitete nėra pritariančios kvalifikuotos valstybių narių balsų daugumos.</w:t>
      </w:r>
    </w:p>
  </w:footnote>
  <w:footnote w:id="16">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w:t>
      </w:r>
      <w:r w:rsidRPr="0024750F">
        <w:rPr>
          <w:sz w:val="24"/>
          <w:lang w:val="lt-LT"/>
        </w:rPr>
        <w:t xml:space="preserve">1, ELI: </w:t>
      </w:r>
      <w:hyperlink r:id="rId15" w:tooltip="Prieiga prie šio dokumento per jo ELI nuorodą." w:history="1">
        <w:r w:rsidRPr="0024750F">
          <w:rPr>
            <w:rStyle w:val="Hyperlink"/>
            <w:sz w:val="24"/>
            <w:lang w:val="lt-LT"/>
          </w:rPr>
          <w:t>http://data.europa.eu/eli/reg/2002/178/oj</w:t>
        </w:r>
      </w:hyperlink>
      <w:r w:rsidRPr="0024750F">
        <w:rPr>
          <w:sz w:val="24"/>
          <w:lang w:val="lt-LT"/>
        </w:rPr>
        <w:t>).</w:t>
      </w:r>
    </w:p>
  </w:footnote>
  <w:footnote w:id="17">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 xml:space="preserve">2022 m. gruodžio mėn. per JT BĮK COP15 buvo susitarta dėl pasaulinės biologinės įvairovės sistemos, į kurią įtrauktas pasaulinis tikslas iki 2030 m. bent 50 proc. sumažinti pesticidų keliamą riziką (žr. </w:t>
      </w:r>
      <w:hyperlink r:id="rId16" w:history="1">
        <w:r w:rsidRPr="0024750F">
          <w:rPr>
            <w:rStyle w:val="Hyperlink"/>
            <w:sz w:val="24"/>
            <w:lang w:val="lt-LT"/>
          </w:rPr>
          <w:t>https://ec.europa.eu/commission/presscorner/detail/lt/ip_22_783</w:t>
        </w:r>
      </w:hyperlink>
      <w:r w:rsidRPr="0024750F">
        <w:rPr>
          <w:sz w:val="24"/>
          <w:lang w:val="lt-LT"/>
        </w:rPr>
        <w:t>).</w:t>
      </w:r>
    </w:p>
  </w:footnote>
  <w:footnote w:id="18">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 xml:space="preserve">Kaip nurodyta 2020 m. spalio 14 d. Komisijos komunikato „Cheminių medžiagų strategija tvarumui užtikrinti. </w:t>
      </w:r>
      <w:r w:rsidRPr="0024750F">
        <w:rPr>
          <w:sz w:val="24"/>
          <w:lang w:val="lt-LT"/>
        </w:rPr>
        <w:t xml:space="preserve">Aplinkos be toksinių medžiagų kūrimas“ (COM(2020)0667) priede, </w:t>
      </w:r>
      <w:hyperlink r:id="rId17" w:anchor="document2" w:history="1">
        <w:r w:rsidRPr="0024750F">
          <w:rPr>
            <w:rStyle w:val="Hyperlink"/>
            <w:sz w:val="24"/>
            <w:lang w:val="lt-LT"/>
          </w:rPr>
          <w:t>https://eur-lex.europa.eu/legal-content/LT/TXT/?uri=COM%3A2020%3A667%3AFIN#document2</w:t>
        </w:r>
      </w:hyperlink>
      <w:r w:rsidRPr="0024750F">
        <w:rPr>
          <w:sz w:val="24"/>
          <w:lang w:val="lt-LT"/>
        </w:rPr>
        <w:t>.</w:t>
      </w:r>
    </w:p>
  </w:footnote>
  <w:footnote w:id="19">
    <w:p w:rsidR="008B3F1A" w:rsidRPr="0024750F" w:rsidRDefault="008B3F1A" w:rsidP="0024750F">
      <w:pPr>
        <w:pStyle w:val="FootnoteText"/>
        <w:ind w:left="567" w:hanging="567"/>
        <w:rPr>
          <w:sz w:val="24"/>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hyperlink r:id="rId18" w:history="1">
        <w:r w:rsidRPr="0024750F">
          <w:rPr>
            <w:rStyle w:val="Hyperlink"/>
            <w:sz w:val="24"/>
            <w:lang w:val="lt-LT"/>
          </w:rPr>
          <w:t>https://tillymetz.lu/wp-content/uploads/2020/09/Co-signed-letter-MEP-Metz.pdf</w:t>
        </w:r>
      </w:hyperlink>
      <w:r w:rsidRPr="0024750F">
        <w:rPr>
          <w:rStyle w:val="Hyperlink"/>
          <w:sz w:val="24"/>
          <w:lang w:val="lt-LT"/>
        </w:rPr>
        <w:t>.</w:t>
      </w:r>
    </w:p>
  </w:footnote>
  <w:footnote w:id="20">
    <w:p w:rsidR="008B3F1A" w:rsidRPr="0024750F" w:rsidRDefault="008B3F1A" w:rsidP="0024750F">
      <w:pPr>
        <w:pStyle w:val="FootnoteText"/>
        <w:ind w:left="567" w:hanging="567"/>
        <w:rPr>
          <w:sz w:val="24"/>
          <w:szCs w:val="22"/>
          <w:lang w:val="lt-LT"/>
        </w:rPr>
      </w:pPr>
      <w:r w:rsidRPr="0024750F">
        <w:rPr>
          <w:rStyle w:val="FootnoteReference"/>
          <w:sz w:val="24"/>
          <w:lang w:val="lt-LT"/>
        </w:rPr>
        <w:footnoteRef/>
      </w:r>
      <w:r w:rsidR="0024750F" w:rsidRPr="0024750F">
        <w:rPr>
          <w:sz w:val="24"/>
          <w:lang w:val="lt-LT"/>
        </w:rPr>
        <w:t xml:space="preserve"> </w:t>
      </w:r>
      <w:r w:rsidR="0024750F" w:rsidRPr="0024750F">
        <w:rPr>
          <w:sz w:val="24"/>
          <w:lang w:val="lt-LT"/>
        </w:rPr>
        <w:tab/>
      </w:r>
      <w:r w:rsidRPr="0024750F">
        <w:rPr>
          <w:sz w:val="24"/>
          <w:lang w:val="lt-LT"/>
        </w:rPr>
        <w:t>2020 m. sausio 15 d. Europos Parlamento rezoliucija dėl Europos žaliojo kurso (OL C 270, 2021 7 7, p. 2), 102 dalis.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LT"/>
    <w:docVar w:name="dvnumam" w:val="0"/>
    <w:docVar w:name="dvpe" w:val="763.293"/>
    <w:docVar w:name="dvtitre" w:val="2024 m. lapkricio 26 d. Europos Parlamento rezoliucija dėl Komisijos įgyvendinimo sprendimo, kuriuo pagal Europos Parlamento ir Tarybos reglamentą (EB) Nr. 1829/2003 leidžiama pateikti rinkai produktus, kurių sudėtyje yra genetiškai modifikuotų kukurūzų DP202216, kurie iš jų sudaryti arba kurie iš jų pagaminti, projekto(D098501/04 – 2024/2837(RSP))"/>
  </w:docVars>
  <w:rsids>
    <w:rsidRoot w:val="009D137B"/>
    <w:rsid w:val="00002272"/>
    <w:rsid w:val="00064002"/>
    <w:rsid w:val="000677B9"/>
    <w:rsid w:val="000831BA"/>
    <w:rsid w:val="000A42CC"/>
    <w:rsid w:val="000B496E"/>
    <w:rsid w:val="000E7DD9"/>
    <w:rsid w:val="0010095E"/>
    <w:rsid w:val="00125B37"/>
    <w:rsid w:val="00187494"/>
    <w:rsid w:val="001B0DD3"/>
    <w:rsid w:val="001B189E"/>
    <w:rsid w:val="001F32AE"/>
    <w:rsid w:val="0024750F"/>
    <w:rsid w:val="002767FF"/>
    <w:rsid w:val="002B18FE"/>
    <w:rsid w:val="002B5493"/>
    <w:rsid w:val="00327BE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2E8"/>
    <w:rsid w:val="00545827"/>
    <w:rsid w:val="00560270"/>
    <w:rsid w:val="005C2568"/>
    <w:rsid w:val="005E0711"/>
    <w:rsid w:val="005F1B17"/>
    <w:rsid w:val="006037C0"/>
    <w:rsid w:val="00620FAE"/>
    <w:rsid w:val="00625897"/>
    <w:rsid w:val="006631B6"/>
    <w:rsid w:val="00680577"/>
    <w:rsid w:val="006D5765"/>
    <w:rsid w:val="006F74FA"/>
    <w:rsid w:val="00731ADD"/>
    <w:rsid w:val="00734777"/>
    <w:rsid w:val="00747932"/>
    <w:rsid w:val="00751A4A"/>
    <w:rsid w:val="00756632"/>
    <w:rsid w:val="00762C74"/>
    <w:rsid w:val="00786EC0"/>
    <w:rsid w:val="007D1690"/>
    <w:rsid w:val="007E22AD"/>
    <w:rsid w:val="00817416"/>
    <w:rsid w:val="00842779"/>
    <w:rsid w:val="00865F67"/>
    <w:rsid w:val="008800AD"/>
    <w:rsid w:val="00881A7B"/>
    <w:rsid w:val="008840E5"/>
    <w:rsid w:val="00887B3E"/>
    <w:rsid w:val="008B3F1A"/>
    <w:rsid w:val="008C2AC6"/>
    <w:rsid w:val="00930C23"/>
    <w:rsid w:val="0093193B"/>
    <w:rsid w:val="009509D8"/>
    <w:rsid w:val="00950B64"/>
    <w:rsid w:val="00981893"/>
    <w:rsid w:val="009D137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9F8"/>
    <w:rsid w:val="00D56C11"/>
    <w:rsid w:val="00D834A0"/>
    <w:rsid w:val="00D872DF"/>
    <w:rsid w:val="00D91E21"/>
    <w:rsid w:val="00DA7FCD"/>
    <w:rsid w:val="00E02270"/>
    <w:rsid w:val="00E365E1"/>
    <w:rsid w:val="00E820A4"/>
    <w:rsid w:val="00E86E74"/>
    <w:rsid w:val="00EB006A"/>
    <w:rsid w:val="00EB3C86"/>
    <w:rsid w:val="00EB4772"/>
    <w:rsid w:val="00ED169E"/>
    <w:rsid w:val="00ED4235"/>
    <w:rsid w:val="00F04346"/>
    <w:rsid w:val="00F075DC"/>
    <w:rsid w:val="00F12D5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6FB55"/>
  <w15:chartTrackingRefBased/>
  <w15:docId w15:val="{B5D0E1C3-2A26-4347-9253-BA96DB3E9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3F1A"/>
    <w:pPr>
      <w:spacing w:before="480" w:after="240"/>
    </w:pPr>
  </w:style>
  <w:style w:type="paragraph" w:customStyle="1" w:styleId="NormalHanging12a">
    <w:name w:val="NormalHanging12a"/>
    <w:basedOn w:val="Normal"/>
    <w:rsid w:val="008B3F1A"/>
    <w:pPr>
      <w:spacing w:after="240"/>
      <w:ind w:left="567" w:hanging="567"/>
    </w:pPr>
  </w:style>
  <w:style w:type="character" w:styleId="Hyperlink">
    <w:name w:val="Hyperlink"/>
    <w:basedOn w:val="DefaultParagraphFont"/>
    <w:uiPriority w:val="99"/>
    <w:rsid w:val="008B3F1A"/>
    <w:rPr>
      <w:color w:val="0563C1" w:themeColor="hyperlink"/>
      <w:u w:val="single"/>
    </w:rPr>
  </w:style>
  <w:style w:type="paragraph" w:styleId="BalloonText">
    <w:name w:val="Balloon Text"/>
    <w:basedOn w:val="Normal"/>
    <w:link w:val="BalloonTextChar"/>
    <w:rsid w:val="00620FAE"/>
    <w:rPr>
      <w:rFonts w:ascii="Segoe UI" w:hAnsi="Segoe UI" w:cs="Segoe UI"/>
      <w:sz w:val="18"/>
      <w:szCs w:val="18"/>
    </w:rPr>
  </w:style>
  <w:style w:type="character" w:customStyle="1" w:styleId="BalloonTextChar">
    <w:name w:val="Balloon Text Char"/>
    <w:basedOn w:val="DefaultParagraphFont"/>
    <w:link w:val="BalloonText"/>
    <w:rsid w:val="00620FA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ec.europa.eu/commission/presscorner/detail/lt/ip_22_7834" TargetMode="External"/><Relationship Id="rId18" Type="http://schemas.openxmlformats.org/officeDocument/2006/relationships/hyperlink" Target="https://tillymetz.lu/wp-content/uploads/2020/09/Co-signed-letter-MEP-Metz.pdf" TargetMode="External"/><Relationship Id="rId3" Type="http://schemas.openxmlformats.org/officeDocument/2006/relationships/hyperlink" Target="https://doi.org/10.2903/j.efsa.2024.8655"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indicators.report/targets/3-9/" TargetMode="External"/><Relationship Id="rId17" Type="http://schemas.openxmlformats.org/officeDocument/2006/relationships/hyperlink" Target="https://eur-lex.europa.eu/legal-content/LT/TXT/?uri=COM:2020:667:FIN" TargetMode="External"/><Relationship Id="rId2" Type="http://schemas.openxmlformats.org/officeDocument/2006/relationships/hyperlink" Target="http://data.europa.eu/eli/reg/2011/182/oj" TargetMode="External"/><Relationship Id="rId16" Type="http://schemas.openxmlformats.org/officeDocument/2006/relationships/hyperlink" Target="https://ec.europa.eu/commission/presscorner/detail/lt/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ohchr.org/en/documents/thematic-reports/ahrc3448-report-special-rapporteur-right-food" TargetMode="External"/><Relationship Id="rId5" Type="http://schemas.openxmlformats.org/officeDocument/2006/relationships/hyperlink" Target="https://doi.org/10.1126/science.abe1148" TargetMode="External"/><Relationship Id="rId15" Type="http://schemas.openxmlformats.org/officeDocument/2006/relationships/hyperlink" Target="http://data.europa.eu/eli/reg/2002/178/oj" TargetMode="External"/><Relationship Id="rId10" Type="http://schemas.openxmlformats.org/officeDocument/2006/relationships/hyperlink" Target="https://agriculture.ec.europa.eu/document/download/171329ff-0f50-4fa5-946f-aea11032172e_en?filename=strategic-dialogue-report-2024_en.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efsa.onlinelibrary.wiley.com/action/downloadSupplement?doi=10.2903/j.efsa.2024.8655&amp;file=efs28655-sup-0008-Annex8.pdf" TargetMode="External"/><Relationship Id="rId14" Type="http://schemas.openxmlformats.org/officeDocument/2006/relationships/hyperlink" Target="https://commission.europa.eu/document/2c64e540-c07a-4376-a1da-368d289f4af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011B-16A4-4014-9D4B-1B7B711B6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10325</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2024-11-26T13:28:00Z</dcterms:created>
  <dcterms:modified xsi:type="dcterms:W3CDTF">2024-11-26T13:28:00Z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B10-0152/2024</vt:lpwstr>
  </property>
  <property fmtid="{D5CDD505-2E9C-101B-9397-08002B2CF9AE}" pid="4" name="&lt;Type&gt;">
    <vt:lpwstr>RR</vt:lpwstr>
  </property>
</Properties>
</file>