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57F0" w14:paraId="0EDF77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06DD70" w14:textId="77777777" w:rsidR="00751A4A" w:rsidRPr="003757F0" w:rsidRDefault="00862844" w:rsidP="0010095E">
            <w:pPr>
              <w:pStyle w:val="EPName"/>
            </w:pPr>
            <w:r w:rsidRPr="003757F0">
              <w:t>Parlament Ewropew</w:t>
            </w:r>
          </w:p>
          <w:p w14:paraId="6E69E59B" w14:textId="77777777" w:rsidR="00751A4A" w:rsidRPr="003757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57F0">
              <w:t>2024</w:t>
            </w:r>
            <w:r w:rsidR="00817416" w:rsidRPr="003757F0">
              <w:t>-202</w:t>
            </w:r>
            <w:r w:rsidRPr="003757F0">
              <w:t>9</w:t>
            </w:r>
          </w:p>
        </w:tc>
        <w:tc>
          <w:tcPr>
            <w:tcW w:w="2268" w:type="dxa"/>
            <w:shd w:val="clear" w:color="auto" w:fill="auto"/>
          </w:tcPr>
          <w:p w14:paraId="6F9A55EE" w14:textId="77777777" w:rsidR="00751A4A" w:rsidRPr="003757F0" w:rsidRDefault="00187494" w:rsidP="0010095E">
            <w:pPr>
              <w:pStyle w:val="EPLogo"/>
            </w:pPr>
            <w:r w:rsidRPr="003757F0">
              <w:rPr>
                <w:noProof/>
                <w:lang w:val="en-GB"/>
              </w:rPr>
              <w:drawing>
                <wp:inline distT="0" distB="0" distL="0" distR="0" wp14:anchorId="40DDF88F" wp14:editId="1E9552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B6D2A" w14:textId="77777777" w:rsidR="00D058B8" w:rsidRPr="003757F0" w:rsidRDefault="00D058B8" w:rsidP="004C5D52">
      <w:pPr>
        <w:pStyle w:val="LineTop"/>
      </w:pPr>
    </w:p>
    <w:p w14:paraId="2197BC87" w14:textId="77777777" w:rsidR="00680577" w:rsidRPr="003757F0" w:rsidRDefault="00862844" w:rsidP="00680577">
      <w:pPr>
        <w:pStyle w:val="EPBodyTA1"/>
      </w:pPr>
      <w:r w:rsidRPr="003757F0">
        <w:t>TESTI ADOTTATI</w:t>
      </w:r>
    </w:p>
    <w:p w14:paraId="55283978" w14:textId="77777777" w:rsidR="00D058B8" w:rsidRPr="003757F0" w:rsidRDefault="00D058B8" w:rsidP="00D058B8">
      <w:pPr>
        <w:pStyle w:val="LineBottom"/>
      </w:pPr>
    </w:p>
    <w:p w14:paraId="033193CE" w14:textId="668D15AE" w:rsidR="00862844" w:rsidRPr="003757F0" w:rsidRDefault="00862844" w:rsidP="00862844">
      <w:pPr>
        <w:pStyle w:val="ATHeading1"/>
      </w:pPr>
      <w:bookmarkStart w:id="0" w:name="TANumber"/>
      <w:r w:rsidRPr="003757F0">
        <w:t>P10_TA(2024)</w:t>
      </w:r>
      <w:r w:rsidR="009A517C" w:rsidRPr="000E4D15">
        <w:t>0044</w:t>
      </w:r>
      <w:bookmarkEnd w:id="0"/>
    </w:p>
    <w:p w14:paraId="1FFFE5D5" w14:textId="3D42FD7C" w:rsidR="00862844" w:rsidRPr="003757F0" w:rsidRDefault="000E4D15" w:rsidP="00862844">
      <w:pPr>
        <w:pStyle w:val="ATHeading2"/>
      </w:pPr>
      <w:bookmarkStart w:id="1" w:name="title"/>
      <w:r>
        <w:t>Q</w:t>
      </w:r>
      <w:r w:rsidR="00862844" w:rsidRPr="003757F0">
        <w:t>amħirrum ġenetikament modifikat DP202216</w:t>
      </w:r>
      <w:bookmarkEnd w:id="1"/>
    </w:p>
    <w:p w14:paraId="3720E55D" w14:textId="77777777" w:rsidR="00862844" w:rsidRPr="003757F0" w:rsidRDefault="00862844" w:rsidP="00862844">
      <w:pPr>
        <w:rPr>
          <w:i/>
          <w:vanish/>
        </w:rPr>
      </w:pPr>
      <w:r w:rsidRPr="003757F0">
        <w:rPr>
          <w:i/>
        </w:rPr>
        <w:fldChar w:fldCharType="begin"/>
      </w:r>
      <w:r w:rsidRPr="003757F0">
        <w:rPr>
          <w:i/>
        </w:rPr>
        <w:instrText xml:space="preserve"> TC"(</w:instrText>
      </w:r>
      <w:bookmarkStart w:id="2" w:name="DocNumber"/>
      <w:r w:rsidRPr="003757F0">
        <w:rPr>
          <w:i/>
        </w:rPr>
        <w:instrText>B10-0152/2024</w:instrText>
      </w:r>
      <w:bookmarkEnd w:id="2"/>
      <w:r w:rsidRPr="003757F0">
        <w:rPr>
          <w:i/>
        </w:rPr>
        <w:instrText xml:space="preserve">)"\l3 \n&gt; \* MERGEFORMAT </w:instrText>
      </w:r>
      <w:r w:rsidRPr="003757F0">
        <w:rPr>
          <w:i/>
        </w:rPr>
        <w:fldChar w:fldCharType="end"/>
      </w:r>
    </w:p>
    <w:p w14:paraId="040BE81F" w14:textId="77777777" w:rsidR="00862844" w:rsidRPr="003757F0" w:rsidRDefault="00862844" w:rsidP="00862844">
      <w:pPr>
        <w:rPr>
          <w:vanish/>
        </w:rPr>
      </w:pPr>
      <w:bookmarkStart w:id="3" w:name="PE"/>
      <w:r w:rsidRPr="003757F0">
        <w:rPr>
          <w:vanish/>
        </w:rPr>
        <w:t>PE763.293</w:t>
      </w:r>
      <w:bookmarkEnd w:id="3"/>
    </w:p>
    <w:p w14:paraId="57D49DBD" w14:textId="7212B5CE" w:rsidR="00862844" w:rsidRPr="003757F0" w:rsidRDefault="00862844" w:rsidP="00542F30">
      <w:pPr>
        <w:pStyle w:val="ATHeading3"/>
      </w:pPr>
      <w:bookmarkStart w:id="4" w:name="Sujet"/>
      <w:r w:rsidRPr="003757F0">
        <w:t xml:space="preserve">Riżoluzzjoni tal-Parlament Ewropew tas-26 ta' Novembru 2024 dwar </w:t>
      </w:r>
      <w:r w:rsidR="002C3A21">
        <w:t>id-Deċiżjoni ta’ Implimentazzjoni tal-Kummissjoni (</w:t>
      </w:r>
      <w:r w:rsidR="002C3A21" w:rsidRPr="002C3A21">
        <w:t>U</w:t>
      </w:r>
      <w:r w:rsidR="002C3A21">
        <w:t>E</w:t>
      </w:r>
      <w:r w:rsidR="002C3A21" w:rsidRPr="002C3A21">
        <w:t xml:space="preserve">) 2024/2618 </w:t>
      </w:r>
      <w:r w:rsidRPr="003757F0">
        <w:t>dwar l-awtorizzazzjoni għall-introduzzjoni fis-suq ta’ prodotti li fihom, li jikkonsistu minn, jew li huma prodotti mill-qamħirrum ġenetikament modifikat DP202216 s</w:t>
      </w:r>
      <w:r w:rsidR="00F71EA8">
        <w:t>kont ir-Regolament (KE) Nru 1829</w:t>
      </w:r>
      <w:r w:rsidRPr="003757F0">
        <w:t>/2003 tal-Parlament Ewropew u tal-Kunsill</w:t>
      </w:r>
      <w:bookmarkEnd w:id="4"/>
      <w:r w:rsidRPr="003757F0">
        <w:t xml:space="preserve"> </w:t>
      </w:r>
      <w:bookmarkStart w:id="5" w:name="References"/>
      <w:r w:rsidR="002C3A21">
        <w:t>(</w:t>
      </w:r>
      <w:r w:rsidRPr="003757F0">
        <w:t>2024/2837(RSP))</w:t>
      </w:r>
      <w:bookmarkEnd w:id="5"/>
    </w:p>
    <w:p w14:paraId="12B44982" w14:textId="77777777" w:rsidR="006C5BDF" w:rsidRPr="003757F0" w:rsidRDefault="006C5BDF" w:rsidP="006C5BDF">
      <w:pPr>
        <w:pStyle w:val="EPComma"/>
      </w:pPr>
      <w:bookmarkStart w:id="6" w:name="TextBodyBegin"/>
      <w:bookmarkEnd w:id="6"/>
      <w:r w:rsidRPr="003757F0">
        <w:rPr>
          <w:i/>
        </w:rPr>
        <w:t>Il-Parlament Ewropew</w:t>
      </w:r>
      <w:r w:rsidRPr="003757F0">
        <w:t>,</w:t>
      </w:r>
    </w:p>
    <w:p w14:paraId="2974BEA5" w14:textId="77777777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>wara li kkunsidra</w:t>
      </w:r>
      <w:r w:rsidR="002C3A21">
        <w:t xml:space="preserve"> d-Deċiżjoni ta’ I</w:t>
      </w:r>
      <w:r w:rsidRPr="003757F0">
        <w:t>mplimentazzjoni tal-</w:t>
      </w:r>
      <w:r w:rsidRPr="002C3A21">
        <w:t xml:space="preserve">Kummissjoni </w:t>
      </w:r>
      <w:r w:rsidR="002C3A21" w:rsidRPr="002C3A21">
        <w:t xml:space="preserve">(UE) 2024/2618 </w:t>
      </w:r>
      <w:r w:rsidRPr="002C3A21">
        <w:t>li</w:t>
      </w:r>
      <w:r w:rsidRPr="003757F0">
        <w:t xml:space="preserve"> tawtorizza t-tqegħid fis-suq ta’ prodotti li fihom, jikkonsistu minn, jew li huma prodotti minn qamħirrum ġenetikament modifik</w:t>
      </w:r>
      <w:r w:rsidRPr="002C3A21">
        <w:t>at DP202216 skont ir-Regolament (KE) Nru 1829/2003 tal-Parlament Ew</w:t>
      </w:r>
      <w:r w:rsidR="002C3A21" w:rsidRPr="002C3A21">
        <w:t>ropew u tal-Kunsill</w:t>
      </w:r>
      <w:r w:rsidR="002C3A21" w:rsidRPr="002C3A21">
        <w:rPr>
          <w:rStyle w:val="FootnoteReference"/>
        </w:rPr>
        <w:footnoteReference w:id="1"/>
      </w:r>
      <w:r w:rsidRPr="002C3A21">
        <w:t>,</w:t>
      </w:r>
    </w:p>
    <w:p w14:paraId="7EC27F2D" w14:textId="655E745A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>wara li kkunsidra r-Regolament (</w:t>
      </w:r>
      <w:r w:rsidR="00F71EA8">
        <w:t>K</w:t>
      </w:r>
      <w:bookmarkStart w:id="7" w:name="_GoBack"/>
      <w:bookmarkEnd w:id="7"/>
      <w:r w:rsidRPr="003757F0">
        <w:t>E) Nru 1829/2003 tal-Parlament Ewropew u tal-Kunsill tat-22 ta’ Settembru 2003 dwar ikel u għalf modifikat ġenetikament</w:t>
      </w:r>
      <w:r w:rsidRPr="003757F0">
        <w:rPr>
          <w:rStyle w:val="FootnoteReference"/>
        </w:rPr>
        <w:footnoteReference w:id="2"/>
      </w:r>
      <w:r w:rsidRPr="003757F0">
        <w:t>, u b’mod partikolari l-Artikolu 7(3) u l-Artikolu 19(3) tiegħu,</w:t>
      </w:r>
    </w:p>
    <w:p w14:paraId="0695ED3E" w14:textId="77777777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 xml:space="preserve">wara li kkunsidra l-votazzjoni </w:t>
      </w:r>
      <w:r w:rsidRPr="003757F0">
        <w:rPr>
          <w:shd w:val="clear" w:color="auto" w:fill="FFFFFF"/>
        </w:rPr>
        <w:t>tal-Kumitat Permanenti dwar il-Pjanti, l-Annimali, l-Ikel u l-Għalf imsemmi fl-Artikolu 35 tar-Regolament (KE) Nru 1829/2003, tat-8 ta’ Lulju 2024, li fiha ma ngħatat ebda opinjoni, u l-votazzjoni tal-Kumitat ta’ Appell tat-3 ta’ Settembru 2024, li fiha wkoll ma ngħatat ebda</w:t>
      </w:r>
      <w:r w:rsidRPr="003757F0">
        <w:t xml:space="preserve"> opinjoni,</w:t>
      </w:r>
    </w:p>
    <w:p w14:paraId="40BB1BCB" w14:textId="77777777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>wara li kkunsidra l-Artikolu 11 tar-Regolament (UE) Nru 182/2011 tal-Parlament Ewropew u tal-Kunsill tas-16 ta’ Frar 2011 li jistabbilixxi r-regoli u l-prinċipji ġenerali dwar il-modalitajiet ta’ kontroll mill-Istati Membri tal-eżerċizzju mill-Kummissjoni tas-setgħat ta’ implimentazzjoni</w:t>
      </w:r>
      <w:r w:rsidRPr="003757F0">
        <w:rPr>
          <w:rStyle w:val="FootnoteReference"/>
        </w:rPr>
        <w:footnoteReference w:id="3"/>
      </w:r>
      <w:r w:rsidRPr="003757F0">
        <w:t>,</w:t>
      </w:r>
    </w:p>
    <w:p w14:paraId="65262465" w14:textId="77777777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 xml:space="preserve">wara li kkunsidra l-opinjoni adottata mill-Awtorità Ewropea dwar is-Sigurtà fl-Ikel </w:t>
      </w:r>
      <w:r w:rsidRPr="003757F0">
        <w:lastRenderedPageBreak/>
        <w:t>(EFSA) fis-7 ta’ Frar 2024, u ppubblikata fl-20 ta’ Marzu 2024</w:t>
      </w:r>
      <w:r w:rsidRPr="003757F0">
        <w:rPr>
          <w:rStyle w:val="FootnoteReference"/>
        </w:rPr>
        <w:footnoteReference w:id="4"/>
      </w:r>
      <w:r w:rsidRPr="003757F0">
        <w:t>,</w:t>
      </w:r>
    </w:p>
    <w:p w14:paraId="034F14E1" w14:textId="77777777" w:rsidR="006C5BDF" w:rsidRPr="003757F0" w:rsidRDefault="006C5BDF" w:rsidP="006C5BDF">
      <w:pPr>
        <w:pStyle w:val="NormalHanging12a"/>
        <w:rPr>
          <w:szCs w:val="24"/>
          <w:shd w:val="clear" w:color="auto" w:fill="FFFFFF"/>
        </w:rPr>
      </w:pPr>
      <w:r w:rsidRPr="003757F0">
        <w:t>–</w:t>
      </w:r>
      <w:r w:rsidRPr="003757F0">
        <w:rPr>
          <w:shd w:val="clear" w:color="auto" w:fill="FFFFFF"/>
        </w:rPr>
        <w:tab/>
        <w:t>wara li kkunsidra r-riżoluzzjonijiet preċedenti tiegħu li joġġezzjonaw għall-awtorizzazzjoni ta’ organiżmi ġenetikament modifikati (“OĠM”)</w:t>
      </w:r>
      <w:r w:rsidRPr="003757F0">
        <w:rPr>
          <w:szCs w:val="24"/>
          <w:shd w:val="clear" w:color="auto" w:fill="FFFFFF"/>
          <w:vertAlign w:val="superscript"/>
        </w:rPr>
        <w:footnoteReference w:id="5"/>
      </w:r>
      <w:r w:rsidRPr="003757F0">
        <w:rPr>
          <w:shd w:val="clear" w:color="auto" w:fill="FFFFFF"/>
        </w:rPr>
        <w:t>,</w:t>
      </w:r>
    </w:p>
    <w:p w14:paraId="0BE0BB95" w14:textId="77777777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>wara li kkunsidra l-Artikolu 115(2) u (3) tar-Regoli ta’ Proċedura tiegħu,</w:t>
      </w:r>
    </w:p>
    <w:p w14:paraId="4788ED51" w14:textId="77777777" w:rsidR="006C5BDF" w:rsidRPr="003757F0" w:rsidRDefault="006C5BDF" w:rsidP="006C5BDF">
      <w:pPr>
        <w:pStyle w:val="NormalHanging12a"/>
      </w:pPr>
      <w:r w:rsidRPr="003757F0">
        <w:t>–</w:t>
      </w:r>
      <w:r w:rsidRPr="003757F0">
        <w:tab/>
        <w:t>wara li kkunsidra l-mozzjoni għal riżoluzzjoni tal-Kumitat għall-Ambjent, is-Saħħa Pubblika u s-Sikurezza tal-Ikel,</w:t>
      </w:r>
    </w:p>
    <w:p w14:paraId="6B051102" w14:textId="77777777" w:rsidR="006C5BDF" w:rsidRPr="003757F0" w:rsidRDefault="006C5BDF" w:rsidP="006C5BDF">
      <w:pPr>
        <w:pStyle w:val="NormalHanging12a"/>
      </w:pPr>
      <w:r w:rsidRPr="003757F0">
        <w:t>A.</w:t>
      </w:r>
      <w:r w:rsidRPr="003757F0">
        <w:tab/>
        <w:t>billi, fl-1 ta’ Lulju 2019, Pioneer Overseas Corporation, ibbażata fil-Belġju, ressqet applikazzjoni f’isem Pioneer Hi-Bred International, Inc., ibbażata fl-Istati Uniti, lill-awtorità nazzjonali kompetenti tan-Netherlands għall-introduzzjoni fis-suq ta’ ikel, ta’ ingredjenti tal-ikel, u ta’ għalf li fihom, li jikkonsistu minn jew li huma prodotti mill-qamħirrum ġenetikament modifikat DP202216 (il-“qamħirrum ĠM”), f’konformità mal-Artikoli 5 u 17 tar-Regolament (KE) Nru 1829/2003; billi l-applikazzjoni kopriet ukoll l-introduzzjoni fis-suq ta’ prodotti li fihom qamħirrum ĠM, jew li jikkonsistu minn tali qamħirrum, għal użi oħra għajr l-ikel u l-għalf, bl-eċċezzjoni tal-kultivazzjoni;  </w:t>
      </w:r>
    </w:p>
    <w:p w14:paraId="3C6A6D6B" w14:textId="77777777" w:rsidR="006C5BDF" w:rsidRPr="003757F0" w:rsidRDefault="006C5BDF" w:rsidP="006C5BDF">
      <w:pPr>
        <w:pStyle w:val="NormalHanging12a"/>
      </w:pPr>
      <w:r w:rsidRPr="003757F0">
        <w:t>B.</w:t>
      </w:r>
      <w:r w:rsidRPr="003757F0">
        <w:tab/>
        <w:t>billi, fis-7 ta’ Frar 2024, l-EFSA adottat opinjoni favorevoli, li ġiet ippubblikata fl-20 ta’ Marzu 2024;</w:t>
      </w:r>
    </w:p>
    <w:p w14:paraId="59F466BB" w14:textId="77777777" w:rsidR="006C5BDF" w:rsidRPr="003757F0" w:rsidRDefault="006C5BDF" w:rsidP="006C5BDF">
      <w:pPr>
        <w:pStyle w:val="NormalHanging12a"/>
      </w:pPr>
      <w:r w:rsidRPr="003757F0">
        <w:t>C.</w:t>
      </w:r>
      <w:r w:rsidRPr="003757F0">
        <w:tab/>
        <w:t xml:space="preserve">billi l-qamħirrum ĠM fih ġeni li jagħtu reżistenza għall-glufosinat u </w:t>
      </w:r>
      <w:r w:rsidRPr="003757F0">
        <w:rPr>
          <w:color w:val="000000"/>
          <w:shd w:val="clear" w:color="auto" w:fill="FFFFFF"/>
        </w:rPr>
        <w:t>suppost ikollu potenzjal ta’ rendiment miżjud;</w:t>
      </w:r>
      <w:r w:rsidRPr="003757F0">
        <w:rPr>
          <w:rFonts w:ascii="Segoe UI" w:hAnsi="Segoe UI"/>
          <w:color w:val="000000"/>
          <w:sz w:val="22"/>
          <w:shd w:val="clear" w:color="auto" w:fill="FFFFFF"/>
        </w:rPr>
        <w:t xml:space="preserve"> </w:t>
      </w:r>
    </w:p>
    <w:p w14:paraId="1015EB01" w14:textId="77777777" w:rsidR="006C5BDF" w:rsidRPr="003757F0" w:rsidRDefault="006C5BDF" w:rsidP="006C5BDF">
      <w:pPr>
        <w:pStyle w:val="NormalHanging12a"/>
        <w:rPr>
          <w:b/>
          <w:i/>
        </w:rPr>
      </w:pPr>
      <w:r w:rsidRPr="003757F0">
        <w:rPr>
          <w:b/>
          <w:i/>
        </w:rPr>
        <w:t>Nuqqas ta’ valutazzjoni tal-erbiċida komplementari</w:t>
      </w:r>
    </w:p>
    <w:p w14:paraId="33E53B63" w14:textId="77777777" w:rsidR="006C5BDF" w:rsidRPr="003757F0" w:rsidRDefault="006C5BDF" w:rsidP="006C5BDF">
      <w:pPr>
        <w:pStyle w:val="NormalHanging12a"/>
      </w:pPr>
      <w:r w:rsidRPr="003757F0">
        <w:t>D.</w:t>
      </w:r>
      <w:r w:rsidRPr="003757F0">
        <w:tab/>
        <w:t>billi r-Regolament ta’ Implimentazzjoni tal-Kummissjoni (UE) Nru 503/2013</w:t>
      </w:r>
      <w:r w:rsidRPr="003757F0">
        <w:rPr>
          <w:rStyle w:val="FootnoteReference"/>
        </w:rPr>
        <w:footnoteReference w:id="6"/>
      </w:r>
      <w:r w:rsidRPr="003757F0">
        <w:t xml:space="preserve"> jeżiġi valutazzjoni dwar jekk il-prattiki agrikoli mistennija jinfluwenzawx l-eżitu tal-punti tat-tmiem studjati; billi, skont dak ir-Regolament ta’ Implimentazzjoni, dan huwa speċjalment rilevanti għal pjanti tolleranti għall-erbiċidi;</w:t>
      </w:r>
    </w:p>
    <w:p w14:paraId="7C241D60" w14:textId="77777777" w:rsidR="006C5BDF" w:rsidRPr="003757F0" w:rsidRDefault="006C5BDF" w:rsidP="006C5BDF">
      <w:pPr>
        <w:pStyle w:val="NormalHanging12a"/>
      </w:pPr>
      <w:r w:rsidRPr="003757F0">
        <w:t>E.</w:t>
      </w:r>
      <w:r w:rsidRPr="003757F0">
        <w:tab/>
        <w:t xml:space="preserve">billi l-maġġoranza l-kbira tal-għelejjel ĠM ġew ġenetikament modifikati sabiex ikunu tolleranti għal erbiċida “komplementari” waħda jew aktar li jistgħu jintużaw matul il-kultivazzjoni tal-għalla ĠM, mingħajr ma l-għalla tmut, kif ikun il-każ għal għalla mhux tolleranti għall-erbiċidi; billi għadd ta’ studji juru li l-għelejjel ġenetikament modifikati tolleranti għall-erbiċidi jirriżultaw f’użu akbar ta’ erbiċidi komplementari, </w:t>
      </w:r>
      <w:r w:rsidRPr="003757F0">
        <w:lastRenderedPageBreak/>
        <w:t>fil-biċċa l-kbira minħabba li jfeġġ ħaxix ħażin tolleranti għall-erbiċidi</w:t>
      </w:r>
      <w:r w:rsidRPr="003757F0">
        <w:rPr>
          <w:rStyle w:val="FootnoteReference"/>
        </w:rPr>
        <w:footnoteReference w:id="7"/>
      </w:r>
      <w:r w:rsidRPr="003757F0">
        <w:t>;</w:t>
      </w:r>
    </w:p>
    <w:p w14:paraId="1087F8F8" w14:textId="77777777" w:rsidR="006C5BDF" w:rsidRPr="003757F0" w:rsidRDefault="006C5BDF" w:rsidP="006C5BDF">
      <w:pPr>
        <w:pStyle w:val="NormalHanging12a"/>
      </w:pPr>
      <w:r w:rsidRPr="003757F0">
        <w:t>F.</w:t>
      </w:r>
      <w:r w:rsidRPr="003757F0">
        <w:tab/>
        <w:t>billi l-għelejjel ĠM tolleranti għall-erbiċidi jillimitaw lill-bdiewa f’sistema ta’ ġestjoni tal-ħaxix ħażin li hija fil-biċċa l-kbira jew kompletament dipendenti mill-erbiċidi, u tagħmel dan billi titlob premium għaż-żrieragħ ĠM li jista’ jiġi ġġustifikat biss jekk il-bdiewa li jixtru tali żerriegħa jbexxu wkoll l-erbiċidi komplementari; billi dipendenza akbar fuq erbiċidi komplementari tal-azjendi agrikoli li jħawlu l-għelejjel ĠM taċċellera l-ħruġ mill-ġdid u t-tixrid ta’ ħaxix ħażin reżistenti għal dawk l-erbiċidi, u b’hekk tiskatta l-ħtieġa ta’ aktar użu ta’ erbiċidi, ċirku vizzjuż magħruf bħala “l-ispirall tal-erbiċidi”;</w:t>
      </w:r>
    </w:p>
    <w:p w14:paraId="4B66F6C5" w14:textId="77777777" w:rsidR="006C5BDF" w:rsidRPr="003757F0" w:rsidRDefault="006C5BDF" w:rsidP="006C5BDF">
      <w:pPr>
        <w:pStyle w:val="NormalHanging12a"/>
      </w:pPr>
      <w:r w:rsidRPr="003757F0">
        <w:t>G.</w:t>
      </w:r>
      <w:r w:rsidRPr="003757F0">
        <w:tab/>
        <w:t>billi l-impatti negattivi li jirriżultaw mid-dipendenza eċċessiva fuq l-erbiċidi se jaggravaw is-saħħa tal-ħamrija, il-kwalità tal-ilma, u l-bijodiversità ta’ fuq u ta’ taħt l-art, kif ukoll iwasslu għal żieda fl-esponiment tal-bniedem u tal-annimali, potenzjalment ukoll permezz ta’ żieda fir-residwi tal-erbiċidi fl-ikel u l-għalf;</w:t>
      </w:r>
    </w:p>
    <w:p w14:paraId="4815B1A4" w14:textId="77777777" w:rsidR="006C5BDF" w:rsidRPr="003757F0" w:rsidRDefault="006C5BDF" w:rsidP="006C5BDF">
      <w:pPr>
        <w:pStyle w:val="NormalHanging12a"/>
      </w:pPr>
      <w:r w:rsidRPr="003757F0">
        <w:t>H.</w:t>
      </w:r>
      <w:r w:rsidRPr="003757F0">
        <w:tab/>
        <w:t>billi l-glufosinat huwa kklassifikat bħala sustanza tossika għar-riproduzzjoni 1B u għalhekk jissodisfa l-“kriterji ta’ limitu” stabbiliti fir-Regolament (KE) Nru 1107/2009 tal-Parlament Ewropew u tal-Kunsill</w:t>
      </w:r>
      <w:r w:rsidRPr="003757F0">
        <w:rPr>
          <w:rStyle w:val="FootnoteReference"/>
        </w:rPr>
        <w:footnoteReference w:id="8"/>
      </w:r>
      <w:r w:rsidRPr="003757F0">
        <w:t>; billi l-approvazzjoni għall-użu tal-glufosinat fl-Unjoni skadiet fil-31 ta’ Lulju 2018;</w:t>
      </w:r>
    </w:p>
    <w:p w14:paraId="034CC4C3" w14:textId="77777777" w:rsidR="006C5BDF" w:rsidRPr="003757F0" w:rsidRDefault="006C5BDF" w:rsidP="006C5BDF">
      <w:pPr>
        <w:pStyle w:val="NormalHanging12a"/>
      </w:pPr>
      <w:r w:rsidRPr="003757F0">
        <w:t>I.</w:t>
      </w:r>
      <w:r w:rsidRPr="003757F0">
        <w:tab/>
        <w:t>billi l-valutazzjoni tar-residwi ta’ erbiċidi u l-metaboliti misjuba fi pjanti ĠM hija kkunsidrata li ma taqax taħt il-kompetenza tal-Bord tal-EFSA dwar Organiżmi Ġenetikament Modifikati u għalhekk ma titwettaqx bħala parti mill-proċess ta’ awtorizzazzjoni għall-OĠM;</w:t>
      </w:r>
    </w:p>
    <w:p w14:paraId="33251AB2" w14:textId="77777777" w:rsidR="006C5BDF" w:rsidRPr="003757F0" w:rsidRDefault="006C5BDF" w:rsidP="006C5BDF">
      <w:pPr>
        <w:pStyle w:val="NormalHanging12a"/>
        <w:rPr>
          <w:b/>
          <w:i/>
        </w:rPr>
      </w:pPr>
      <w:r w:rsidRPr="003757F0">
        <w:rPr>
          <w:b/>
          <w:i/>
        </w:rPr>
        <w:t>Kummenti tal-awtorità kompetenti tal-Istat Membru u tal-partijiet ikkonċernati</w:t>
      </w:r>
    </w:p>
    <w:p w14:paraId="317DFECD" w14:textId="77777777" w:rsidR="006C5BDF" w:rsidRPr="003757F0" w:rsidRDefault="006C5BDF" w:rsidP="006C5BDF">
      <w:pPr>
        <w:pStyle w:val="NormalHanging12a"/>
      </w:pPr>
      <w:r w:rsidRPr="003757F0">
        <w:t>J.</w:t>
      </w:r>
      <w:r w:rsidRPr="003757F0">
        <w:tab/>
        <w:t>billi l-Istati Membri ppreżentaw ħafna kummenti kritiċi lill-EFSA matul il-perjodu ta’ konsultazzjoni ta’ tliet xhur</w:t>
      </w:r>
      <w:r w:rsidRPr="003757F0">
        <w:rPr>
          <w:rStyle w:val="FootnoteReference"/>
        </w:rPr>
        <w:footnoteReference w:id="9"/>
      </w:r>
      <w:r w:rsidRPr="003757F0">
        <w:t xml:space="preserve"> inkluż li l-pjan ta’ monitoraġġ inkwistjoni ma jiżgurax li tinġabar informazzjoni rilevanti għall-monitoraġġ tal-prodott u għalhekk ma tistax titqies adegwata, li għandha tiġi ppreżentata aktar informazzjoni qabel ma tkun tista’ tiġi finalizzata l-valutazzjoni tar-riskju u li, għalkemm l-OĠM ma jkunx maħsub għall-kultivazzjoni, l-applikant għandu jipprovdi informazzjoni dettaljata dwar l-ispeċi selvaġġa tiegħu, it-teosinte, liema pjanta nstabet ripetutament fl-għelieqi tal-Unjoni, u li </w:t>
      </w:r>
      <w:r w:rsidRPr="003757F0">
        <w:lastRenderedPageBreak/>
        <w:t xml:space="preserve">t-tixrid taż-żerriegħa tal-qamħirrum matul it-trasport irid jiġi antiċipat; </w:t>
      </w:r>
    </w:p>
    <w:p w14:paraId="49A4CAAD" w14:textId="77777777" w:rsidR="006C5BDF" w:rsidRPr="003757F0" w:rsidRDefault="006C5BDF" w:rsidP="006C5BDF">
      <w:pPr>
        <w:pStyle w:val="NormalHanging12a"/>
        <w:rPr>
          <w:b/>
          <w:i/>
        </w:rPr>
      </w:pPr>
      <w:r w:rsidRPr="003757F0">
        <w:rPr>
          <w:b/>
          <w:i/>
        </w:rPr>
        <w:t>Żgurar ta’ kundizzjonijiet ekwi globali u r-rispett tal-obbligi internazzjonali tal-Unjoni</w:t>
      </w:r>
    </w:p>
    <w:p w14:paraId="52001E45" w14:textId="77777777" w:rsidR="006C5BDF" w:rsidRPr="003757F0" w:rsidRDefault="006C5BDF" w:rsidP="006C5BDF">
      <w:pPr>
        <w:pStyle w:val="NormalHanging12a"/>
      </w:pPr>
      <w:r w:rsidRPr="003757F0">
        <w:t>K.</w:t>
      </w:r>
      <w:r w:rsidRPr="003757F0">
        <w:tab/>
        <w:t>billi l-konklużjonijiet tad-Djalogu Strateġiku dwar il-Futur tal-Agrikoltura fl-UE</w:t>
      </w:r>
      <w:r w:rsidRPr="003757F0">
        <w:rPr>
          <w:rStyle w:val="FootnoteReference"/>
        </w:rPr>
        <w:footnoteReference w:id="10"/>
      </w:r>
      <w:r w:rsidRPr="003757F0">
        <w:t xml:space="preserve"> jistiednu lill-Kummissjoni tivvaluta mill-ġdid l-approċċ tagħha dwar l-aċċess għas-suq għall-importazzjonijiet u l-esportazzjonijiet agroalimentari, minħabba l-isfida ta’ standards diverġenti tal-Unjoni u tas-sħab kummerċjali tagħha; billi relazzjonijiet kummerċjali aktar ġusti, fuq livell globali, u koerenti mal-għanijiet favur ambjent b’saħħtu kienu waħda mit-talbiet ewlenin tal-bdiewa matul id-dimostrazzjonijiet tal-2023 u l-2024;</w:t>
      </w:r>
    </w:p>
    <w:p w14:paraId="69962B95" w14:textId="77777777" w:rsidR="006C5BDF" w:rsidRPr="003757F0" w:rsidRDefault="006C5BDF" w:rsidP="006C5BDF">
      <w:pPr>
        <w:pStyle w:val="NormalHanging12a"/>
      </w:pPr>
      <w:r w:rsidRPr="003757F0">
        <w:t>L.</w:t>
      </w:r>
      <w:r w:rsidRPr="003757F0">
        <w:tab/>
        <w:t>billi rapport tal-2017 mir-Rapporteur Speċjali tan-Nazzjonijiet Uniti (NU) dwar id-dritt għall-ikel sab li, partikolarment fil-pajjiżi li qed jiżviluppaw, il-pestiċidi perikolużi għandhom impatti katastrofiċi fuq is-saħħa</w:t>
      </w:r>
      <w:r w:rsidRPr="003757F0">
        <w:rPr>
          <w:rStyle w:val="FootnoteReference"/>
        </w:rPr>
        <w:footnoteReference w:id="11"/>
      </w:r>
      <w:r w:rsidRPr="003757F0">
        <w:t>; billi l-Mira 3.9 tal-Għan ta’ Żvilupp Sostenibbli tan-NU (SDG tan-NU) għandha l-għan li sal-2030 tnaqqas b’mod sostanzjali l-għadd ta’ mwiet u mard minn sustanzi kimiċi perikolużi u t-tniġġis u l-kontaminazzjoni tal-arja, tal-ilma u tal-ħamrija</w:t>
      </w:r>
      <w:r w:rsidRPr="003757F0">
        <w:rPr>
          <w:rStyle w:val="FootnoteReference"/>
        </w:rPr>
        <w:footnoteReference w:id="12"/>
      </w:r>
      <w:r w:rsidRPr="003757F0">
        <w:t>;</w:t>
      </w:r>
    </w:p>
    <w:p w14:paraId="4112F042" w14:textId="77777777" w:rsidR="006C5BDF" w:rsidRPr="003757F0" w:rsidRDefault="006C5BDF" w:rsidP="006C5BDF">
      <w:pPr>
        <w:pStyle w:val="NormalHanging12a"/>
      </w:pPr>
      <w:r w:rsidRPr="003757F0">
        <w:t>M.</w:t>
      </w:r>
      <w:r w:rsidRPr="003757F0">
        <w:tab/>
        <w:t>billi l-Qafas Globali tal-Bijodiversità ta’ Kunming-Montreal (“Qafas ta’ Kunming-Montreal”), miftiehem fil-COP15 tal-Konvenzjoni tan-NU dwar id-Diversità Bijoloġika (KDB tan-NU) f’Diċembru 2022, jinkludi mira globali biex sal-2030 ir-riskju tal-pestiċidi jitnaqqas b’mill-inqas 50 %</w:t>
      </w:r>
      <w:r w:rsidRPr="003757F0">
        <w:rPr>
          <w:rStyle w:val="FootnoteReference"/>
        </w:rPr>
        <w:footnoteReference w:id="13"/>
      </w:r>
      <w:r w:rsidRPr="003757F0">
        <w:t>;</w:t>
      </w:r>
    </w:p>
    <w:p w14:paraId="0E97FADB" w14:textId="77777777" w:rsidR="006C5BDF" w:rsidRPr="003757F0" w:rsidRDefault="006C5BDF" w:rsidP="006C5BDF">
      <w:pPr>
        <w:pStyle w:val="NormalHanging12a"/>
      </w:pPr>
      <w:r w:rsidRPr="003757F0">
        <w:t>N.</w:t>
      </w:r>
      <w:r w:rsidRPr="003757F0">
        <w:tab/>
        <w:t>billi r-Regolament (KE) Nru 1829/2003 jiddikjara li l-ikel jew l-għalf ĠM ma jridx ikollu effetti negattivi fuq is-saħħa tal-bniedem, is-saħħa tal-annimali jew l-ambjent, u jirrikjedi li l-Kummissjoni tqis kwalunkwe dispożizzjoni rilevanti fid-dritt tal-Unjoni u fatturi leġittimi oħra rilevanti għall-kwistjoni taħt kunsiderazzjoni meta tkun qed tabbozza d-deċiżjoni tagħha; billi tali fatturi leġittimi għandhom jinkludu l-obbligi tal-Unjoni skont l-SDGs tan-NU u l-KDB tan-NU;</w:t>
      </w:r>
    </w:p>
    <w:p w14:paraId="777F6618" w14:textId="77777777" w:rsidR="006C5BDF" w:rsidRPr="003757F0" w:rsidRDefault="006C5BDF" w:rsidP="006C5BDF">
      <w:pPr>
        <w:pStyle w:val="NormalHanging12a"/>
        <w:rPr>
          <w:b/>
          <w:i/>
        </w:rPr>
      </w:pPr>
      <w:r w:rsidRPr="003757F0">
        <w:rPr>
          <w:b/>
          <w:i/>
        </w:rPr>
        <w:t>Tnaqqis tad-dipendenza fuq l-għalf importat</w:t>
      </w:r>
    </w:p>
    <w:p w14:paraId="6D7C8BF2" w14:textId="77777777" w:rsidR="006C5BDF" w:rsidRPr="003757F0" w:rsidRDefault="006C5BDF" w:rsidP="006C5BDF">
      <w:pPr>
        <w:pStyle w:val="NormalHanging12a"/>
      </w:pPr>
      <w:r w:rsidRPr="003757F0">
        <w:t>O.</w:t>
      </w:r>
      <w:r w:rsidRPr="003757F0">
        <w:tab/>
        <w:t>billi waħda mit-tagħlimiet mill-kriżi tal-COVID-19 u l-gwerra li tinsab għaddejja fl-Ukrajna hija l-ħtieġa li l-Unjoni ttemm id-dipendenzi fuq xi materjali kritiċi; billi fl-ittra ta’ missjoni lill-Kummissarju nnominat Christophe Hansen, il-President tal-Kummissjoni Ursula von der Leyen titolbu jħares lejn modi kif jitnaqqsu l-importazzjonijiet ta’ komoditajiet kritiċi</w:t>
      </w:r>
      <w:r w:rsidRPr="003757F0">
        <w:rPr>
          <w:rStyle w:val="FootnoteReference"/>
        </w:rPr>
        <w:footnoteReference w:id="14"/>
      </w:r>
      <w:r w:rsidRPr="003757F0">
        <w:t xml:space="preserve">; </w:t>
      </w:r>
    </w:p>
    <w:p w14:paraId="5E11AC09" w14:textId="77777777" w:rsidR="006C5BDF" w:rsidRPr="003757F0" w:rsidRDefault="006C5BDF" w:rsidP="006C5BDF">
      <w:pPr>
        <w:pStyle w:val="NormalHanging12a"/>
        <w:rPr>
          <w:b/>
          <w:i/>
        </w:rPr>
      </w:pPr>
      <w:r w:rsidRPr="003757F0">
        <w:rPr>
          <w:b/>
          <w:i/>
        </w:rPr>
        <w:t>Proċess deċiżjonali mhux demokratiku</w:t>
      </w:r>
    </w:p>
    <w:p w14:paraId="6701CF7A" w14:textId="77777777" w:rsidR="006C5BDF" w:rsidRPr="003757F0" w:rsidRDefault="006C5BDF" w:rsidP="006C5BDF">
      <w:pPr>
        <w:pStyle w:val="NormalHanging12a"/>
      </w:pPr>
      <w:r w:rsidRPr="003757F0">
        <w:t>P.</w:t>
      </w:r>
      <w:r w:rsidRPr="003757F0">
        <w:tab/>
        <w:t xml:space="preserve">billi, fit-tmien leġiżlatura tiegħu, il-Parlament adotta total ta’ 36 riżoluzzjoni li </w:t>
      </w:r>
      <w:r w:rsidRPr="003757F0">
        <w:lastRenderedPageBreak/>
        <w:t>joġġezzjonaw għall-introduzzjoni fis-suq ta’ OĠM għall-ikel u l-għalf (33 riżoluzzjoni) u għall-kultivazzjoni ta’ OĠM fl-Unjoni (tliet riżoluzzjonijiet); billi, fid-disa’ leġiżlatura tiegħu, il-Parlament adotta 38 oġġezzjoni għall-introduzzjoni fis-suq ta’ OĠM;</w:t>
      </w:r>
    </w:p>
    <w:p w14:paraId="4B815EF9" w14:textId="77777777" w:rsidR="006C5BDF" w:rsidRPr="003757F0" w:rsidRDefault="006C5BDF" w:rsidP="006C5BDF">
      <w:pPr>
        <w:pStyle w:val="NormalHanging12a"/>
      </w:pPr>
      <w:r w:rsidRPr="003757F0">
        <w:t>Q.</w:t>
      </w:r>
      <w:r w:rsidRPr="003757F0"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3D2566A0" w14:textId="77777777" w:rsidR="006C5BDF" w:rsidRPr="003757F0" w:rsidRDefault="006C5BDF" w:rsidP="006C5BDF">
      <w:pPr>
        <w:pStyle w:val="NormalHanging12a"/>
      </w:pPr>
      <w:r w:rsidRPr="003757F0">
        <w:t>R.</w:t>
      </w:r>
      <w:r w:rsidRPr="003757F0">
        <w:tab/>
        <w:t>billi ma hija meħtieġa ebda bidla fil-liġi biex il-Kummissjoni ma tkunx tista’ tawtorizza l-OĠM meta ma jkunx hemm maġġoranza kwalifikata ta’ Stati Membri favur fil-Kumitat ta’ Appell</w:t>
      </w:r>
      <w:r w:rsidRPr="003757F0">
        <w:rPr>
          <w:rStyle w:val="FootnoteReference"/>
        </w:rPr>
        <w:footnoteReference w:id="15"/>
      </w:r>
      <w:r w:rsidRPr="003757F0">
        <w:t>;</w:t>
      </w:r>
    </w:p>
    <w:p w14:paraId="5EDEDEBE" w14:textId="77777777" w:rsidR="006C5BDF" w:rsidRPr="003757F0" w:rsidRDefault="006C5BDF" w:rsidP="006C5BDF">
      <w:pPr>
        <w:pStyle w:val="NormalHanging12a"/>
      </w:pPr>
      <w:r w:rsidRPr="003757F0">
        <w:t>S.</w:t>
      </w:r>
      <w:r w:rsidRPr="003757F0">
        <w:tab/>
      </w:r>
      <w:r w:rsidRPr="003757F0">
        <w:rPr>
          <w:shd w:val="clear" w:color="auto" w:fill="FFFFFF"/>
        </w:rPr>
        <w:t>billi l-votazzjoni fit-8 ta’ Lulju 2024 tal-Kumitat Permanenti dwar il-Pjanti, l-Annimali, l-Ikel u l-Għalf imsemmi fl-Artikolu 35 tar-Regolament (KE) Nru 1829/2003 ma tat l-ebda opinjoni, li jfisser li l-awtorizzazzjoni ma kinitx appoġġjata minn maġġoranza kwalifikata tal-Istati Membri; billi anki l-votazzjoni tat-3 ta’ Settembru 2024 tal-Kumitat ta’ Appell ma tat ebda opinjoni;</w:t>
      </w:r>
    </w:p>
    <w:p w14:paraId="2713F7F7" w14:textId="77777777" w:rsidR="006C5BDF" w:rsidRPr="003757F0" w:rsidRDefault="006C5BDF" w:rsidP="006C5BDF">
      <w:pPr>
        <w:pStyle w:val="NormalHanging12a"/>
      </w:pPr>
      <w:r w:rsidRPr="003757F0">
        <w:t>1.</w:t>
      </w:r>
      <w:r w:rsidRPr="003757F0">
        <w:tab/>
        <w:t xml:space="preserve">Iqis li </w:t>
      </w:r>
      <w:r w:rsidR="002C3A21" w:rsidRPr="002C3A21">
        <w:t>d-Deċiżjoni ta’ Implimentazzjoni tal-Kummissjoni (UE) 2024/2618</w:t>
      </w:r>
      <w:r w:rsidRPr="003757F0">
        <w:t xml:space="preserve"> </w:t>
      </w:r>
      <w:r w:rsidR="002C3A21">
        <w:t>t</w:t>
      </w:r>
      <w:r w:rsidRPr="003757F0">
        <w:t>isboq is-setgħat ta’ implimentazzjoni previsti fir-Regolament (KE) Nru 1829/2003;</w:t>
      </w:r>
    </w:p>
    <w:p w14:paraId="441C8982" w14:textId="77777777" w:rsidR="006C5BDF" w:rsidRDefault="006C5BDF" w:rsidP="006C5BDF">
      <w:pPr>
        <w:pStyle w:val="NormalHanging12a"/>
      </w:pPr>
      <w:r w:rsidRPr="003757F0">
        <w:t>2.</w:t>
      </w:r>
      <w:r w:rsidRPr="003757F0">
        <w:tab/>
        <w:t xml:space="preserve">Iqis li </w:t>
      </w:r>
      <w:r w:rsidR="002C3A21" w:rsidRPr="002C3A21">
        <w:t>d-Deċiżjoni ta’ Implimentazzjoni tal-Kummissjoni (UE) 2024/2618</w:t>
      </w:r>
      <w:r w:rsidR="002C3A21">
        <w:t xml:space="preserve"> mhu</w:t>
      </w:r>
      <w:r w:rsidRPr="003757F0">
        <w:t xml:space="preserve">x konsistenti </w:t>
      </w:r>
      <w:r w:rsidR="002C3A21">
        <w:t>mad-dritt tal-Unjoni, billi mhu</w:t>
      </w:r>
      <w:r w:rsidRPr="003757F0">
        <w:t>x kompatibbli mal-għan tar-Regolament (KE) Nru 1829/2003 li, f’konformità mal-prinċipji ġenerali stabbiliti fir-Regolament (KE) Nru 178/2002 tal-Parlament Ewropew u tal-Kunsill</w:t>
      </w:r>
      <w:r w:rsidRPr="003757F0">
        <w:rPr>
          <w:rStyle w:val="FootnoteReference"/>
        </w:rPr>
        <w:footnoteReference w:id="16"/>
      </w:r>
      <w:r w:rsidRPr="003757F0">
        <w:t>, huwa li jipprovdi l-bażi biex, fir-rigward tal-ikel u l-għalf ĠM, jiżgura livell għoli ta’ protezzjoni għall-ħajja u s-saħħa tal-bniedem, is-saħħa u l-benesseri tal-annimali, u l-interessi tal-ambjent u tal-konsumaturi, filwaqt li jiżgura l-funzjonament effettiv tas-suq intern;</w:t>
      </w:r>
    </w:p>
    <w:p w14:paraId="15D424B5" w14:textId="25149C90" w:rsidR="009A517C" w:rsidRPr="009A517C" w:rsidRDefault="00950A7D" w:rsidP="006C5BDF">
      <w:pPr>
        <w:pStyle w:val="NormalHanging12a"/>
      </w:pPr>
      <w:r>
        <w:t>3</w:t>
      </w:r>
      <w:r w:rsidR="009A517C" w:rsidRPr="000E4D15">
        <w:t>.</w:t>
      </w:r>
      <w:r w:rsidR="009A517C" w:rsidRPr="000E4D15">
        <w:tab/>
      </w:r>
      <w:r w:rsidR="009A517C" w:rsidRPr="009A517C">
        <w:t>Jistieden lill-Kummissjoni tiżgura l-ko</w:t>
      </w:r>
      <w:r w:rsidR="009A517C">
        <w:t>nverġenza tal-istandards bejn l-</w:t>
      </w:r>
      <w:r w:rsidR="009A517C" w:rsidRPr="009A517C">
        <w:t>Unjoni u s-sħab tagħha fin-negozjati dwar il-ftehim ta’ kummerċ ħieles, sabiex jintlaħqu</w:t>
      </w:r>
      <w:r w:rsidR="009A517C">
        <w:t xml:space="preserve"> l-istandards ta’ sikurezza tal-</w:t>
      </w:r>
      <w:r w:rsidR="009A517C" w:rsidRPr="009A517C">
        <w:t>Unjoni</w:t>
      </w:r>
      <w:r w:rsidR="009A517C" w:rsidRPr="000E4D15">
        <w:t>;</w:t>
      </w:r>
    </w:p>
    <w:p w14:paraId="0690FD7D" w14:textId="22C71163" w:rsidR="006C5BDF" w:rsidRPr="003757F0" w:rsidRDefault="00950A7D" w:rsidP="006C5BDF">
      <w:pPr>
        <w:pStyle w:val="NormalHanging12a"/>
      </w:pPr>
      <w:r>
        <w:t>4</w:t>
      </w:r>
      <w:r w:rsidR="006C5BDF" w:rsidRPr="003757F0">
        <w:t>.</w:t>
      </w:r>
      <w:r w:rsidR="006C5BDF" w:rsidRPr="003757F0">
        <w:tab/>
        <w:t>Jitlob lill-Kummissjoni t</w:t>
      </w:r>
      <w:r w:rsidR="002C3A21">
        <w:t>ħassar</w:t>
      </w:r>
      <w:r w:rsidR="006C5BDF" w:rsidRPr="003757F0">
        <w:t xml:space="preserve"> </w:t>
      </w:r>
      <w:r w:rsidR="002C3A21">
        <w:t>id-Deċiżjoni ta’ I</w:t>
      </w:r>
      <w:r w:rsidR="006C5BDF" w:rsidRPr="003757F0">
        <w:t xml:space="preserve">mplimentazzjoni </w:t>
      </w:r>
      <w:r w:rsidR="002C3A21" w:rsidRPr="002C3A21">
        <w:t>(UE) 2024/2618</w:t>
      </w:r>
      <w:r w:rsidR="002C3A21">
        <w:t xml:space="preserve"> </w:t>
      </w:r>
      <w:r w:rsidR="006C5BDF" w:rsidRPr="003757F0">
        <w:t>tagħha u tippreżenta abbozz ġdid lill-Kumitat;</w:t>
      </w:r>
    </w:p>
    <w:p w14:paraId="03594DB3" w14:textId="49F2CAF8" w:rsidR="006C5BDF" w:rsidRPr="003757F0" w:rsidRDefault="00950A7D" w:rsidP="006C5BDF">
      <w:pPr>
        <w:pStyle w:val="NormalHanging12a"/>
      </w:pPr>
      <w:r>
        <w:t>5</w:t>
      </w:r>
      <w:r w:rsidR="006C5BDF" w:rsidRPr="003757F0">
        <w:t>.</w:t>
      </w:r>
      <w:r w:rsidR="006C5BDF" w:rsidRPr="003757F0">
        <w:tab/>
        <w:t>Jistieden lill-Kummissjoni ma tawtorizzax għelejjel ĠM tolleranti għall-erbiċidi, minħabba ż-żieda assoċjata fl-użu ta’ erbiċidi komplementari u għalhekk iż-żieda fir-riskji għall-bijodiversità, is-sikurezza tal-ikel u s-saħħa tal-ħaddiema f’konformità mal-approċċ “saħħa waħda”;</w:t>
      </w:r>
    </w:p>
    <w:p w14:paraId="140682BA" w14:textId="02617B4B" w:rsidR="006C5BDF" w:rsidRPr="003757F0" w:rsidRDefault="00950A7D" w:rsidP="006C5BDF">
      <w:pPr>
        <w:pStyle w:val="NormalHanging12a"/>
      </w:pPr>
      <w:r>
        <w:t>6</w:t>
      </w:r>
      <w:r w:rsidR="006C5BDF" w:rsidRPr="003757F0">
        <w:t>.</w:t>
      </w:r>
      <w:r w:rsidR="006C5BDF" w:rsidRPr="003757F0">
        <w:tab/>
        <w:t xml:space="preserve">Jenfasizza, f’dan ir-rigward, li l-awtorizzazzjoni tal-importazzjoni għall-użi tal-ikel jew </w:t>
      </w:r>
      <w:r w:rsidR="006C5BDF" w:rsidRPr="003757F0">
        <w:lastRenderedPageBreak/>
        <w:t>tal-għalf ta’ kwalunkwe pjanta ĠM li tkun saret tolleranti għall-erbiċidi li huma pprojbiti fl-Unjoni, bħall-glufosinat, hija inkoerenti mal-impenji internazzjonali tal-Unjoni skont, fost l-oħrajn, l-SDGs tan-NU u l-KDB tan-NU, inkluż il-Qafas ta’ Kunming-Montreal adottat reċentement</w:t>
      </w:r>
      <w:r w:rsidR="006C5BDF" w:rsidRPr="003757F0">
        <w:rPr>
          <w:rStyle w:val="FootnoteReference"/>
        </w:rPr>
        <w:footnoteReference w:id="17"/>
      </w:r>
      <w:r w:rsidR="006C5BDF" w:rsidRPr="003757F0">
        <w:t>;</w:t>
      </w:r>
    </w:p>
    <w:p w14:paraId="58D1E3F9" w14:textId="70C38EA3" w:rsidR="006C5BDF" w:rsidRPr="003757F0" w:rsidRDefault="00950A7D" w:rsidP="006C5BDF">
      <w:pPr>
        <w:pStyle w:val="NormalHanging12a"/>
      </w:pPr>
      <w:r>
        <w:t>7</w:t>
      </w:r>
      <w:r w:rsidR="006C5BDF" w:rsidRPr="003757F0">
        <w:t>.</w:t>
      </w:r>
      <w:r w:rsidR="006C5BDF" w:rsidRPr="003757F0">
        <w:tab/>
        <w:t>Jistenna li l-Kummissjoni, bħala kwistjoni ta’ urġenza, twettaq l-impenn tagħha</w:t>
      </w:r>
      <w:r w:rsidR="006C5BDF" w:rsidRPr="003757F0">
        <w:rPr>
          <w:rStyle w:val="FootnoteReference"/>
        </w:rPr>
        <w:footnoteReference w:id="18"/>
      </w:r>
      <w:r w:rsidR="006C5BDF" w:rsidRPr="003757F0">
        <w:t xml:space="preserve"> li tressaq proposta biex tiżgura li s-sustanzi kimiċi perikolużi pprojbiti fl-Unjoni ma jiġux prodotti għall-esportazzjoni;</w:t>
      </w:r>
    </w:p>
    <w:p w14:paraId="0723AF76" w14:textId="1943EB5F" w:rsidR="006C5BDF" w:rsidRPr="003757F0" w:rsidRDefault="00950A7D" w:rsidP="006C5BDF">
      <w:pPr>
        <w:pStyle w:val="NormalHanging12a"/>
      </w:pPr>
      <w:r>
        <w:t>8</w:t>
      </w:r>
      <w:r w:rsidR="006C5BDF" w:rsidRPr="003757F0">
        <w:t>.</w:t>
      </w:r>
      <w:r w:rsidR="006C5BDF" w:rsidRPr="003757F0">
        <w:tab/>
        <w:t>Jilqa’ l-fatt li l-Kummissjoni fl-aħħar irrikonoxxiet, f’ittra tal-11 ta’ Settembru 2020 lill-Membri, il-ħtieġa li titqies is-sostenibbiltà fir-rigward ta’ deċiżjonijiet ta’ awtorizzazzjoni dwar OĠM</w:t>
      </w:r>
      <w:r w:rsidR="006C5BDF" w:rsidRPr="003757F0">
        <w:rPr>
          <w:rStyle w:val="FootnoteReference"/>
        </w:rPr>
        <w:footnoteReference w:id="19"/>
      </w:r>
      <w:r w:rsidR="006C5BDF" w:rsidRPr="003757F0">
        <w:t>; jesprimi d-diżappunt kbir tiegħu, madankollu, li, minn dak iż-żmien ’l hawn il-Kummissjoni kompliet tawtorizza OĠM għall-importazzjoni fl-Unjoni, minkejja l-oġġezzjonijiet kontinwi mill-Parlament u nuqqas ta’ maġġoranza kwalifikata tal-Istati Membri favur;</w:t>
      </w:r>
    </w:p>
    <w:p w14:paraId="7F0EF9D6" w14:textId="5DA95222" w:rsidR="006C5BDF" w:rsidRPr="003757F0" w:rsidRDefault="00950A7D" w:rsidP="006C5BDF">
      <w:pPr>
        <w:pStyle w:val="NormalHanging12a"/>
      </w:pPr>
      <w:r>
        <w:t>9</w:t>
      </w:r>
      <w:r w:rsidR="006C5BDF" w:rsidRPr="003757F0">
        <w:t>.</w:t>
      </w:r>
      <w:r w:rsidR="006C5BDF" w:rsidRPr="003757F0">
        <w:tab/>
        <w:t>Iħeġġeġ lill-Kummissjoni, għal darba oħra, tqis l-obbligi tal-Unjoni fl-ambitu tal-ftehimiet internazzjonali, bħall-Ftehim ta’ Pariġi dwar il-Klima, il-KDB tan-NU u l-SDGs tan-NU; itenni l-appell tiegħu li l-abbozzi ta’ atti ta’ implimentazzjoni jkunu akkumpanjati minn memorandum ta’ spjegazzjoni li jispjega kif dawn jirrispettaw il-prinċipju ta’ “la tagħmilx ħsara”</w:t>
      </w:r>
      <w:r w:rsidR="006C5BDF" w:rsidRPr="003757F0">
        <w:rPr>
          <w:rStyle w:val="FootnoteReference"/>
        </w:rPr>
        <w:footnoteReference w:id="20"/>
      </w:r>
      <w:r w:rsidR="006C5BDF" w:rsidRPr="003757F0">
        <w:t xml:space="preserve">; </w:t>
      </w:r>
    </w:p>
    <w:p w14:paraId="7C937AE1" w14:textId="43C0CC27" w:rsidR="00E365E1" w:rsidRPr="003757F0" w:rsidRDefault="00950A7D" w:rsidP="00542F30">
      <w:pPr>
        <w:ind w:left="567" w:hanging="567"/>
      </w:pPr>
      <w:r>
        <w:t>10</w:t>
      </w:r>
      <w:r w:rsidR="006C5BDF" w:rsidRPr="003757F0">
        <w:t>.</w:t>
      </w:r>
      <w:r w:rsidR="006C5BDF" w:rsidRPr="003757F0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3757F0" w:rsidSect="003757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0FC30" w14:textId="77777777" w:rsidR="00862844" w:rsidRPr="003757F0" w:rsidRDefault="00862844">
      <w:r w:rsidRPr="003757F0">
        <w:separator/>
      </w:r>
    </w:p>
  </w:endnote>
  <w:endnote w:type="continuationSeparator" w:id="0">
    <w:p w14:paraId="0541B439" w14:textId="77777777" w:rsidR="00862844" w:rsidRPr="003757F0" w:rsidRDefault="00862844">
      <w:r w:rsidRPr="003757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072A2" w14:textId="77777777" w:rsidR="00064002" w:rsidRPr="003757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507D3" w14:textId="77777777" w:rsidR="00064002" w:rsidRPr="003757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64AF5" w14:textId="77777777" w:rsidR="00064002" w:rsidRPr="003757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2FB51" w14:textId="77777777" w:rsidR="00862844" w:rsidRPr="003757F0" w:rsidRDefault="00862844">
      <w:r w:rsidRPr="003757F0">
        <w:separator/>
      </w:r>
    </w:p>
  </w:footnote>
  <w:footnote w:type="continuationSeparator" w:id="0">
    <w:p w14:paraId="54D01217" w14:textId="77777777" w:rsidR="00862844" w:rsidRPr="003757F0" w:rsidRDefault="00862844">
      <w:r w:rsidRPr="003757F0">
        <w:continuationSeparator/>
      </w:r>
    </w:p>
  </w:footnote>
  <w:footnote w:id="1">
    <w:p w14:paraId="20AE0A29" w14:textId="77777777" w:rsidR="002C3A21" w:rsidRPr="006A64F0" w:rsidRDefault="002C3A21" w:rsidP="002C3A21">
      <w:pPr>
        <w:pStyle w:val="FootnoteText"/>
        <w:ind w:left="567" w:hanging="567"/>
        <w:rPr>
          <w:sz w:val="24"/>
          <w:szCs w:val="24"/>
          <w:lang w:val="fi-FI"/>
        </w:rPr>
      </w:pPr>
      <w:r w:rsidRPr="002C3A21">
        <w:rPr>
          <w:rStyle w:val="FootnoteReference"/>
        </w:rPr>
        <w:footnoteRef/>
      </w:r>
      <w:r w:rsidRPr="002C3A21">
        <w:rPr>
          <w:lang w:val="fi-FI"/>
        </w:rPr>
        <w:t xml:space="preserve"> </w:t>
      </w:r>
      <w:r w:rsidRPr="002C3A21">
        <w:rPr>
          <w:sz w:val="24"/>
          <w:szCs w:val="24"/>
          <w:lang w:val="fi-FI"/>
        </w:rPr>
        <w:tab/>
      </w:r>
      <w:r w:rsidRPr="002C3A21">
        <w:rPr>
          <w:sz w:val="24"/>
          <w:lang w:val="mt-MT"/>
        </w:rPr>
        <w:t>ĠU</w:t>
      </w:r>
      <w:r w:rsidRPr="002C3A21">
        <w:rPr>
          <w:sz w:val="24"/>
          <w:szCs w:val="24"/>
          <w:lang w:val="fi-FI"/>
        </w:rPr>
        <w:t xml:space="preserve"> L, 2024/2618, 10.10.2024, ELI: http://data.europa.eu/eli/dec_impl/2024/2618/oj.</w:t>
      </w:r>
    </w:p>
  </w:footnote>
  <w:footnote w:id="2">
    <w:p w14:paraId="4FC8805D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ĠU L 268, 18.10.2003, p. 1, ELI: </w:t>
      </w:r>
      <w:hyperlink r:id="rId1" w:tooltip="Aċċess għad-dokument permezz tal-URI tal-ELI." w:history="1">
        <w:r w:rsidRPr="003757F0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http://data.europa.eu/eli/reg/2003/1829/oj?locale=mt</w:t>
        </w:r>
      </w:hyperlink>
    </w:p>
  </w:footnote>
  <w:footnote w:id="3">
    <w:p w14:paraId="59F155D6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ĠU L 55, 28.2.2011, p. 13. ELI: </w:t>
      </w:r>
      <w:hyperlink r:id="rId2" w:tooltip="Aċċess għad-dokument permezz tal-URI tal-ELI." w:history="1">
        <w:r w:rsidRPr="003757F0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http://data.europa.eu/eli/reg/2011/182/oj?locale=mt</w:t>
        </w:r>
      </w:hyperlink>
    </w:p>
  </w:footnote>
  <w:footnote w:id="4">
    <w:p w14:paraId="1A76DBB8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Opinjoni xjentifika tal-Bord tal-EFSA dwar organiżmi ġenetikament modifikati bit-titolu “Assessment of genetically modified maize DP202216 for food and feed uses, under Regulation (EC) No 1829/2003 (application EFSA-GMO-NL-2019-159)”, EFSA Journal 2024;22(3):8655, </w:t>
      </w:r>
      <w:hyperlink r:id="rId3" w:history="1">
        <w:r w:rsidRPr="003757F0">
          <w:rPr>
            <w:rStyle w:val="Hyperlink"/>
            <w:sz w:val="24"/>
            <w:lang w:val="mt-MT"/>
          </w:rPr>
          <w:t>https://doi.org/10.2903/j.efsa.2024.8655</w:t>
        </w:r>
      </w:hyperlink>
      <w:r w:rsidRPr="003757F0">
        <w:rPr>
          <w:sz w:val="24"/>
          <w:lang w:val="mt-MT"/>
        </w:rPr>
        <w:t>.</w:t>
      </w:r>
    </w:p>
  </w:footnote>
  <w:footnote w:id="5">
    <w:p w14:paraId="5CD7E7AD" w14:textId="77777777" w:rsidR="006C5BDF" w:rsidRPr="003757F0" w:rsidRDefault="006C5BDF" w:rsidP="003757F0">
      <w:pPr>
        <w:pStyle w:val="FootnoteText"/>
        <w:ind w:left="567" w:hanging="567"/>
        <w:rPr>
          <w:sz w:val="24"/>
          <w:szCs w:val="22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color w:val="000000" w:themeColor="text1"/>
          <w:sz w:val="24"/>
          <w:lang w:val="mt-MT"/>
        </w:rPr>
        <w:t xml:space="preserve"> </w:t>
      </w:r>
      <w:r w:rsidR="003757F0" w:rsidRPr="003757F0">
        <w:rPr>
          <w:color w:val="000000" w:themeColor="text1"/>
          <w:sz w:val="24"/>
          <w:lang w:val="mt-MT"/>
        </w:rPr>
        <w:tab/>
      </w:r>
      <w:r w:rsidRPr="003757F0">
        <w:rPr>
          <w:color w:val="000000" w:themeColor="text1"/>
          <w:sz w:val="24"/>
          <w:lang w:val="mt-MT"/>
        </w:rPr>
        <w:t xml:space="preserve">Fit-tmien leġiżlatura tiegħu, il-Parlament adotta 36 riżoluzzjoni u, fid-disa’ leġiżlatura tiegħu, il-Parlament adotta 38 riżoluzzjoni li joġġezzjonaw għall-awtorizzazzjoni tal-OĠM. </w:t>
      </w:r>
    </w:p>
  </w:footnote>
  <w:footnote w:id="6">
    <w:p w14:paraId="61DFBCC6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Ir-Regolament ta’ Implimentazzjoni tal-Kummissjoni (UE) Nru 503/2013 tat- 3 ta’ April 2013 dwar applikazzjonijiet għal awtorizzazzjoni ta’ ikel u għalf ġenetikament modifikat skont ir-Regolament (KE) Nru 1829/2003 tal-Parlament Ewropew u tal-Kunsill u li jemendaw ir-Regolamenti (KE) Nru 641/2004 u (KE) Nru 1981/2006 (ĠU L 157, 8.6.2013, p. 1, ELI: </w:t>
      </w:r>
      <w:hyperlink r:id="rId4" w:tooltip="Aċċess għad-dokument permezz tal-URI tal-ELI." w:history="1">
        <w:r w:rsidRPr="003757F0">
          <w:rPr>
            <w:rStyle w:val="Hyperlink"/>
            <w:sz w:val="24"/>
            <w:lang w:val="mt-MT"/>
          </w:rPr>
          <w:t>http://data.europa.eu/eli/reg_impl/2013/503/oj</w:t>
        </w:r>
      </w:hyperlink>
      <w:r w:rsidRPr="003757F0">
        <w:rPr>
          <w:sz w:val="24"/>
          <w:lang w:val="mt-MT"/>
        </w:rPr>
        <w:t>).</w:t>
      </w:r>
    </w:p>
  </w:footnote>
  <w:footnote w:id="7">
    <w:p w14:paraId="5F59EB78" w14:textId="77777777" w:rsidR="006C5BDF" w:rsidRPr="003757F0" w:rsidRDefault="006C5BDF" w:rsidP="003757F0">
      <w:pPr>
        <w:pStyle w:val="FootnoteText"/>
        <w:ind w:left="567" w:hanging="567"/>
        <w:rPr>
          <w:sz w:val="24"/>
          <w:szCs w:val="22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Ara, pereżempju, Schulz, R., Bub, S., Petschick, L. L., Stehle, S., Wolfram, J. (2021) “Applied pesticide toxicity shifts toward plants and invertebrates, even in GM crops”, Science 372(6537), pp. 81-84, </w:t>
      </w:r>
      <w:hyperlink r:id="rId5" w:history="1">
        <w:r w:rsidRPr="003757F0">
          <w:rPr>
            <w:rStyle w:val="Hyperlink"/>
            <w:sz w:val="24"/>
            <w:lang w:val="mt-MT"/>
          </w:rPr>
          <w:t>https://doi.org/10.1126/science.abe1148</w:t>
        </w:r>
      </w:hyperlink>
      <w:r w:rsidRPr="003757F0">
        <w:rPr>
          <w:rStyle w:val="Hyperlink"/>
          <w:sz w:val="24"/>
          <w:lang w:val="mt-MT"/>
        </w:rPr>
        <w:t>;</w:t>
      </w:r>
      <w:r w:rsidRPr="003757F0">
        <w:rPr>
          <w:sz w:val="24"/>
          <w:lang w:val="mt-MT"/>
        </w:rPr>
        <w:t xml:space="preserve"> Bonny, S., “Genetically Modified Herbicide-Tolerant Crops, Weeds, and Herbicides: Overview and Impact”, Environmental Management, Jannar 2016; 57(1), pp. 31-48, </w:t>
      </w:r>
      <w:hyperlink r:id="rId6" w:history="1">
        <w:r w:rsidRPr="003757F0">
          <w:rPr>
            <w:rStyle w:val="Hyperlink"/>
            <w:sz w:val="24"/>
            <w:lang w:val="mt-MT"/>
          </w:rPr>
          <w:t>https://www.ncbi.nlm.nih.gov/pubmed/26296738</w:t>
        </w:r>
      </w:hyperlink>
      <w:r w:rsidRPr="003757F0">
        <w:rPr>
          <w:sz w:val="24"/>
          <w:lang w:val="mt-MT"/>
        </w:rPr>
        <w:t xml:space="preserve">; u Benbrook, C. M., “Impacts of genetically engineered crops on pesticide use in the U.S. - the first sixteen years”, Environmental Sciences Europe, 28 ta’ Settembru 2012, Vol. 24(1), </w:t>
      </w:r>
      <w:hyperlink r:id="rId7" w:history="1">
        <w:r w:rsidRPr="003757F0">
          <w:rPr>
            <w:rStyle w:val="Hyperlink"/>
            <w:sz w:val="24"/>
            <w:lang w:val="mt-MT"/>
          </w:rPr>
          <w:t>https://enveurope.springeropen.com/articles/10.1186/2190-4715-24-24</w:t>
        </w:r>
      </w:hyperlink>
      <w:r w:rsidRPr="003757F0">
        <w:rPr>
          <w:sz w:val="24"/>
          <w:lang w:val="mt-MT"/>
        </w:rPr>
        <w:t>.</w:t>
      </w:r>
    </w:p>
  </w:footnote>
  <w:footnote w:id="8">
    <w:p w14:paraId="17AB37E2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Ir-Regolament (KE) Nru 1107/2009 tal-Parlament Ewropew u tal-Kunsill tal-21 ta’ Ottubru 2009 dwar it-tqegħid fis-suq ta’ prodotti għall-protezzjoni tal-pjanti u li jħassar id-Direttivi tal-Kunsill 79/117/KEE u 91/414/KEE (ĠU L 309, 24.11.2009, p. 1, ELI: </w:t>
      </w:r>
      <w:hyperlink r:id="rId8" w:tooltip="Aċċess għad-dokument permezz tal-URI tal-ELI." w:history="1">
        <w:r w:rsidRPr="003757F0">
          <w:rPr>
            <w:rStyle w:val="Hyperlink"/>
            <w:sz w:val="24"/>
            <w:lang w:val="mt-MT"/>
          </w:rPr>
          <w:t>http://data.europa.eu/eli/reg/2009/1107/oj?locale=mt</w:t>
        </w:r>
      </w:hyperlink>
      <w:r w:rsidRPr="003757F0">
        <w:rPr>
          <w:sz w:val="24"/>
          <w:lang w:val="mt-MT"/>
        </w:rPr>
        <w:t>).</w:t>
      </w:r>
    </w:p>
  </w:footnote>
  <w:footnote w:id="9">
    <w:p w14:paraId="1E8B920D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hyperlink r:id="rId9" w:history="1">
        <w:r w:rsidRPr="003757F0">
          <w:rPr>
            <w:rStyle w:val="Hyperlink"/>
            <w:sz w:val="24"/>
            <w:lang w:val="mt-MT"/>
          </w:rPr>
          <w:t>https://efsa.onlinelibrary.wiley.com/action/downloadSupplement?doi=10.2903%‌2Fj.efsa.2024.8655&amp;file=efs28655-sup-0008-Annex8.pdf</w:t>
        </w:r>
      </w:hyperlink>
      <w:r w:rsidRPr="003757F0">
        <w:rPr>
          <w:rStyle w:val="Hyperlink"/>
          <w:sz w:val="24"/>
          <w:lang w:val="mt-MT"/>
        </w:rPr>
        <w:t>.</w:t>
      </w:r>
    </w:p>
  </w:footnote>
  <w:footnote w:id="10">
    <w:p w14:paraId="6B6EB1FF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“Strategic Dialogue on the Future of EU Agriculture - A shared prospect for farming and food in Europe”, Settembru 2024, </w:t>
      </w:r>
      <w:hyperlink r:id="rId10" w:history="1">
        <w:r w:rsidRPr="003757F0">
          <w:rPr>
            <w:rStyle w:val="Hyperlink"/>
            <w:sz w:val="24"/>
            <w:lang w:val="mt-MT"/>
          </w:rPr>
          <w:t>https://agriculture.ec.europa.eu/document/download/171329ff-0f50-4fa5-946f-aea11032172e_en?filename=strategic-dialogue-report-2024_en.pdf</w:t>
        </w:r>
      </w:hyperlink>
      <w:r w:rsidRPr="003757F0">
        <w:rPr>
          <w:rStyle w:val="Hyperlink"/>
          <w:sz w:val="24"/>
          <w:lang w:val="mt-MT"/>
        </w:rPr>
        <w:t>.</w:t>
      </w:r>
    </w:p>
  </w:footnote>
  <w:footnote w:id="11">
    <w:p w14:paraId="10AF6319" w14:textId="77777777" w:rsidR="006C5BDF" w:rsidRPr="003757F0" w:rsidRDefault="006C5BDF" w:rsidP="003757F0">
      <w:pPr>
        <w:pStyle w:val="FootnoteText"/>
        <w:ind w:left="567" w:hanging="567"/>
        <w:rPr>
          <w:sz w:val="24"/>
          <w:szCs w:val="22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hyperlink r:id="rId11" w:history="1">
        <w:r w:rsidRPr="003757F0">
          <w:rPr>
            <w:rStyle w:val="Hyperlink"/>
            <w:sz w:val="24"/>
            <w:lang w:val="mt-MT"/>
          </w:rPr>
          <w:t>https://www.ohchr.org/en/documents/thematic-reports/ahrc3448-report-special-rapporteur-right-food</w:t>
        </w:r>
      </w:hyperlink>
      <w:r w:rsidRPr="003757F0">
        <w:rPr>
          <w:sz w:val="24"/>
          <w:lang w:val="mt-MT"/>
        </w:rPr>
        <w:t>.</w:t>
      </w:r>
    </w:p>
  </w:footnote>
  <w:footnote w:id="12">
    <w:p w14:paraId="33797972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hyperlink r:id="rId12" w:history="1">
        <w:r w:rsidRPr="003757F0">
          <w:rPr>
            <w:rStyle w:val="Hyperlink"/>
            <w:sz w:val="24"/>
            <w:lang w:val="mt-MT"/>
          </w:rPr>
          <w:t>https://indicators.report/targets/3-9/</w:t>
        </w:r>
      </w:hyperlink>
      <w:r w:rsidRPr="003757F0">
        <w:rPr>
          <w:rStyle w:val="Hyperlink"/>
          <w:sz w:val="24"/>
          <w:lang w:val="mt-MT"/>
        </w:rPr>
        <w:t>.</w:t>
      </w:r>
    </w:p>
  </w:footnote>
  <w:footnote w:id="13">
    <w:p w14:paraId="5634C934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ara: </w:t>
      </w:r>
      <w:hyperlink r:id="rId13" w:history="1">
        <w:r w:rsidRPr="003757F0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3757F0">
        <w:rPr>
          <w:sz w:val="24"/>
          <w:lang w:val="mt-MT"/>
        </w:rPr>
        <w:t>.</w:t>
      </w:r>
    </w:p>
  </w:footnote>
  <w:footnote w:id="14">
    <w:p w14:paraId="4217B1F9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hyperlink r:id="rId14" w:history="1">
        <w:r w:rsidRPr="003757F0">
          <w:rPr>
            <w:rStyle w:val="Hyperlink"/>
            <w:sz w:val="24"/>
            <w:lang w:val="mt-MT"/>
          </w:rPr>
          <w:t>https://commission.europa.eu/document/2c64e540-c07a-4376-a1da-368d289f4afe_mt</w:t>
        </w:r>
      </w:hyperlink>
    </w:p>
  </w:footnote>
  <w:footnote w:id="15">
    <w:p w14:paraId="22136E62" w14:textId="77777777" w:rsidR="006C5BDF" w:rsidRPr="003757F0" w:rsidRDefault="006C5BDF" w:rsidP="003757F0">
      <w:pPr>
        <w:pStyle w:val="FootnoteText"/>
        <w:ind w:left="567" w:hanging="567"/>
        <w:rPr>
          <w:sz w:val="24"/>
          <w:szCs w:val="22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>Il-Kummissjoni “tista’”,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16">
    <w:p w14:paraId="5E7E5FAB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Ir-Regolament (KE) Nru 178/2002 tal-Parlament Ewropew u tal-Kunsill tat-28 ta’ Jannar 2002 li jistabbilixxi l-prinċipji ġenerali u l-ħtiġijiet tal-liġi dwar l-ikel, li jistabbilixxi l-Awtorità Ewropea dwar is-Sigurtà fl-Ikel u jistabbilixxi l-proċeduri fi kwistjonijiet ta’ sigurtà tal-ikel (ĠU L 31, 1.2.2002, p. 1, ELI: </w:t>
      </w:r>
      <w:hyperlink r:id="rId15" w:tooltip="Aċċess għad-dokument permezz tal-URI tal-ELI." w:history="1">
        <w:r w:rsidRPr="003757F0">
          <w:rPr>
            <w:rStyle w:val="Hyperlink"/>
            <w:sz w:val="24"/>
            <w:lang w:val="mt-MT"/>
          </w:rPr>
          <w:t>http://data.europa.eu/eli/reg/2002/178/oj</w:t>
        </w:r>
      </w:hyperlink>
      <w:r w:rsidRPr="003757F0">
        <w:rPr>
          <w:sz w:val="24"/>
          <w:lang w:val="mt-MT"/>
        </w:rPr>
        <w:t>).</w:t>
      </w:r>
    </w:p>
  </w:footnote>
  <w:footnote w:id="17">
    <w:p w14:paraId="31291A8F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F’Diċembru 2022, ġie miftiehem qafas globali dwar il-bijodiversità fil-COP15 tal-KDB tan-NU li jinkludi mira globali għat-tnaqqis tar-riskju tal-pestiċidi b’mill-anqas 50 % sal-2030 (ara: </w:t>
      </w:r>
      <w:hyperlink r:id="rId16" w:history="1">
        <w:r w:rsidRPr="003757F0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3757F0">
        <w:rPr>
          <w:sz w:val="24"/>
          <w:lang w:val="mt-MT"/>
        </w:rPr>
        <w:t>).</w:t>
      </w:r>
    </w:p>
  </w:footnote>
  <w:footnote w:id="18">
    <w:p w14:paraId="10ECA7F5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 xml:space="preserve">Kif deskritt fl-anness tal-komunikazzjoni tal-Kummissjoni tal-14 ta’ Ottubru 2020 bit-titolu “Strateġija dwar is-Sustanzi Kimiċi għas-Sostenibbiltà Lejn Ambjent Ħieles mit-Tossiċità”, COM(2020)0667, </w:t>
      </w:r>
      <w:hyperlink r:id="rId17" w:anchor="document2" w:history="1">
        <w:r w:rsidRPr="003757F0">
          <w:rPr>
            <w:rStyle w:val="Hyperlink"/>
            <w:sz w:val="24"/>
            <w:lang w:val="mt-MT"/>
          </w:rPr>
          <w:t>https://eur-lex.europa.eu/legal-content/MT/TXT/?uri=COM%3A2020%3A667%3AFIN#document2</w:t>
        </w:r>
      </w:hyperlink>
      <w:r w:rsidRPr="003757F0">
        <w:rPr>
          <w:sz w:val="24"/>
          <w:lang w:val="mt-MT"/>
        </w:rPr>
        <w:t>.</w:t>
      </w:r>
    </w:p>
  </w:footnote>
  <w:footnote w:id="19">
    <w:p w14:paraId="61F42AD5" w14:textId="77777777" w:rsidR="006C5BDF" w:rsidRPr="003757F0" w:rsidRDefault="006C5BDF" w:rsidP="003757F0">
      <w:pPr>
        <w:pStyle w:val="FootnoteText"/>
        <w:ind w:left="567" w:hanging="567"/>
        <w:rPr>
          <w:sz w:val="24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hyperlink r:id="rId18" w:history="1">
        <w:r w:rsidRPr="003757F0">
          <w:rPr>
            <w:rStyle w:val="Hyperlink"/>
            <w:sz w:val="24"/>
            <w:lang w:val="mt-MT"/>
          </w:rPr>
          <w:t>https://tillymetz.lu/wp-content/uploads/2020/09/Co-signed-letter-MEP-Metz.pdf</w:t>
        </w:r>
      </w:hyperlink>
      <w:r w:rsidRPr="003757F0">
        <w:rPr>
          <w:rStyle w:val="Hyperlink"/>
          <w:sz w:val="24"/>
          <w:lang w:val="mt-MT"/>
        </w:rPr>
        <w:t>.</w:t>
      </w:r>
    </w:p>
  </w:footnote>
  <w:footnote w:id="20">
    <w:p w14:paraId="6F1C1C7F" w14:textId="77777777" w:rsidR="006C5BDF" w:rsidRPr="003757F0" w:rsidRDefault="006C5BDF" w:rsidP="003757F0">
      <w:pPr>
        <w:pStyle w:val="FootnoteText"/>
        <w:ind w:left="567" w:hanging="567"/>
        <w:rPr>
          <w:sz w:val="24"/>
          <w:szCs w:val="22"/>
          <w:lang w:val="mt-MT"/>
        </w:rPr>
      </w:pPr>
      <w:r w:rsidRPr="003757F0">
        <w:rPr>
          <w:rStyle w:val="FootnoteReference"/>
          <w:sz w:val="24"/>
          <w:lang w:val="mt-MT"/>
        </w:rPr>
        <w:footnoteRef/>
      </w:r>
      <w:r w:rsidR="003757F0" w:rsidRPr="003757F0">
        <w:rPr>
          <w:sz w:val="24"/>
          <w:lang w:val="mt-MT"/>
        </w:rPr>
        <w:t xml:space="preserve"> </w:t>
      </w:r>
      <w:r w:rsidR="003757F0" w:rsidRPr="003757F0">
        <w:rPr>
          <w:sz w:val="24"/>
          <w:lang w:val="mt-MT"/>
        </w:rPr>
        <w:tab/>
      </w:r>
      <w:r w:rsidRPr="003757F0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ACA77" w14:textId="77777777" w:rsidR="00064002" w:rsidRPr="003757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AE1C8" w14:textId="77777777" w:rsidR="00064002" w:rsidRPr="003757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A9F12" w14:textId="77777777" w:rsidR="00064002" w:rsidRPr="003757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2/2024"/>
    <w:docVar w:name="dvlangue" w:val="MT"/>
    <w:docVar w:name="dvnumam" w:val="0"/>
    <w:docVar w:name="dvpe" w:val="763.293"/>
    <w:docVar w:name="dvtitre" w:val="Riżoluzzjoni tal-Parlament Ewropew tas-26 ta' Novembru 2024 dwar l-abbozz ta’ deċiżjoni ta’ implimentazzjoni tal-Kummissjoni dwar l-awtorizzazzjoni għall-introduzzjoni fis-suq ta’ prodotti li fihom, li jikkonsistu minn, jew li huma prodotti mill-qamħirrum ġenetikament modifikat DP202216, skont ir-Regolament (KE) Nru 1892/2003 tal-Parlament Ewropew u tal-Kunsill(D098501/04 – 2024/2837(RSP))"/>
  </w:docVars>
  <w:rsids>
    <w:rsidRoot w:val="00862844"/>
    <w:rsid w:val="00002272"/>
    <w:rsid w:val="00064002"/>
    <w:rsid w:val="000677B9"/>
    <w:rsid w:val="000831BA"/>
    <w:rsid w:val="000A42CC"/>
    <w:rsid w:val="000E4D15"/>
    <w:rsid w:val="000E7DD9"/>
    <w:rsid w:val="0010095E"/>
    <w:rsid w:val="00125B37"/>
    <w:rsid w:val="00187494"/>
    <w:rsid w:val="001F32AE"/>
    <w:rsid w:val="002767FF"/>
    <w:rsid w:val="002B18FE"/>
    <w:rsid w:val="002B5493"/>
    <w:rsid w:val="002C3A21"/>
    <w:rsid w:val="00343214"/>
    <w:rsid w:val="00361C00"/>
    <w:rsid w:val="003757F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F30"/>
    <w:rsid w:val="00545827"/>
    <w:rsid w:val="00560270"/>
    <w:rsid w:val="005C2568"/>
    <w:rsid w:val="005F1B17"/>
    <w:rsid w:val="006037C0"/>
    <w:rsid w:val="006631B6"/>
    <w:rsid w:val="00680577"/>
    <w:rsid w:val="006C5BD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844"/>
    <w:rsid w:val="00865F67"/>
    <w:rsid w:val="00881A7B"/>
    <w:rsid w:val="008840E5"/>
    <w:rsid w:val="00887B3E"/>
    <w:rsid w:val="008C2AC6"/>
    <w:rsid w:val="00930C23"/>
    <w:rsid w:val="0093193B"/>
    <w:rsid w:val="009509D8"/>
    <w:rsid w:val="00950A7D"/>
    <w:rsid w:val="00950B64"/>
    <w:rsid w:val="00981893"/>
    <w:rsid w:val="009A517C"/>
    <w:rsid w:val="00A1687D"/>
    <w:rsid w:val="00A43E52"/>
    <w:rsid w:val="00A4678D"/>
    <w:rsid w:val="00A7340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EA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3D906"/>
  <w15:chartTrackingRefBased/>
  <w15:docId w15:val="{4228436F-12AB-4187-B906-FE8FE373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5BDF"/>
    <w:pPr>
      <w:spacing w:before="480" w:after="240"/>
    </w:pPr>
  </w:style>
  <w:style w:type="paragraph" w:customStyle="1" w:styleId="NormalHanging12a">
    <w:name w:val="NormalHanging12a"/>
    <w:basedOn w:val="Normal"/>
    <w:rsid w:val="006C5BD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C5B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A51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517C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A51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51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517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A5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517C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9/1107/oj?locale=mt" TargetMode="External"/><Relationship Id="rId13" Type="http://schemas.openxmlformats.org/officeDocument/2006/relationships/hyperlink" Target="https://ec.europa.eu/commission/presscorner/detail/mt/ip_22_7834" TargetMode="External"/><Relationship Id="rId18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s://doi.org/10.2903/j.efsa.2024.8655" TargetMode="External"/><Relationship Id="rId7" Type="http://schemas.openxmlformats.org/officeDocument/2006/relationships/hyperlink" Target="https://enveurope.springeropen.com/articles/10.1186/2190-4715-24-24" TargetMode="External"/><Relationship Id="rId12" Type="http://schemas.openxmlformats.org/officeDocument/2006/relationships/hyperlink" Target="https://indicators.report/targets/3-9/" TargetMode="External"/><Relationship Id="rId17" Type="http://schemas.openxmlformats.org/officeDocument/2006/relationships/hyperlink" Target="https://eur-lex.europa.eu/legal-content/MT/TXT/?uri=COM:2020:667:FIN" TargetMode="External"/><Relationship Id="rId2" Type="http://schemas.openxmlformats.org/officeDocument/2006/relationships/hyperlink" Target="http://data.europa.eu/eli/reg/2011/182/oj?locale=mt" TargetMode="External"/><Relationship Id="rId16" Type="http://schemas.openxmlformats.org/officeDocument/2006/relationships/hyperlink" Target="https://ec.europa.eu/commission/presscorner/detail/mt/ip_22_7834" TargetMode="External"/><Relationship Id="rId1" Type="http://schemas.openxmlformats.org/officeDocument/2006/relationships/hyperlink" Target="http://data.europa.eu/eli/reg/2003/1829/oj?locale=mt" TargetMode="External"/><Relationship Id="rId6" Type="http://schemas.openxmlformats.org/officeDocument/2006/relationships/hyperlink" Target="https://www.ncbi.nlm.nih.gov/pubmed/26296738" TargetMode="External"/><Relationship Id="rId11" Type="http://schemas.openxmlformats.org/officeDocument/2006/relationships/hyperlink" Target="https://www.ohchr.org/en/documents/thematic-reports/ahrc3448-report-special-rapporteur-right-food" TargetMode="External"/><Relationship Id="rId5" Type="http://schemas.openxmlformats.org/officeDocument/2006/relationships/hyperlink" Target="https://doi.org/10.1126/science.abe1148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s://agriculture.ec.europa.eu/document/download/171329ff-0f50-4fa5-946f-aea11032172e_en?filename=strategic-dialogue-report-2024_en.pdf" TargetMode="External"/><Relationship Id="rId4" Type="http://schemas.openxmlformats.org/officeDocument/2006/relationships/hyperlink" Target="http://data.europa.eu/eli/reg_impl/2013/503/oj" TargetMode="External"/><Relationship Id="rId9" Type="http://schemas.openxmlformats.org/officeDocument/2006/relationships/hyperlink" Target="https://efsa.onlinelibrary.wiley.com/action/downloadSupplement?doi=10.2903/j.efsa.2024.8655&amp;file=efs28655-sup-0008-Annex8.pdf" TargetMode="External"/><Relationship Id="rId14" Type="http://schemas.openxmlformats.org/officeDocument/2006/relationships/hyperlink" Target="https://commission.europa.eu/document/2c64e540-c07a-4376-a1da-368d289f4afe_m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C7F7C-805E-44D2-97C8-EFAE84E3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1548</Words>
  <Characters>11167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2024-12-17T09:56:00Z</dcterms:created>
  <dcterms:modified xsi:type="dcterms:W3CDTF">2024-12-17T09:56:00Z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B10-0152/2024</vt:lpwstr>
  </property>
  <property fmtid="{D5CDD505-2E9C-101B-9397-08002B2CF9AE}" pid="4" name="&lt;Type&gt;">
    <vt:lpwstr>RR</vt:lpwstr>
  </property>
</Properties>
</file>