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0CB3" w:rsidTr="0010095E">
        <w:trPr>
          <w:trHeight w:hRule="exact" w:val="1418"/>
        </w:trPr>
        <w:tc>
          <w:tcPr>
            <w:tcW w:w="6804" w:type="dxa"/>
            <w:shd w:val="clear" w:color="auto" w:fill="auto"/>
            <w:vAlign w:val="center"/>
          </w:tcPr>
          <w:p w:rsidR="00751A4A" w:rsidRPr="00B00CB3" w:rsidRDefault="004A6F11" w:rsidP="0010095E">
            <w:pPr>
              <w:pStyle w:val="EPName"/>
            </w:pPr>
            <w:r w:rsidRPr="00B00CB3">
              <w:t>Europees Parlement</w:t>
            </w:r>
          </w:p>
          <w:p w:rsidR="00751A4A" w:rsidRPr="00B00CB3" w:rsidRDefault="005F1B17" w:rsidP="005F1B17">
            <w:pPr>
              <w:pStyle w:val="EPTerm"/>
              <w:rPr>
                <w:rStyle w:val="HideTWBExt"/>
                <w:noProof w:val="0"/>
                <w:vanish w:val="0"/>
                <w:color w:val="auto"/>
              </w:rPr>
            </w:pPr>
            <w:r w:rsidRPr="00B00CB3">
              <w:t>2024</w:t>
            </w:r>
            <w:r w:rsidR="00817416" w:rsidRPr="00B00CB3">
              <w:t>-202</w:t>
            </w:r>
            <w:r w:rsidRPr="00B00CB3">
              <w:t>9</w:t>
            </w:r>
          </w:p>
        </w:tc>
        <w:tc>
          <w:tcPr>
            <w:tcW w:w="2268" w:type="dxa"/>
            <w:shd w:val="clear" w:color="auto" w:fill="auto"/>
          </w:tcPr>
          <w:p w:rsidR="00751A4A" w:rsidRPr="00B00CB3" w:rsidRDefault="00187494" w:rsidP="0010095E">
            <w:pPr>
              <w:pStyle w:val="EPLogo"/>
            </w:pPr>
            <w:r w:rsidRPr="00B00C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0CB3" w:rsidRDefault="00D058B8" w:rsidP="004C5D52">
      <w:pPr>
        <w:pStyle w:val="LineTop"/>
      </w:pPr>
    </w:p>
    <w:p w:rsidR="00680577" w:rsidRPr="00B00CB3" w:rsidRDefault="004A6F11" w:rsidP="00680577">
      <w:pPr>
        <w:pStyle w:val="EPBodyTA1"/>
      </w:pPr>
      <w:r w:rsidRPr="00B00CB3">
        <w:t>AANGENOMEN TEKSTEN</w:t>
      </w:r>
    </w:p>
    <w:p w:rsidR="00D058B8" w:rsidRPr="00B00CB3" w:rsidRDefault="00D058B8" w:rsidP="00D058B8">
      <w:pPr>
        <w:pStyle w:val="LineBottom"/>
      </w:pPr>
    </w:p>
    <w:p w:rsidR="004A6F11" w:rsidRPr="00B00CB3" w:rsidRDefault="004A6F11" w:rsidP="004A6F11">
      <w:pPr>
        <w:pStyle w:val="ATHeading1"/>
      </w:pPr>
      <w:bookmarkStart w:id="0" w:name="TANumber"/>
      <w:r w:rsidRPr="00B00CB3">
        <w:t>P10_</w:t>
      </w:r>
      <w:proofErr w:type="gramStart"/>
      <w:r w:rsidRPr="00B00CB3">
        <w:t>TA(</w:t>
      </w:r>
      <w:proofErr w:type="gramEnd"/>
      <w:r w:rsidRPr="00B00CB3">
        <w:t>2024)00</w:t>
      </w:r>
      <w:r w:rsidR="007F72E5" w:rsidRPr="00B00CB3">
        <w:t>44</w:t>
      </w:r>
      <w:bookmarkEnd w:id="0"/>
    </w:p>
    <w:p w:rsidR="004A6F11" w:rsidRPr="00B00CB3" w:rsidRDefault="00655876" w:rsidP="004A6F11">
      <w:pPr>
        <w:pStyle w:val="ATHeading2"/>
      </w:pPr>
      <w:bookmarkStart w:id="1" w:name="title"/>
      <w:r w:rsidRPr="00B00CB3">
        <w:t>G</w:t>
      </w:r>
      <w:r w:rsidR="004A6F11" w:rsidRPr="00B00CB3">
        <w:t>enetisch gemodificeerde mais DP202216</w:t>
      </w:r>
      <w:bookmarkEnd w:id="1"/>
    </w:p>
    <w:p w:rsidR="004A6F11" w:rsidRPr="00B00CB3" w:rsidRDefault="004A6F11" w:rsidP="004A6F11">
      <w:pPr>
        <w:rPr>
          <w:i/>
          <w:vanish/>
        </w:rPr>
      </w:pPr>
      <w:r w:rsidRPr="00B00CB3">
        <w:rPr>
          <w:i/>
        </w:rPr>
        <w:fldChar w:fldCharType="begin"/>
      </w:r>
      <w:r w:rsidRPr="00B00CB3">
        <w:rPr>
          <w:i/>
        </w:rPr>
        <w:instrText xml:space="preserve"> TC"(</w:instrText>
      </w:r>
      <w:bookmarkStart w:id="2" w:name="DocNumber"/>
      <w:r w:rsidRPr="00B00CB3">
        <w:rPr>
          <w:i/>
        </w:rPr>
        <w:instrText>B10-0152/2024</w:instrText>
      </w:r>
      <w:bookmarkEnd w:id="2"/>
      <w:r w:rsidRPr="00B00CB3">
        <w:rPr>
          <w:i/>
        </w:rPr>
        <w:instrText xml:space="preserve">)"\l3 \n&gt; \* MERGEFORMAT </w:instrText>
      </w:r>
      <w:r w:rsidRPr="00B00CB3">
        <w:rPr>
          <w:i/>
        </w:rPr>
        <w:fldChar w:fldCharType="end"/>
      </w:r>
    </w:p>
    <w:p w:rsidR="004A6F11" w:rsidRPr="00B00CB3" w:rsidRDefault="004A6F11" w:rsidP="004A6F11">
      <w:pPr>
        <w:rPr>
          <w:vanish/>
        </w:rPr>
      </w:pPr>
      <w:bookmarkStart w:id="3" w:name="PE"/>
      <w:r w:rsidRPr="00B00CB3">
        <w:rPr>
          <w:vanish/>
        </w:rPr>
        <w:t>PE763.293</w:t>
      </w:r>
      <w:bookmarkEnd w:id="3"/>
    </w:p>
    <w:p w:rsidR="004A6F11" w:rsidRPr="00B00CB3" w:rsidRDefault="004A6F11" w:rsidP="004A6F11">
      <w:pPr>
        <w:pStyle w:val="ATHeading3"/>
      </w:pPr>
      <w:bookmarkStart w:id="4" w:name="Sujet"/>
      <w:r w:rsidRPr="00B00CB3">
        <w:t xml:space="preserve">Resolutie van het Europees Parlement van </w:t>
      </w:r>
      <w:r w:rsidR="00530985">
        <w:t>26 </w:t>
      </w:r>
      <w:r w:rsidRPr="00B00CB3">
        <w:t xml:space="preserve">november 2024 over </w:t>
      </w:r>
      <w:r w:rsidR="00655876" w:rsidRPr="00B00CB3">
        <w:t>U</w:t>
      </w:r>
      <w:r w:rsidRPr="00B00CB3">
        <w:t xml:space="preserve">itvoeringsbesluit </w:t>
      </w:r>
      <w:r w:rsidR="00655876" w:rsidRPr="00B00CB3">
        <w:t xml:space="preserve">(EU) 2024/2618 </w:t>
      </w:r>
      <w:r w:rsidRPr="00B00CB3">
        <w:t>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w:t>
      </w:r>
      <w:bookmarkEnd w:id="4"/>
      <w:r w:rsidRPr="00B00CB3">
        <w:t xml:space="preserve"> </w:t>
      </w:r>
      <w:bookmarkStart w:id="5" w:name="References"/>
      <w:r w:rsidRPr="00B00CB3">
        <w:t>(2024/2837(RSP))</w:t>
      </w:r>
      <w:bookmarkEnd w:id="5"/>
    </w:p>
    <w:p w:rsidR="009F05FE" w:rsidRPr="00B00CB3" w:rsidRDefault="009F05FE" w:rsidP="009F05FE">
      <w:pPr>
        <w:pStyle w:val="EPComma"/>
      </w:pPr>
      <w:bookmarkStart w:id="6" w:name="TextBodyBegin"/>
      <w:bookmarkEnd w:id="6"/>
      <w:r w:rsidRPr="00B00CB3">
        <w:rPr>
          <w:i/>
        </w:rPr>
        <w:t>Het Europees Parlement</w:t>
      </w:r>
      <w:r w:rsidRPr="00B00CB3">
        <w:t>,</w:t>
      </w:r>
    </w:p>
    <w:p w:rsidR="009F05FE" w:rsidRPr="00B00CB3" w:rsidRDefault="009F05FE" w:rsidP="009F05FE">
      <w:pPr>
        <w:pStyle w:val="NormalHanging12a"/>
      </w:pPr>
      <w:r w:rsidRPr="00B00CB3">
        <w:t>–</w:t>
      </w:r>
      <w:r w:rsidRPr="00B00CB3">
        <w:tab/>
        <w:t xml:space="preserve">gezien </w:t>
      </w:r>
      <w:r w:rsidR="00655876" w:rsidRPr="00B00CB3">
        <w:t>U</w:t>
      </w:r>
      <w:r w:rsidRPr="00B00CB3">
        <w:t xml:space="preserve">itvoeringsbesluit </w:t>
      </w:r>
      <w:r w:rsidR="00655876" w:rsidRPr="00B00CB3">
        <w:t xml:space="preserve">(EU) 2024/2618 </w:t>
      </w:r>
      <w:r w:rsidRPr="00B00CB3">
        <w:t>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w:t>
      </w:r>
      <w:r w:rsidR="00655876" w:rsidRPr="00B00CB3">
        <w:rPr>
          <w:rStyle w:val="FootnoteReference"/>
        </w:rPr>
        <w:footnoteReference w:id="1"/>
      </w:r>
      <w:r w:rsidRPr="00B00CB3">
        <w:t>,</w:t>
      </w:r>
    </w:p>
    <w:p w:rsidR="009F05FE" w:rsidRPr="00B00CB3" w:rsidRDefault="009F05FE" w:rsidP="009F05FE">
      <w:pPr>
        <w:pStyle w:val="NormalHanging12a"/>
      </w:pPr>
      <w:r w:rsidRPr="00B00CB3">
        <w:t>–</w:t>
      </w:r>
      <w:r w:rsidRPr="00B00CB3">
        <w:tab/>
        <w:t>gezien Verordening (EG) nr. 1829/2003 van het Europees Parlement en de Raad van 22 september 2003 inzake genetisch gemodificeerde levensmiddelen en diervoeders</w:t>
      </w:r>
      <w:r w:rsidRPr="00B00CB3">
        <w:rPr>
          <w:rStyle w:val="FootnoteReference"/>
        </w:rPr>
        <w:footnoteReference w:id="2"/>
      </w:r>
      <w:r w:rsidRPr="00B00CB3">
        <w:t>, en met name artikel 7, lid 3, en artikel 19, lid 3,</w:t>
      </w:r>
    </w:p>
    <w:p w:rsidR="009F05FE" w:rsidRPr="00B00CB3" w:rsidRDefault="009F05FE" w:rsidP="009F05FE">
      <w:pPr>
        <w:pStyle w:val="NormalHanging12a"/>
      </w:pPr>
      <w:r w:rsidRPr="00B00CB3">
        <w:t>–</w:t>
      </w:r>
      <w:r w:rsidRPr="00B00CB3">
        <w:tab/>
        <w:t>gezien de</w:t>
      </w:r>
      <w:r w:rsidRPr="00B00CB3">
        <w:rPr>
          <w:shd w:val="clear" w:color="auto" w:fill="FFFFFF"/>
        </w:rPr>
        <w:t xml:space="preserve"> stemming van 8 juli 2024 in het Permanent Comité voor planten, dieren, levensmiddelen en diervoeders als bedoeld in artikel 35 van Verordening (EG) nr. 1829/2003, die geen advies heeft opgeleverd, en de stemming van 3 september 2024 in het comité van beroep, die evenmin </w:t>
      </w:r>
      <w:r w:rsidRPr="00B00CB3">
        <w:t>een advies heeft opgeleverd,</w:t>
      </w:r>
    </w:p>
    <w:p w:rsidR="009F05FE" w:rsidRPr="00B00CB3" w:rsidRDefault="009F05FE" w:rsidP="009F05FE">
      <w:pPr>
        <w:pStyle w:val="NormalHanging12a"/>
      </w:pPr>
      <w:r w:rsidRPr="00B00CB3">
        <w:t>–</w:t>
      </w:r>
      <w:r w:rsidRPr="00B00CB3">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B00CB3">
        <w:rPr>
          <w:rStyle w:val="FootnoteReference"/>
        </w:rPr>
        <w:footnoteReference w:id="3"/>
      </w:r>
      <w:r w:rsidRPr="00B00CB3">
        <w:t>,</w:t>
      </w:r>
    </w:p>
    <w:p w:rsidR="009F05FE" w:rsidRPr="00B00CB3" w:rsidRDefault="009F05FE" w:rsidP="00530985">
      <w:pPr>
        <w:pStyle w:val="NormalHanging12a"/>
        <w:widowControl/>
      </w:pPr>
      <w:r w:rsidRPr="00B00CB3">
        <w:lastRenderedPageBreak/>
        <w:t>–</w:t>
      </w:r>
      <w:r w:rsidRPr="00B00CB3">
        <w:tab/>
        <w:t>gezien het advies dat op 7 februari 2024 door de Europese Autoriteit voor voedselveiligheid (EFSA) is goedgekeurd en op 20 maart 2024 is gepubliceerd</w:t>
      </w:r>
      <w:r w:rsidRPr="00B00CB3">
        <w:rPr>
          <w:rStyle w:val="FootnoteReference"/>
        </w:rPr>
        <w:footnoteReference w:id="4"/>
      </w:r>
      <w:r w:rsidRPr="00B00CB3">
        <w:t>,</w:t>
      </w:r>
    </w:p>
    <w:p w:rsidR="009F05FE" w:rsidRPr="00B00CB3" w:rsidRDefault="009F05FE" w:rsidP="009F05FE">
      <w:pPr>
        <w:pStyle w:val="NormalHanging12a"/>
        <w:rPr>
          <w:szCs w:val="24"/>
          <w:shd w:val="clear" w:color="auto" w:fill="FFFFFF"/>
        </w:rPr>
      </w:pPr>
      <w:r w:rsidRPr="00B00CB3">
        <w:t>–</w:t>
      </w:r>
      <w:r w:rsidRPr="00B00CB3">
        <w:rPr>
          <w:shd w:val="clear" w:color="auto" w:fill="FFFFFF"/>
        </w:rPr>
        <w:tab/>
        <w:t>gezien zijn eerdere resoluties waarin bezwaar werd gemaakt tegen het verlenen van vergunningen voor genetisch gemodificeerde organismen (“</w:t>
      </w:r>
      <w:proofErr w:type="spellStart"/>
      <w:r w:rsidRPr="00B00CB3">
        <w:rPr>
          <w:shd w:val="clear" w:color="auto" w:fill="FFFFFF"/>
        </w:rPr>
        <w:t>ggo’s</w:t>
      </w:r>
      <w:proofErr w:type="spellEnd"/>
      <w:r w:rsidRPr="00B00CB3">
        <w:rPr>
          <w:shd w:val="clear" w:color="auto" w:fill="FFFFFF"/>
        </w:rPr>
        <w:t>”)</w:t>
      </w:r>
      <w:r w:rsidRPr="00B00CB3">
        <w:rPr>
          <w:szCs w:val="24"/>
          <w:shd w:val="clear" w:color="auto" w:fill="FFFFFF"/>
          <w:vertAlign w:val="superscript"/>
        </w:rPr>
        <w:footnoteReference w:id="5"/>
      </w:r>
      <w:r w:rsidRPr="00B00CB3">
        <w:rPr>
          <w:shd w:val="clear" w:color="auto" w:fill="FFFFFF"/>
        </w:rPr>
        <w:t>,</w:t>
      </w:r>
    </w:p>
    <w:p w:rsidR="009F05FE" w:rsidRPr="00B00CB3" w:rsidRDefault="009F05FE" w:rsidP="009F05FE">
      <w:pPr>
        <w:pStyle w:val="NormalHanging12a"/>
      </w:pPr>
      <w:r w:rsidRPr="00B00CB3">
        <w:t>–</w:t>
      </w:r>
      <w:r w:rsidRPr="00B00CB3">
        <w:tab/>
        <w:t>gezien artikel 115, leden 2 en 3, van zijn Reglement,</w:t>
      </w:r>
    </w:p>
    <w:p w:rsidR="009F05FE" w:rsidRPr="00B00CB3" w:rsidRDefault="009F05FE" w:rsidP="009F05FE">
      <w:pPr>
        <w:pStyle w:val="NormalHanging12a"/>
      </w:pPr>
      <w:r w:rsidRPr="00B00CB3">
        <w:t>–</w:t>
      </w:r>
      <w:r w:rsidRPr="00B00CB3">
        <w:tab/>
        <w:t>gezien de ontwerpresolutie van de Commissie milieubeheer, volksgezondheid en voedselveiligheid,</w:t>
      </w:r>
    </w:p>
    <w:p w:rsidR="009F05FE" w:rsidRPr="00B00CB3" w:rsidRDefault="009F05FE" w:rsidP="009F05FE">
      <w:pPr>
        <w:pStyle w:val="NormalHanging12a"/>
      </w:pPr>
      <w:r w:rsidRPr="00B00CB3">
        <w:t>A.</w:t>
      </w:r>
      <w:r w:rsidRPr="00B00CB3">
        <w:tab/>
        <w:t xml:space="preserve">overwegende dat </w:t>
      </w:r>
      <w:proofErr w:type="spellStart"/>
      <w:r w:rsidRPr="00B00CB3">
        <w:t>Pioneer</w:t>
      </w:r>
      <w:proofErr w:type="spellEnd"/>
      <w:r w:rsidRPr="00B00CB3">
        <w:t xml:space="preserve"> </w:t>
      </w:r>
      <w:proofErr w:type="spellStart"/>
      <w:r w:rsidRPr="00B00CB3">
        <w:t>Overseas</w:t>
      </w:r>
      <w:proofErr w:type="spellEnd"/>
      <w:r w:rsidRPr="00B00CB3">
        <w:t xml:space="preserve"> Corporation, gevestigd in België, op 1 juli 2019 namens </w:t>
      </w:r>
      <w:proofErr w:type="spellStart"/>
      <w:r w:rsidRPr="00B00CB3">
        <w:t>Pioneer</w:t>
      </w:r>
      <w:proofErr w:type="spellEnd"/>
      <w:r w:rsidRPr="00B00CB3">
        <w:t xml:space="preserve"> Hi-</w:t>
      </w:r>
      <w:proofErr w:type="spellStart"/>
      <w:r w:rsidRPr="00B00CB3">
        <w:t>Bred</w:t>
      </w:r>
      <w:proofErr w:type="spellEnd"/>
      <w:r w:rsidRPr="00B00CB3">
        <w:t xml:space="preserve"> International, Inc., gevestigd in de Verenigde Staten, bij de bevoegde nationale instantie van Nederland en overeenkomstig de artikelen 5 en 17 van Verordening (EG) nr. 1829/2003 een aanvraag heeft ingediend voor het in de handel brengen van levensmiddelen, levensmiddeleningrediënten en diervoeders die geheel of gedeeltelijk bestaan uit of zijn geproduceerd met de genetisch gemodificeerde mais DP202216 (“de genetisch gemodificeerde mais”); overwegende dat de aanvraag tevens betrekking heeft op het in de handel brengen van producten die geheel of gedeeltelijk bestaan uit de genetisch gemodificeerde mais voor andere toepassingen dan als levensmiddel of als diervoeder, met uitzondering van de teelt;</w:t>
      </w:r>
    </w:p>
    <w:p w:rsidR="009F05FE" w:rsidRPr="00B00CB3" w:rsidRDefault="009F05FE" w:rsidP="009F05FE">
      <w:pPr>
        <w:pStyle w:val="NormalHanging12a"/>
      </w:pPr>
      <w:r w:rsidRPr="00B00CB3">
        <w:t>B.</w:t>
      </w:r>
      <w:r w:rsidRPr="00B00CB3">
        <w:tab/>
        <w:t>overwegende dat de EFSA op 7 februari 2024 een gunstig advies heeft goedgekeurd, dat op 20 maart 2024 is gepubliceerd;</w:t>
      </w:r>
    </w:p>
    <w:p w:rsidR="009F05FE" w:rsidRPr="00B00CB3" w:rsidRDefault="009F05FE" w:rsidP="009F05FE">
      <w:pPr>
        <w:pStyle w:val="NormalHanging12a"/>
      </w:pPr>
      <w:r w:rsidRPr="00B00CB3">
        <w:t>C.</w:t>
      </w:r>
      <w:r w:rsidRPr="00B00CB3">
        <w:tab/>
        <w:t xml:space="preserve">overwegende dat de genetisch gemodificeerde mais genen bevat die resistentie bieden tegen </w:t>
      </w:r>
      <w:proofErr w:type="spellStart"/>
      <w:r w:rsidRPr="00B00CB3">
        <w:t>glufosinaat</w:t>
      </w:r>
      <w:proofErr w:type="spellEnd"/>
      <w:r w:rsidRPr="00B00CB3">
        <w:t xml:space="preserve"> en </w:t>
      </w:r>
      <w:r w:rsidRPr="00B00CB3">
        <w:rPr>
          <w:color w:val="000000"/>
          <w:shd w:val="clear" w:color="auto" w:fill="FFFFFF"/>
        </w:rPr>
        <w:t>geacht wordt een verhoogd opbrengstpotentieel te hebben;</w:t>
      </w:r>
    </w:p>
    <w:p w:rsidR="009F05FE" w:rsidRPr="00B00CB3" w:rsidRDefault="009F05FE" w:rsidP="009F05FE">
      <w:pPr>
        <w:pStyle w:val="NormalHanging12a"/>
        <w:rPr>
          <w:b/>
          <w:i/>
        </w:rPr>
      </w:pPr>
      <w:r w:rsidRPr="00B00CB3">
        <w:rPr>
          <w:b/>
          <w:i/>
        </w:rPr>
        <w:t>Gebrekkige beoordeling van het complementaire herbicide</w:t>
      </w:r>
    </w:p>
    <w:p w:rsidR="009F05FE" w:rsidRPr="00B00CB3" w:rsidRDefault="009F05FE" w:rsidP="009F05FE">
      <w:pPr>
        <w:pStyle w:val="NormalHanging12a"/>
      </w:pPr>
      <w:r w:rsidRPr="00B00CB3">
        <w:t>D.</w:t>
      </w:r>
      <w:r w:rsidRPr="00B00CB3">
        <w:tab/>
        <w:t>overwegende dat krachtens Uitvoeringsverordening (EU) nr. 503/2013 van de Commissie</w:t>
      </w:r>
      <w:r w:rsidRPr="00B00CB3">
        <w:rPr>
          <w:rStyle w:val="FootnoteReference"/>
        </w:rPr>
        <w:footnoteReference w:id="6"/>
      </w:r>
      <w:r w:rsidRPr="00B00CB3">
        <w:t xml:space="preserve"> moet worden beoordeeld of de verwachte landbouwpraktijken van invloed zijn op de uitkomsten voor de onderzochte eindpunten; overwegende dat dit op grond van de uitvoeringsverordening met name relevant is bij herbicidetolerante planten;</w:t>
      </w:r>
    </w:p>
    <w:p w:rsidR="009F05FE" w:rsidRPr="00B00CB3" w:rsidRDefault="009F05FE" w:rsidP="009F05FE">
      <w:pPr>
        <w:pStyle w:val="NormalHanging12a"/>
      </w:pPr>
      <w:r w:rsidRPr="00B00CB3">
        <w:t>E.</w:t>
      </w:r>
      <w:r w:rsidRPr="00B00CB3">
        <w:tab/>
        <w:t xml:space="preserve">overwegende dat de overgrote meerderheid van genetisch gemodificeerde gewassen zodanig genetisch wordt gemodificeerd dat deze gewassen tolerant worden gemaakt voor een of meer “complementaire” herbiciden die gedurende de gehele teelt van het </w:t>
      </w:r>
      <w:r w:rsidRPr="00B00CB3">
        <w:lastRenderedPageBreak/>
        <w:t>genetisch gemodificeerde gewas kunnen worden gebruikt zonder dat het gewas sterft, zoals het geval zou zijn bij een niet-herbicidetolerant gewas; overwegende dat uit een aantal studies blijkt dat de teelt van herbicidetolerante genetisch gemodificeerde gewassen leidt tot een toename van het gebruik van complementaire herbiciden, voornamelijk vanwege het ontstaan van herbicidetolerant onkruid</w:t>
      </w:r>
      <w:r w:rsidRPr="00B00CB3">
        <w:rPr>
          <w:rStyle w:val="FootnoteReference"/>
        </w:rPr>
        <w:footnoteReference w:id="7"/>
      </w:r>
      <w:r w:rsidRPr="00B00CB3">
        <w:t>;</w:t>
      </w:r>
    </w:p>
    <w:p w:rsidR="009F05FE" w:rsidRPr="00B00CB3" w:rsidRDefault="009F05FE" w:rsidP="009F05FE">
      <w:pPr>
        <w:pStyle w:val="NormalHanging12a"/>
      </w:pPr>
      <w:r w:rsidRPr="00B00CB3">
        <w:t>F.</w:t>
      </w:r>
      <w:r w:rsidRPr="00B00CB3">
        <w:tab/>
        <w:t xml:space="preserve">overwegende dat herbicidetolerante genetisch gemodificeerde gewassen een </w:t>
      </w:r>
      <w:proofErr w:type="spellStart"/>
      <w:r w:rsidRPr="00B00CB3">
        <w:t>lock</w:t>
      </w:r>
      <w:proofErr w:type="spellEnd"/>
      <w:r w:rsidRPr="00B00CB3">
        <w:t>-in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gewassen aanplanten het ontstaan en de verspreiding van onkruid zal versnellen die tolerant zijn voor deze herbiciden, waardoor nog meer herbiciden moeten worden gebruikt — een vicieuze cirkel die bekendstaat als de “</w:t>
      </w:r>
      <w:proofErr w:type="spellStart"/>
      <w:r w:rsidRPr="00B00CB3">
        <w:t>pesticidentredmolen</w:t>
      </w:r>
      <w:proofErr w:type="spellEnd"/>
      <w:r w:rsidRPr="00B00CB3">
        <w:t>”;</w:t>
      </w:r>
    </w:p>
    <w:p w:rsidR="009F05FE" w:rsidRPr="00B00CB3" w:rsidRDefault="009F05FE" w:rsidP="009F05FE">
      <w:pPr>
        <w:pStyle w:val="NormalHanging12a"/>
      </w:pPr>
      <w:r w:rsidRPr="00B00CB3">
        <w:t>G.</w:t>
      </w:r>
      <w:r w:rsidRPr="00B00CB3">
        <w:tab/>
        <w:t>overwegende dat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p>
    <w:p w:rsidR="009F05FE" w:rsidRPr="00B00CB3" w:rsidRDefault="009F05FE" w:rsidP="009F05FE">
      <w:pPr>
        <w:pStyle w:val="NormalHanging12a"/>
      </w:pPr>
      <w:r w:rsidRPr="00B00CB3">
        <w:t>H.</w:t>
      </w:r>
      <w:r w:rsidRPr="00B00CB3">
        <w:tab/>
        <w:t xml:space="preserve">overwegende dat </w:t>
      </w:r>
      <w:proofErr w:type="spellStart"/>
      <w:r w:rsidRPr="00B00CB3">
        <w:t>glufosinaat</w:t>
      </w:r>
      <w:proofErr w:type="spellEnd"/>
      <w:r w:rsidRPr="00B00CB3">
        <w:t xml:space="preserve"> is ingedeeld als toxisch voor de voortplanting, categorie 1B, en dus onder de uitsluitingscriteria valt van Verordening (EG) nr. 1107/2009 van het Europees Parlement en de Raad</w:t>
      </w:r>
      <w:r w:rsidRPr="00B00CB3">
        <w:rPr>
          <w:rStyle w:val="FootnoteReference"/>
        </w:rPr>
        <w:footnoteReference w:id="8"/>
      </w:r>
      <w:r w:rsidRPr="00B00CB3">
        <w:t xml:space="preserve">; overwegende dat de goedkeuring van </w:t>
      </w:r>
      <w:proofErr w:type="spellStart"/>
      <w:r w:rsidRPr="00B00CB3">
        <w:t>glufosinaat</w:t>
      </w:r>
      <w:proofErr w:type="spellEnd"/>
      <w:r w:rsidRPr="00B00CB3">
        <w:t xml:space="preserve"> voor gebruik in de Unie op 31 juli 2018 is verstreken;</w:t>
      </w:r>
    </w:p>
    <w:p w:rsidR="009F05FE" w:rsidRPr="00B00CB3" w:rsidRDefault="009F05FE" w:rsidP="009F05FE">
      <w:pPr>
        <w:pStyle w:val="NormalHanging12a"/>
      </w:pPr>
      <w:r w:rsidRPr="00B00CB3">
        <w:t>I.</w:t>
      </w:r>
      <w:r w:rsidRPr="00B00CB3">
        <w:tab/>
        <w:t xml:space="preserve">overwegende dat de beoordeling van residuen van herbiciden en metabolieten die in genetisch gemodificeerde gewassen worden aangetroffen, wordt beschouwd als een kwestie die niet binnen de bevoegdheid van het EFSA-panel voor genetisch gemodificeerde organismen valt en daarom geen deel uitmaakt van de vergunningsprocedure voor </w:t>
      </w:r>
      <w:proofErr w:type="spellStart"/>
      <w:r w:rsidRPr="00B00CB3">
        <w:t>ggo’s</w:t>
      </w:r>
      <w:proofErr w:type="spellEnd"/>
      <w:r w:rsidRPr="00B00CB3">
        <w:t>;</w:t>
      </w:r>
    </w:p>
    <w:p w:rsidR="009F05FE" w:rsidRPr="00B00CB3" w:rsidRDefault="009F05FE" w:rsidP="009F05FE">
      <w:pPr>
        <w:pStyle w:val="NormalHanging12a"/>
        <w:rPr>
          <w:b/>
          <w:i/>
        </w:rPr>
      </w:pPr>
      <w:r w:rsidRPr="00B00CB3">
        <w:rPr>
          <w:b/>
          <w:i/>
        </w:rPr>
        <w:t>Opmerkingen van de bevoegde autoriteiten van de lidstaten en van de belanghebbenden</w:t>
      </w:r>
    </w:p>
    <w:p w:rsidR="009F05FE" w:rsidRPr="00B00CB3" w:rsidRDefault="009F05FE" w:rsidP="009F05FE">
      <w:pPr>
        <w:pStyle w:val="NormalHanging12a"/>
      </w:pPr>
      <w:r w:rsidRPr="00B00CB3">
        <w:t>J.</w:t>
      </w:r>
      <w:r w:rsidRPr="00B00CB3">
        <w:tab/>
        <w:t xml:space="preserve">overwegende dat de lidstaten tijdens de raadplegingsperiode van drie maanden veel </w:t>
      </w:r>
      <w:r w:rsidRPr="00B00CB3">
        <w:lastRenderedPageBreak/>
        <w:t>kritische opmerkingen bij de EFSA hebben ingediend</w:t>
      </w:r>
      <w:r w:rsidRPr="00B00CB3">
        <w:rPr>
          <w:rStyle w:val="FootnoteReference"/>
        </w:rPr>
        <w:footnoteReference w:id="9"/>
      </w:r>
      <w:r w:rsidRPr="00B00CB3">
        <w:t xml:space="preserve">, onder meer dat het monitoringplan in kwestie er niet voor zorgt dat relevante informatie voor de monitoring van het product wordt verzameld en derhalve niet als toereikend kan worden beschouwd, dat nadere informatie moet worden verstrekt voordat de risicobeoordeling kan worden afgerond en dat, hoewel het </w:t>
      </w:r>
      <w:proofErr w:type="spellStart"/>
      <w:r w:rsidRPr="00B00CB3">
        <w:t>ggo</w:t>
      </w:r>
      <w:proofErr w:type="spellEnd"/>
      <w:r w:rsidRPr="00B00CB3">
        <w:t xml:space="preserve"> niet voor de teelt is bestemd, de aanvrager gedetailleerde informatie moet verstrekken over de wilde variant </w:t>
      </w:r>
      <w:proofErr w:type="spellStart"/>
      <w:r w:rsidRPr="00B00CB3">
        <w:t>teosinte</w:t>
      </w:r>
      <w:proofErr w:type="spellEnd"/>
      <w:r w:rsidRPr="00B00CB3">
        <w:t>, die herhaaldelijk op velden in de Unie is aangetroffen, en dat moet worden geanticipeerd op het morsen van maïszaad tijdens het vervoer;</w:t>
      </w:r>
    </w:p>
    <w:p w:rsidR="009F05FE" w:rsidRPr="00B00CB3" w:rsidRDefault="009F05FE" w:rsidP="00E326A6">
      <w:pPr>
        <w:pStyle w:val="NormalHanging12a"/>
        <w:ind w:left="0" w:firstLine="0"/>
        <w:rPr>
          <w:b/>
          <w:i/>
        </w:rPr>
      </w:pPr>
      <w:r w:rsidRPr="00B00CB3">
        <w:rPr>
          <w:b/>
          <w:i/>
        </w:rPr>
        <w:t>Het waarborgen van een wereldwijd gelijk speelveld en het nakomen van de internationale verplichtingen van de Unie</w:t>
      </w:r>
    </w:p>
    <w:p w:rsidR="009F05FE" w:rsidRPr="00B00CB3" w:rsidRDefault="009F05FE" w:rsidP="009F05FE">
      <w:pPr>
        <w:pStyle w:val="NormalHanging12a"/>
      </w:pPr>
      <w:r w:rsidRPr="00B00CB3">
        <w:t>K.</w:t>
      </w:r>
      <w:r w:rsidRPr="00B00CB3">
        <w:tab/>
        <w:t>overwegende dat de Commissie in de conclusies van de strategische dialoog over de toekomst van de landbouw in de EU</w:t>
      </w:r>
      <w:r w:rsidRPr="00B00CB3">
        <w:rPr>
          <w:rStyle w:val="FootnoteReference"/>
        </w:rPr>
        <w:footnoteReference w:id="10"/>
      </w:r>
      <w:r w:rsidRPr="00B00CB3">
        <w:t xml:space="preserve"> wordt verzocht haar aanpak inzake markttoegang voor in- en uitvoer van agrovoedingsmiddelen te herzien, gezien de uitdaging die uiteenlopende normen van de Unie en haar handelspartners met zich meebrengt; overwegende dat eerlijkere handelsbetrekkingen op mondiaal niveau, in overeenstemming met de doelstellingen voor een gezond milieu, een van de belangrijkste eisen van landbouwers waren tijdens de demonstraties van 2023 en 2024;</w:t>
      </w:r>
    </w:p>
    <w:p w:rsidR="009F05FE" w:rsidRPr="00B00CB3" w:rsidRDefault="009F05FE" w:rsidP="009F05FE">
      <w:pPr>
        <w:pStyle w:val="NormalHanging12a"/>
      </w:pPr>
      <w:r w:rsidRPr="00B00CB3">
        <w:t>L.</w:t>
      </w:r>
      <w:r w:rsidRPr="00B00CB3">
        <w:tab/>
        <w:t>overwegende dat in een verslag uit 2017 van de speciale rapporteur van de Verenigde Naties (VN) voor het recht op voedsel is vastgesteld dat gevaarlijke bestrijdingsmiddelen catastrofale gevolgen hebben voor de volksgezondheid, met name in ontwikkelingslanden</w:t>
      </w:r>
      <w:r w:rsidRPr="00B00CB3">
        <w:rPr>
          <w:rStyle w:val="FootnoteReference"/>
        </w:rPr>
        <w:footnoteReference w:id="11"/>
      </w:r>
      <w:r w:rsidRPr="00B00CB3">
        <w:t xml:space="preserve">; overwegende dat </w:t>
      </w:r>
      <w:proofErr w:type="spellStart"/>
      <w:r w:rsidRPr="00B00CB3">
        <w:t>duurzameontwikkelingsdoelstelling</w:t>
      </w:r>
      <w:proofErr w:type="spellEnd"/>
      <w:r w:rsidRPr="00B00CB3">
        <w:t xml:space="preserve"> (SDG) 3.9 van de VN erin bestaat om uiterlijk in 2030 het aantal sterfgevallen en ziekten als gevolg van gevaarlijke chemische stoffen en de vervuiling en verontreiniging van lucht, water en bodem in aanzienlijke mate te verminderen</w:t>
      </w:r>
      <w:r w:rsidRPr="00B00CB3">
        <w:rPr>
          <w:rStyle w:val="FootnoteReference"/>
        </w:rPr>
        <w:footnoteReference w:id="12"/>
      </w:r>
      <w:r w:rsidRPr="00B00CB3">
        <w:t>;</w:t>
      </w:r>
    </w:p>
    <w:p w:rsidR="009F05FE" w:rsidRPr="00B00CB3" w:rsidRDefault="009F05FE" w:rsidP="009F05FE">
      <w:pPr>
        <w:pStyle w:val="NormalHanging12a"/>
      </w:pPr>
      <w:r w:rsidRPr="00B00CB3">
        <w:t>M.</w:t>
      </w:r>
      <w:r w:rsidRPr="00B00CB3">
        <w:tab/>
        <w:t>overwegende dat het mondiaal biodiversiteitskader van Kunming-Montreal (“kader van Kunming-Montreal”), dat in december 2022 tijdens de COP15 van het VN-Verdrag inzake biologische diversiteit (VBD van de VN) is overeengekomen, een mondiale doelstelling omvat om het risico van pesticiden tegen 2030 met ten minste 50 % te verminderen</w:t>
      </w:r>
      <w:r w:rsidRPr="00B00CB3">
        <w:rPr>
          <w:rStyle w:val="FootnoteReference"/>
        </w:rPr>
        <w:footnoteReference w:id="13"/>
      </w:r>
      <w:r w:rsidRPr="00B00CB3">
        <w:t>;</w:t>
      </w:r>
    </w:p>
    <w:p w:rsidR="009F05FE" w:rsidRPr="00B00CB3" w:rsidRDefault="009F05FE" w:rsidP="009F05FE">
      <w:pPr>
        <w:pStyle w:val="NormalHanging12a"/>
      </w:pPr>
      <w:r w:rsidRPr="00B00CB3">
        <w:t>N.</w:t>
      </w:r>
      <w:r w:rsidRPr="00B00CB3">
        <w:tab/>
        <w:t xml:space="preserve">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w:t>
      </w:r>
      <w:proofErr w:type="spellStart"/>
      <w:r w:rsidRPr="00B00CB3">
        <w:t>SDG’s</w:t>
      </w:r>
      <w:proofErr w:type="spellEnd"/>
      <w:r w:rsidRPr="00B00CB3">
        <w:t xml:space="preserve"> van de VN en het VBD van de VN moeten omvatten;</w:t>
      </w:r>
    </w:p>
    <w:p w:rsidR="009F05FE" w:rsidRPr="00B00CB3" w:rsidRDefault="009F05FE" w:rsidP="00530985">
      <w:pPr>
        <w:pStyle w:val="NormalHanging12a"/>
        <w:keepNext/>
        <w:widowControl/>
        <w:rPr>
          <w:b/>
          <w:i/>
        </w:rPr>
      </w:pPr>
      <w:r w:rsidRPr="00B00CB3">
        <w:rPr>
          <w:b/>
          <w:i/>
        </w:rPr>
        <w:lastRenderedPageBreak/>
        <w:t>Vermindering van de afhankelijkheid van geïmporteerd diervoeder</w:t>
      </w:r>
    </w:p>
    <w:p w:rsidR="009F05FE" w:rsidRPr="00B00CB3" w:rsidRDefault="009F05FE" w:rsidP="00530985">
      <w:pPr>
        <w:pStyle w:val="NormalHanging12a"/>
        <w:widowControl/>
      </w:pPr>
      <w:r w:rsidRPr="00B00CB3">
        <w:t>O.</w:t>
      </w:r>
      <w:r w:rsidRPr="00B00CB3">
        <w:tab/>
        <w:t>overwegende dat een van de lessen die moeten worden getrokken uit de COVID</w:t>
      </w:r>
      <w:r w:rsidRPr="00B00CB3">
        <w:noBreakHyphen/>
        <w:t>19</w:t>
      </w:r>
      <w:r w:rsidRPr="00B00CB3">
        <w:noBreakHyphen/>
        <w:t xml:space="preserve">crisis en de aanhoudende oorlog in Oekraïne, is dat de Unie een einde moet maken aan haar afhankelijkheid van bepaalde kritieke materialen; overwegende dat Commissievoorzitter Ursula </w:t>
      </w:r>
      <w:proofErr w:type="spellStart"/>
      <w:r w:rsidRPr="00B00CB3">
        <w:t>von</w:t>
      </w:r>
      <w:proofErr w:type="spellEnd"/>
      <w:r w:rsidRPr="00B00CB3">
        <w:t> der Leyen kandidaat-commissaris Christophe Hansen in haar opdrachtbrief verzoekt na te gaan hoe de invoer van kritieke grondstoffen kan worden verminderd</w:t>
      </w:r>
      <w:r w:rsidRPr="00B00CB3">
        <w:rPr>
          <w:rStyle w:val="FootnoteReference"/>
        </w:rPr>
        <w:footnoteReference w:id="14"/>
      </w:r>
      <w:r w:rsidRPr="00B00CB3">
        <w:t>;</w:t>
      </w:r>
    </w:p>
    <w:p w:rsidR="009F05FE" w:rsidRPr="00B00CB3" w:rsidRDefault="009F05FE" w:rsidP="009F05FE">
      <w:pPr>
        <w:pStyle w:val="NormalHanging12a"/>
        <w:rPr>
          <w:b/>
          <w:i/>
        </w:rPr>
      </w:pPr>
      <w:r w:rsidRPr="00B00CB3">
        <w:rPr>
          <w:b/>
          <w:i/>
        </w:rPr>
        <w:t>Niet-democratische besluitvorming</w:t>
      </w:r>
    </w:p>
    <w:p w:rsidR="009F05FE" w:rsidRPr="00B00CB3" w:rsidRDefault="009F05FE" w:rsidP="009F05FE">
      <w:pPr>
        <w:pStyle w:val="NormalHanging12a"/>
      </w:pPr>
      <w:r w:rsidRPr="00B00CB3">
        <w:t>P.</w:t>
      </w:r>
      <w:r w:rsidRPr="00B00CB3">
        <w:tab/>
        <w:t xml:space="preserve">overwegende dat het Parlement tijdens zijn achtste zittingsperiode in totaal 36 resoluties heeft aangenomen waarin bezwaar wordt gemaakt tegen het in de handel brengen van </w:t>
      </w:r>
      <w:proofErr w:type="spellStart"/>
      <w:r w:rsidRPr="00B00CB3">
        <w:t>ggo’s</w:t>
      </w:r>
      <w:proofErr w:type="spellEnd"/>
      <w:r w:rsidRPr="00B00CB3">
        <w:t xml:space="preserve"> voor gebruik als levensmiddelen en diervoeders (33 resoluties) en tegen de teelt van </w:t>
      </w:r>
      <w:proofErr w:type="spellStart"/>
      <w:r w:rsidRPr="00B00CB3">
        <w:t>ggo’s</w:t>
      </w:r>
      <w:proofErr w:type="spellEnd"/>
      <w:r w:rsidRPr="00B00CB3">
        <w:t xml:space="preserve"> in de Unie (drie resoluties); overwegende dat het Parlement tijdens zijn negende zittingsperiode 38 resoluties heeft aangenomen waarin bezwaar wordt gemaakt tegen het in de handel brengen van </w:t>
      </w:r>
      <w:proofErr w:type="spellStart"/>
      <w:r w:rsidRPr="00B00CB3">
        <w:t>ggo’s</w:t>
      </w:r>
      <w:proofErr w:type="spellEnd"/>
      <w:r w:rsidRPr="00B00CB3">
        <w:t>;</w:t>
      </w:r>
    </w:p>
    <w:p w:rsidR="009F05FE" w:rsidRPr="00B00CB3" w:rsidRDefault="009F05FE" w:rsidP="009F05FE">
      <w:pPr>
        <w:pStyle w:val="NormalHanging12a"/>
      </w:pPr>
      <w:r w:rsidRPr="00B00CB3">
        <w:t>Q.</w:t>
      </w:r>
      <w:r w:rsidRPr="00B00CB3">
        <w:tab/>
        <w:t xml:space="preserve">overwegende dat de Commissie zich bewust is van de democratische tekortkomingen, het gebrek aan steun van de lidstaten en de bezwaren van het Parlement, maar desondanks vergunningen blijft verlenen voor </w:t>
      </w:r>
      <w:proofErr w:type="spellStart"/>
      <w:r w:rsidRPr="00B00CB3">
        <w:t>ggo’s</w:t>
      </w:r>
      <w:proofErr w:type="spellEnd"/>
      <w:r w:rsidRPr="00B00CB3">
        <w:t>;</w:t>
      </w:r>
    </w:p>
    <w:p w:rsidR="009F05FE" w:rsidRPr="00B00CB3" w:rsidRDefault="009F05FE" w:rsidP="009F05FE">
      <w:pPr>
        <w:pStyle w:val="NormalHanging12a"/>
      </w:pPr>
      <w:r w:rsidRPr="00B00CB3">
        <w:t>R.</w:t>
      </w:r>
      <w:r w:rsidRPr="00B00CB3">
        <w:tab/>
        <w:t xml:space="preserve">overwegende dat de Commissie geen wetswijziging nodig heeft om af te zien van het verlenen van een vergunning voor </w:t>
      </w:r>
      <w:proofErr w:type="spellStart"/>
      <w:r w:rsidRPr="00B00CB3">
        <w:t>ggo’s</w:t>
      </w:r>
      <w:proofErr w:type="spellEnd"/>
      <w:r w:rsidRPr="00B00CB3">
        <w:t xml:space="preserve"> als in het comité van beroep geen gekwalificeerde meerderheid van de lidstaten voor vergunningverlening is</w:t>
      </w:r>
      <w:r w:rsidRPr="00B00CB3">
        <w:rPr>
          <w:rStyle w:val="FootnoteReference"/>
        </w:rPr>
        <w:footnoteReference w:id="15"/>
      </w:r>
      <w:r w:rsidRPr="00B00CB3">
        <w:t>;</w:t>
      </w:r>
    </w:p>
    <w:p w:rsidR="009F05FE" w:rsidRPr="00B00CB3" w:rsidRDefault="009F05FE" w:rsidP="009F05FE">
      <w:pPr>
        <w:pStyle w:val="NormalHanging12a"/>
      </w:pPr>
      <w:r w:rsidRPr="00B00CB3">
        <w:t>S.</w:t>
      </w:r>
      <w:r w:rsidRPr="00B00CB3">
        <w:tab/>
      </w:r>
      <w:r w:rsidRPr="00B00CB3">
        <w:rPr>
          <w:shd w:val="clear" w:color="auto" w:fill="FFFFFF"/>
        </w:rPr>
        <w:t>overwegende dat de stemming op 8 juli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3 september 2024 in het comité van beroep evenmin een advies heeft opgeleverd;</w:t>
      </w:r>
    </w:p>
    <w:p w:rsidR="009F05FE" w:rsidRPr="00B00CB3" w:rsidRDefault="009F05FE" w:rsidP="009F05FE">
      <w:pPr>
        <w:pStyle w:val="NormalHanging12a"/>
      </w:pPr>
      <w:r w:rsidRPr="00B00CB3">
        <w:t>1.</w:t>
      </w:r>
      <w:r w:rsidRPr="00B00CB3">
        <w:tab/>
        <w:t xml:space="preserve">is van mening dat </w:t>
      </w:r>
      <w:r w:rsidR="00655876" w:rsidRPr="00B00CB3">
        <w:t>U</w:t>
      </w:r>
      <w:r w:rsidRPr="00B00CB3">
        <w:t xml:space="preserve">itvoeringsbesluit </w:t>
      </w:r>
      <w:r w:rsidR="00655876" w:rsidRPr="00B00CB3">
        <w:t xml:space="preserve">(EU) 2024/2618 </w:t>
      </w:r>
      <w:r w:rsidRPr="00B00CB3">
        <w:t>van de Commissie de in Verordening (EG) nr. 1829/2003 bedoelde uitvoeringsbevoegdheden overschrijdt;</w:t>
      </w:r>
    </w:p>
    <w:p w:rsidR="009F05FE" w:rsidRPr="00B00CB3" w:rsidRDefault="009F05FE" w:rsidP="009F05FE">
      <w:pPr>
        <w:pStyle w:val="NormalHanging12a"/>
      </w:pPr>
      <w:r w:rsidRPr="00B00CB3">
        <w:t>2.</w:t>
      </w:r>
      <w:r w:rsidRPr="00B00CB3">
        <w:tab/>
        <w:t xml:space="preserve">is van mening dat </w:t>
      </w:r>
      <w:r w:rsidR="00655876" w:rsidRPr="00B00CB3">
        <w:t>U</w:t>
      </w:r>
      <w:r w:rsidRPr="00B00CB3">
        <w:t xml:space="preserve">itvoeringsbesluit </w:t>
      </w:r>
      <w:r w:rsidR="00655876" w:rsidRPr="00B00CB3">
        <w:t xml:space="preserve">(EU) 2024/2618 </w:t>
      </w:r>
      <w:r w:rsidRPr="00B00CB3">
        <w:t>van de Commissie niet in overeenstemming is met het recht van de Unie, aangezien het niet verenigbaar is met het doel van Verordening (EG) nr. 1829/2003 om overeenkomstig de algemene beginselen die in Verordening (EG) nr. 178/2002 van het Europees Parlement en de Raad</w:t>
      </w:r>
      <w:r w:rsidRPr="00B00CB3">
        <w:rPr>
          <w:rStyle w:val="FootnoteReference"/>
        </w:rPr>
        <w:footnoteReference w:id="16"/>
      </w:r>
      <w:r w:rsidRPr="00B00CB3">
        <w:t xml:space="preserve"> zijn vastgesteld de basis te leggen voor de waarborging van een hoog beschermingsniveau </w:t>
      </w:r>
      <w:r w:rsidRPr="00B00CB3">
        <w:lastRenderedPageBreak/>
        <w:t>voor het leven en de gezondheid van de mens, de gezondheid en het welzijn van dieren, het milieu en de belangen van de consument, met betrekking tot genetisch gemodificeerde levensmiddelen en diervoeders, waarbij de goede werking van de interne markt wordt gewaarborgd;</w:t>
      </w:r>
    </w:p>
    <w:p w:rsidR="007A6ABA" w:rsidRPr="00B00CB3" w:rsidRDefault="00832797" w:rsidP="009F05FE">
      <w:pPr>
        <w:pStyle w:val="NormalHanging12a"/>
      </w:pPr>
      <w:r w:rsidRPr="00B00CB3">
        <w:t>3.</w:t>
      </w:r>
      <w:r w:rsidR="007A6ABA" w:rsidRPr="00B00CB3">
        <w:tab/>
        <w:t xml:space="preserve">verzoekt de Commissie in het kader van onderhandelingen over vrijhandelsakkoorden te zorgen voor convergentie van normen tussen de Unie en haar partners, teneinde te voldoen aan </w:t>
      </w:r>
      <w:r w:rsidR="00E93B74" w:rsidRPr="00B00CB3">
        <w:t>de</w:t>
      </w:r>
      <w:r w:rsidR="007A6ABA" w:rsidRPr="00B00CB3">
        <w:t xml:space="preserve"> veiligheidsnormen</w:t>
      </w:r>
      <w:r w:rsidR="00E93B74" w:rsidRPr="00B00CB3">
        <w:t xml:space="preserve"> van de Unie</w:t>
      </w:r>
      <w:r w:rsidR="007A6ABA" w:rsidRPr="00B00CB3">
        <w:t>;</w:t>
      </w:r>
    </w:p>
    <w:p w:rsidR="009F05FE" w:rsidRPr="00B00CB3" w:rsidRDefault="00832797" w:rsidP="009F05FE">
      <w:pPr>
        <w:pStyle w:val="NormalHanging12a"/>
      </w:pPr>
      <w:r w:rsidRPr="00B00CB3">
        <w:t>4</w:t>
      </w:r>
      <w:r w:rsidR="009F05FE" w:rsidRPr="00B00CB3">
        <w:t>.</w:t>
      </w:r>
      <w:r w:rsidR="009F05FE" w:rsidRPr="00B00CB3">
        <w:tab/>
        <w:t xml:space="preserve">verzoekt de Commissie </w:t>
      </w:r>
      <w:r w:rsidR="00655876" w:rsidRPr="00B00CB3">
        <w:t>U</w:t>
      </w:r>
      <w:r w:rsidR="009F05FE" w:rsidRPr="00B00CB3">
        <w:t xml:space="preserve">itvoeringsbesluit </w:t>
      </w:r>
      <w:r w:rsidR="00655876" w:rsidRPr="00B00CB3">
        <w:t xml:space="preserve">(EU) 2024/2618 </w:t>
      </w:r>
      <w:r w:rsidR="009F05FE" w:rsidRPr="00B00CB3">
        <w:t>in te trekken en een nieuw ontwerp aan het comité voor te leggen;</w:t>
      </w:r>
    </w:p>
    <w:p w:rsidR="009F05FE" w:rsidRPr="00B00CB3" w:rsidRDefault="00832797" w:rsidP="009F05FE">
      <w:pPr>
        <w:pStyle w:val="NormalHanging12a"/>
      </w:pPr>
      <w:r w:rsidRPr="00B00CB3">
        <w:t>5</w:t>
      </w:r>
      <w:r w:rsidR="009F05FE" w:rsidRPr="00B00CB3">
        <w:t>.</w:t>
      </w:r>
      <w:r w:rsidR="009F05FE" w:rsidRPr="00B00CB3">
        <w:tab/>
        <w:t>verzoekt de Commissie geen vergunning te verlenen voor herbicidetolerante genetisch gemodificeerde gewassen, vanwege het daarmee gepaard gaande toegenomen gebruik van complementaire herbiciden en bijgevolg de toegenomen risico’s voor de biodiversiteit, de voedselveiligheid en de gezondheid van werknemers, in overeenstemming met de “één gezondheid”-benadering;</w:t>
      </w:r>
    </w:p>
    <w:p w:rsidR="009F05FE" w:rsidRPr="00B00CB3" w:rsidRDefault="00832797" w:rsidP="009F05FE">
      <w:pPr>
        <w:pStyle w:val="NormalHanging12a"/>
      </w:pPr>
      <w:r w:rsidRPr="00B00CB3">
        <w:t>6</w:t>
      </w:r>
      <w:r w:rsidR="009F05FE" w:rsidRPr="00B00CB3">
        <w:t>.</w:t>
      </w:r>
      <w:r w:rsidR="009F05FE" w:rsidRPr="00B00CB3">
        <w:tab/>
        <w:t xml:space="preserve">benadrukt in dit verband dat het toestaan van de invoer voor gebruik in levensmiddelen of diervoeders van genetisch gemodificeerde planten die tolerant zijn gemaakt voor in de Unie verboden herbiciden, zoals </w:t>
      </w:r>
      <w:proofErr w:type="spellStart"/>
      <w:r w:rsidR="009F05FE" w:rsidRPr="00B00CB3">
        <w:t>glufosinaat</w:t>
      </w:r>
      <w:proofErr w:type="spellEnd"/>
      <w:r w:rsidR="009F05FE" w:rsidRPr="00B00CB3">
        <w:t xml:space="preserve">, niet strookt met de internationale verbintenissen van de Unie uit hoofde van onder meer de </w:t>
      </w:r>
      <w:proofErr w:type="spellStart"/>
      <w:r w:rsidR="009F05FE" w:rsidRPr="00B00CB3">
        <w:t>SDG’s</w:t>
      </w:r>
      <w:proofErr w:type="spellEnd"/>
      <w:r w:rsidR="009F05FE" w:rsidRPr="00B00CB3">
        <w:t xml:space="preserve"> en het VBD van de VN, met inbegrip van het onlangs aangenomen mondiaal biodiversiteitskader van Kunming-Montreal</w:t>
      </w:r>
      <w:r w:rsidR="009F05FE" w:rsidRPr="00B00CB3">
        <w:rPr>
          <w:rStyle w:val="FootnoteReference"/>
        </w:rPr>
        <w:footnoteReference w:id="17"/>
      </w:r>
      <w:r w:rsidR="009F05FE" w:rsidRPr="00B00CB3">
        <w:t>;</w:t>
      </w:r>
    </w:p>
    <w:p w:rsidR="009F05FE" w:rsidRPr="00B00CB3" w:rsidRDefault="00832797" w:rsidP="009F05FE">
      <w:pPr>
        <w:pStyle w:val="NormalHanging12a"/>
      </w:pPr>
      <w:r w:rsidRPr="00B00CB3">
        <w:t>7</w:t>
      </w:r>
      <w:r w:rsidR="009F05FE" w:rsidRPr="00B00CB3">
        <w:t>.</w:t>
      </w:r>
      <w:r w:rsidR="009F05FE" w:rsidRPr="00B00CB3">
        <w:tab/>
        <w:t>verwacht van de Commissie dat zij met spoed haar toezegging</w:t>
      </w:r>
      <w:r w:rsidR="009F05FE" w:rsidRPr="00B00CB3">
        <w:rPr>
          <w:rStyle w:val="FootnoteReference"/>
        </w:rPr>
        <w:footnoteReference w:id="18"/>
      </w:r>
      <w:r w:rsidR="009F05FE" w:rsidRPr="00B00CB3">
        <w:t xml:space="preserve"> nakomt om met een voorstel te komen om ervoor te zorgen dat gevaarlijke chemische stoffen die in de Unie verboden zijn, niet voor uitvoer worden geproduceerd;</w:t>
      </w:r>
    </w:p>
    <w:p w:rsidR="009F05FE" w:rsidRPr="00B00CB3" w:rsidRDefault="00832797" w:rsidP="009F05FE">
      <w:pPr>
        <w:pStyle w:val="NormalHanging12a"/>
      </w:pPr>
      <w:r w:rsidRPr="00B00CB3">
        <w:t>8</w:t>
      </w:r>
      <w:r w:rsidR="009F05FE" w:rsidRPr="00B00CB3">
        <w:t>.</w:t>
      </w:r>
      <w:r w:rsidR="009F05FE" w:rsidRPr="00B00CB3">
        <w:tab/>
        <w:t xml:space="preserve">is ingenomen met het feit dat de Commissie in een schrijven van 11 september 2020 aan leden van het Parlement eindelijk heeft erkend dat het noodzakelijk is dat bij besluiten inzake vergunningverlening voor </w:t>
      </w:r>
      <w:proofErr w:type="spellStart"/>
      <w:r w:rsidR="009F05FE" w:rsidRPr="00B00CB3">
        <w:t>ggo’s</w:t>
      </w:r>
      <w:proofErr w:type="spellEnd"/>
      <w:r w:rsidR="009F05FE" w:rsidRPr="00B00CB3">
        <w:rPr>
          <w:rStyle w:val="FootnoteReference"/>
        </w:rPr>
        <w:footnoteReference w:id="19"/>
      </w:r>
      <w:r w:rsidR="009F05FE" w:rsidRPr="00B00CB3">
        <w:t xml:space="preserve"> rekening wordt gehouden met duurzaamheid; is niettemin zeer teleurgesteld dat de Commissie sindsdien is doorgegaan met het verlenen van vergunningen voor de invoer van </w:t>
      </w:r>
      <w:proofErr w:type="spellStart"/>
      <w:r w:rsidR="009F05FE" w:rsidRPr="00B00CB3">
        <w:t>ggo’s</w:t>
      </w:r>
      <w:proofErr w:type="spellEnd"/>
      <w:r w:rsidR="009F05FE" w:rsidRPr="00B00CB3">
        <w:t xml:space="preserve"> in de Unie, ondanks de aanhoudende bezwaren van het Parlement en ondanks het feit dat er geen gekwalificeerde meerderheid van de lidstaten voor vergunningverlening is;</w:t>
      </w:r>
    </w:p>
    <w:p w:rsidR="009F05FE" w:rsidRPr="00B00CB3" w:rsidRDefault="00832797" w:rsidP="00530985">
      <w:pPr>
        <w:pStyle w:val="NormalHanging12a"/>
        <w:keepNext/>
        <w:widowControl/>
      </w:pPr>
      <w:r w:rsidRPr="00B00CB3">
        <w:t>9</w:t>
      </w:r>
      <w:r w:rsidR="009F05FE" w:rsidRPr="00B00CB3">
        <w:t>.</w:t>
      </w:r>
      <w:r w:rsidR="009F05FE" w:rsidRPr="00B00CB3">
        <w:tab/>
        <w:t xml:space="preserve">dringt er nogmaals bij de Commissie op aan rekening te houden met de verplichtingen van de Unie krachtens internationale overeenkomsten, zoals de Klimaatovereenkomst van Parijs, het VN-Verdrag inzake biologische diversiteit en de </w:t>
      </w:r>
      <w:proofErr w:type="spellStart"/>
      <w:r w:rsidR="009F05FE" w:rsidRPr="00B00CB3">
        <w:t>SDG’s</w:t>
      </w:r>
      <w:proofErr w:type="spellEnd"/>
      <w:r w:rsidR="009F05FE" w:rsidRPr="00B00CB3">
        <w:t xml:space="preserve"> van de VN; roept er nogmaals toe op om ontwerpuitvoeringshandelingen vergezeld te doen gaan </w:t>
      </w:r>
      <w:r w:rsidR="009F05FE" w:rsidRPr="00B00CB3">
        <w:lastRenderedPageBreak/>
        <w:t>van een toelichting waarin wordt uiteengezet op welke manier aan het “niet schaden”-beginsel is voldaan</w:t>
      </w:r>
      <w:r w:rsidR="009F05FE" w:rsidRPr="00B00CB3">
        <w:rPr>
          <w:rStyle w:val="FootnoteReference"/>
        </w:rPr>
        <w:footnoteReference w:id="20"/>
      </w:r>
      <w:r w:rsidR="009F05FE" w:rsidRPr="00B00CB3">
        <w:t>;</w:t>
      </w:r>
    </w:p>
    <w:p w:rsidR="008F29C5" w:rsidRPr="00B00CB3" w:rsidRDefault="00832797" w:rsidP="008F29C5">
      <w:pPr>
        <w:pStyle w:val="NormalHanging12a"/>
      </w:pPr>
      <w:r w:rsidRPr="00B00CB3">
        <w:t>10</w:t>
      </w:r>
      <w:r w:rsidR="009F05FE" w:rsidRPr="00B00CB3">
        <w:t>.</w:t>
      </w:r>
      <w:r w:rsidR="009F05FE" w:rsidRPr="00B00CB3">
        <w:tab/>
        <w:t>verzoekt zijn Voorzitter deze resolutie te doen toekomen aan de Raad en de Commissie, alsmede aan de regeringen en parlementen van de lidstaten.</w:t>
      </w:r>
    </w:p>
    <w:p w:rsidR="00E365E1" w:rsidRPr="00B00CB3" w:rsidRDefault="00E365E1" w:rsidP="004A6F11"/>
    <w:sectPr w:rsidR="00E365E1" w:rsidRPr="00B00CB3" w:rsidSect="008F29C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F11" w:rsidRPr="008F29C5" w:rsidRDefault="004A6F11">
      <w:r w:rsidRPr="008F29C5">
        <w:separator/>
      </w:r>
    </w:p>
  </w:endnote>
  <w:endnote w:type="continuationSeparator" w:id="0">
    <w:p w:rsidR="004A6F11" w:rsidRPr="008F29C5" w:rsidRDefault="004A6F11">
      <w:r w:rsidRPr="008F2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F11" w:rsidRPr="008F29C5" w:rsidRDefault="004A6F11">
      <w:r w:rsidRPr="008F29C5">
        <w:separator/>
      </w:r>
    </w:p>
  </w:footnote>
  <w:footnote w:type="continuationSeparator" w:id="0">
    <w:p w:rsidR="004A6F11" w:rsidRPr="008F29C5" w:rsidRDefault="004A6F11">
      <w:r w:rsidRPr="008F29C5">
        <w:continuationSeparator/>
      </w:r>
    </w:p>
  </w:footnote>
  <w:footnote w:id="1">
    <w:p w:rsidR="00655876" w:rsidRPr="00655876" w:rsidRDefault="00655876" w:rsidP="00655876">
      <w:pPr>
        <w:pStyle w:val="FootnoteText"/>
        <w:ind w:left="567" w:hanging="567"/>
        <w:rPr>
          <w:sz w:val="24"/>
          <w:szCs w:val="24"/>
          <w:lang w:val="fi-FI"/>
        </w:rPr>
      </w:pPr>
      <w:r w:rsidRPr="00655876">
        <w:rPr>
          <w:rStyle w:val="FootnoteReference"/>
          <w:sz w:val="24"/>
          <w:szCs w:val="24"/>
        </w:rPr>
        <w:footnoteRef/>
      </w:r>
      <w:r w:rsidRPr="00655876">
        <w:rPr>
          <w:sz w:val="24"/>
          <w:szCs w:val="24"/>
          <w:lang w:val="fi-FI"/>
        </w:rPr>
        <w:tab/>
        <w:t>PB L, 2024/2618, 10.10.2024, ELI: http://data.europa.eu/eli/dec_impl/2024/2618/oj.</w:t>
      </w:r>
    </w:p>
  </w:footnote>
  <w:footnote w:id="2">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PB L 268 van 18.10.2003, blz. 1, ELI: </w:t>
      </w:r>
      <w:hyperlink r:id="rId1" w:tooltip="Biedt toegang tot dit document via de ELI-URI ervan." w:history="1">
        <w:r w:rsidRPr="008F29C5">
          <w:rPr>
            <w:rStyle w:val="Hyperlink"/>
            <w:color w:val="337AB7"/>
            <w:sz w:val="24"/>
            <w:shd w:val="clear" w:color="auto" w:fill="FFFFFF"/>
            <w:lang w:val="nl-NL"/>
          </w:rPr>
          <w:t>http://data.europa.eu/eli/reg/2003/1829/oj</w:t>
        </w:r>
      </w:hyperlink>
      <w:r w:rsidRPr="008F29C5">
        <w:rPr>
          <w:sz w:val="24"/>
          <w:lang w:val="nl-NL"/>
        </w:rPr>
        <w:t>.</w:t>
      </w:r>
    </w:p>
  </w:footnote>
  <w:footnote w:id="3">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PB L 55 van 28.2.2011, blz. 13, ELI: </w:t>
      </w:r>
      <w:hyperlink r:id="rId2" w:tooltip="Biedt toegang tot dit document via de ELI-URI ervan." w:history="1">
        <w:r w:rsidRPr="008F29C5">
          <w:rPr>
            <w:rStyle w:val="Hyperlink"/>
            <w:color w:val="337AB7"/>
            <w:sz w:val="24"/>
            <w:shd w:val="clear" w:color="auto" w:fill="FFFFFF"/>
            <w:lang w:val="nl-NL"/>
          </w:rPr>
          <w:t>http://data.europa.eu/eli/reg/2011/182/oj</w:t>
        </w:r>
      </w:hyperlink>
      <w:r w:rsidRPr="008F29C5">
        <w:rPr>
          <w:sz w:val="24"/>
          <w:lang w:val="nl-NL"/>
        </w:rPr>
        <w:t>.</w:t>
      </w:r>
    </w:p>
  </w:footnote>
  <w:footnote w:id="4">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Wetenschappelijk advies van het EFSA-panel voor genetisch gemodificeerde organismen </w:t>
      </w:r>
      <w:r w:rsidR="00530985">
        <w:rPr>
          <w:sz w:val="24"/>
          <w:lang w:val="nl-NL"/>
        </w:rPr>
        <w:t xml:space="preserve">inzake de beoordeling van de genetisch gemodificeerde mais DP202216 gebruikt als voedingsmiddel of diervoeding </w:t>
      </w:r>
      <w:r w:rsidR="00530985">
        <w:rPr>
          <w:sz w:val="24"/>
          <w:lang w:val="nl-NL"/>
        </w:rPr>
        <w:t>overeenkomsti</w:t>
      </w:r>
      <w:bookmarkStart w:id="7" w:name="_GoBack"/>
      <w:bookmarkEnd w:id="7"/>
      <w:r w:rsidR="00530985">
        <w:rPr>
          <w:sz w:val="24"/>
          <w:lang w:val="nl-NL"/>
        </w:rPr>
        <w:t>g Verordening (EG) nr. 1829/2003 (dossier</w:t>
      </w:r>
      <w:r w:rsidRPr="008F29C5">
        <w:rPr>
          <w:sz w:val="24"/>
          <w:lang w:val="nl-NL"/>
        </w:rPr>
        <w:t xml:space="preserve"> EFSA-GMO-NL-2019-159)”, EFSA Journal, 2024;22(3):8655, </w:t>
      </w:r>
      <w:hyperlink r:id="rId3" w:history="1">
        <w:r w:rsidRPr="008F29C5">
          <w:rPr>
            <w:rStyle w:val="Hyperlink"/>
            <w:sz w:val="24"/>
            <w:lang w:val="nl-NL"/>
          </w:rPr>
          <w:t>https://doi.org/10.2903/j.efsa.2024.8655</w:t>
        </w:r>
      </w:hyperlink>
      <w:r w:rsidRPr="008F29C5">
        <w:rPr>
          <w:sz w:val="24"/>
          <w:lang w:val="nl-NL"/>
        </w:rPr>
        <w:t>.</w:t>
      </w:r>
    </w:p>
  </w:footnote>
  <w:footnote w:id="5">
    <w:p w:rsidR="009F05FE" w:rsidRPr="008F29C5" w:rsidRDefault="009F05FE" w:rsidP="008F29C5">
      <w:pPr>
        <w:pStyle w:val="FootnoteText"/>
        <w:ind w:left="567" w:hanging="567"/>
        <w:rPr>
          <w:sz w:val="24"/>
          <w:szCs w:val="22"/>
          <w:lang w:val="nl-NL"/>
        </w:rPr>
      </w:pPr>
      <w:r w:rsidRPr="008F29C5">
        <w:rPr>
          <w:rStyle w:val="FootnoteReference"/>
          <w:sz w:val="24"/>
          <w:lang w:val="nl-NL"/>
        </w:rPr>
        <w:footnoteRef/>
      </w:r>
      <w:r w:rsidR="008F29C5" w:rsidRPr="008F29C5">
        <w:rPr>
          <w:color w:val="000000" w:themeColor="text1"/>
          <w:sz w:val="24"/>
          <w:lang w:val="nl-NL"/>
        </w:rPr>
        <w:tab/>
      </w:r>
      <w:r w:rsidRPr="008F29C5">
        <w:rPr>
          <w:color w:val="000000" w:themeColor="text1"/>
          <w:sz w:val="24"/>
          <w:lang w:val="nl-NL"/>
        </w:rPr>
        <w:t xml:space="preserve">Het Parlement heeft tijdens de achtste zittingsperiode 36 en in de negende zittingsperiode 38 resoluties aangenomen waarin bezwaar werd gemaakt tegen het verlenen van vergunningen voor </w:t>
      </w:r>
      <w:proofErr w:type="spellStart"/>
      <w:r w:rsidRPr="008F29C5">
        <w:rPr>
          <w:color w:val="000000" w:themeColor="text1"/>
          <w:sz w:val="24"/>
          <w:lang w:val="nl-NL"/>
        </w:rPr>
        <w:t>ggo’s</w:t>
      </w:r>
      <w:proofErr w:type="spellEnd"/>
      <w:r w:rsidRPr="008F29C5">
        <w:rPr>
          <w:color w:val="000000" w:themeColor="text1"/>
          <w:sz w:val="24"/>
          <w:lang w:val="nl-NL"/>
        </w:rPr>
        <w:t>.</w:t>
      </w:r>
    </w:p>
  </w:footnote>
  <w:footnote w:id="6">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 </w:t>
      </w:r>
      <w:hyperlink r:id="rId4" w:tooltip="Biedt toegang tot dit document via de ELI-URI ervan." w:history="1">
        <w:r w:rsidRPr="008F29C5">
          <w:rPr>
            <w:rStyle w:val="Hyperlink"/>
            <w:sz w:val="24"/>
            <w:lang w:val="nl-NL"/>
          </w:rPr>
          <w:t>http://data.europa.eu/eli/reg_impl/2013/503/oj</w:t>
        </w:r>
      </w:hyperlink>
      <w:r w:rsidRPr="008F29C5">
        <w:rPr>
          <w:sz w:val="24"/>
          <w:lang w:val="nl-NL"/>
        </w:rPr>
        <w:t>).</w:t>
      </w:r>
    </w:p>
  </w:footnote>
  <w:footnote w:id="7">
    <w:p w:rsidR="009F05FE" w:rsidRPr="008F29C5" w:rsidRDefault="009F05FE" w:rsidP="008F29C5">
      <w:pPr>
        <w:pStyle w:val="FootnoteText"/>
        <w:ind w:left="567" w:hanging="567"/>
        <w:rPr>
          <w:sz w:val="24"/>
          <w:szCs w:val="22"/>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Zie bijvoorbeeld Schulz, R., </w:t>
      </w:r>
      <w:proofErr w:type="spellStart"/>
      <w:r w:rsidRPr="008F29C5">
        <w:rPr>
          <w:sz w:val="24"/>
          <w:lang w:val="nl-NL"/>
        </w:rPr>
        <w:t>Bub</w:t>
      </w:r>
      <w:proofErr w:type="spellEnd"/>
      <w:r w:rsidRPr="008F29C5">
        <w:rPr>
          <w:sz w:val="24"/>
          <w:lang w:val="nl-NL"/>
        </w:rPr>
        <w:t xml:space="preserve">, S., </w:t>
      </w:r>
      <w:proofErr w:type="spellStart"/>
      <w:r w:rsidRPr="008F29C5">
        <w:rPr>
          <w:sz w:val="24"/>
          <w:lang w:val="nl-NL"/>
        </w:rPr>
        <w:t>Petschick</w:t>
      </w:r>
      <w:proofErr w:type="spellEnd"/>
      <w:r w:rsidRPr="008F29C5">
        <w:rPr>
          <w:sz w:val="24"/>
          <w:lang w:val="nl-NL"/>
        </w:rPr>
        <w:t xml:space="preserve">, L.L., </w:t>
      </w:r>
      <w:proofErr w:type="spellStart"/>
      <w:r w:rsidRPr="008F29C5">
        <w:rPr>
          <w:sz w:val="24"/>
          <w:lang w:val="nl-NL"/>
        </w:rPr>
        <w:t>Stehle</w:t>
      </w:r>
      <w:proofErr w:type="spellEnd"/>
      <w:r w:rsidRPr="008F29C5">
        <w:rPr>
          <w:sz w:val="24"/>
          <w:lang w:val="nl-NL"/>
        </w:rPr>
        <w:t>, S., Wolfram, J. (2021) “</w:t>
      </w:r>
      <w:proofErr w:type="spellStart"/>
      <w:r w:rsidRPr="008F29C5">
        <w:rPr>
          <w:sz w:val="24"/>
          <w:lang w:val="nl-NL"/>
        </w:rPr>
        <w:t>Applied</w:t>
      </w:r>
      <w:proofErr w:type="spellEnd"/>
      <w:r w:rsidRPr="008F29C5">
        <w:rPr>
          <w:sz w:val="24"/>
          <w:lang w:val="nl-NL"/>
        </w:rPr>
        <w:t xml:space="preserve"> pesticide </w:t>
      </w:r>
      <w:proofErr w:type="spellStart"/>
      <w:r w:rsidRPr="008F29C5">
        <w:rPr>
          <w:sz w:val="24"/>
          <w:lang w:val="nl-NL"/>
        </w:rPr>
        <w:t>toxicity</w:t>
      </w:r>
      <w:proofErr w:type="spellEnd"/>
      <w:r w:rsidRPr="008F29C5">
        <w:rPr>
          <w:sz w:val="24"/>
          <w:lang w:val="nl-NL"/>
        </w:rPr>
        <w:t xml:space="preserve"> </w:t>
      </w:r>
      <w:proofErr w:type="spellStart"/>
      <w:r w:rsidRPr="008F29C5">
        <w:rPr>
          <w:sz w:val="24"/>
          <w:lang w:val="nl-NL"/>
        </w:rPr>
        <w:t>shifts</w:t>
      </w:r>
      <w:proofErr w:type="spellEnd"/>
      <w:r w:rsidRPr="008F29C5">
        <w:rPr>
          <w:sz w:val="24"/>
          <w:lang w:val="nl-NL"/>
        </w:rPr>
        <w:t xml:space="preserve"> </w:t>
      </w:r>
      <w:proofErr w:type="spellStart"/>
      <w:r w:rsidRPr="008F29C5">
        <w:rPr>
          <w:sz w:val="24"/>
          <w:lang w:val="nl-NL"/>
        </w:rPr>
        <w:t>toward</w:t>
      </w:r>
      <w:proofErr w:type="spellEnd"/>
      <w:r w:rsidRPr="008F29C5">
        <w:rPr>
          <w:sz w:val="24"/>
          <w:lang w:val="nl-NL"/>
        </w:rPr>
        <w:t xml:space="preserve"> </w:t>
      </w:r>
      <w:proofErr w:type="spellStart"/>
      <w:r w:rsidRPr="008F29C5">
        <w:rPr>
          <w:sz w:val="24"/>
          <w:lang w:val="nl-NL"/>
        </w:rPr>
        <w:t>plants</w:t>
      </w:r>
      <w:proofErr w:type="spellEnd"/>
      <w:r w:rsidRPr="008F29C5">
        <w:rPr>
          <w:sz w:val="24"/>
          <w:lang w:val="nl-NL"/>
        </w:rPr>
        <w:t xml:space="preserve"> </w:t>
      </w:r>
      <w:proofErr w:type="spellStart"/>
      <w:r w:rsidRPr="008F29C5">
        <w:rPr>
          <w:sz w:val="24"/>
          <w:lang w:val="nl-NL"/>
        </w:rPr>
        <w:t>and</w:t>
      </w:r>
      <w:proofErr w:type="spellEnd"/>
      <w:r w:rsidRPr="008F29C5">
        <w:rPr>
          <w:sz w:val="24"/>
          <w:lang w:val="nl-NL"/>
        </w:rPr>
        <w:t xml:space="preserve"> </w:t>
      </w:r>
      <w:proofErr w:type="spellStart"/>
      <w:r w:rsidRPr="008F29C5">
        <w:rPr>
          <w:sz w:val="24"/>
          <w:lang w:val="nl-NL"/>
        </w:rPr>
        <w:t>invertebrates</w:t>
      </w:r>
      <w:proofErr w:type="spellEnd"/>
      <w:r w:rsidRPr="008F29C5">
        <w:rPr>
          <w:sz w:val="24"/>
          <w:lang w:val="nl-NL"/>
        </w:rPr>
        <w:t xml:space="preserve">, even in GM </w:t>
      </w:r>
      <w:proofErr w:type="spellStart"/>
      <w:r w:rsidRPr="008F29C5">
        <w:rPr>
          <w:sz w:val="24"/>
          <w:lang w:val="nl-NL"/>
        </w:rPr>
        <w:t>crops</w:t>
      </w:r>
      <w:proofErr w:type="spellEnd"/>
      <w:r w:rsidRPr="008F29C5">
        <w:rPr>
          <w:sz w:val="24"/>
          <w:lang w:val="nl-NL"/>
        </w:rPr>
        <w:t xml:space="preserve">”, </w:t>
      </w:r>
      <w:proofErr w:type="spellStart"/>
      <w:r w:rsidRPr="008F29C5">
        <w:rPr>
          <w:sz w:val="24"/>
          <w:lang w:val="nl-NL"/>
        </w:rPr>
        <w:t>Science</w:t>
      </w:r>
      <w:proofErr w:type="spellEnd"/>
      <w:r w:rsidRPr="008F29C5">
        <w:rPr>
          <w:sz w:val="24"/>
          <w:lang w:val="nl-NL"/>
        </w:rPr>
        <w:t xml:space="preserve"> 372(6537), blz. 81-84, </w:t>
      </w:r>
      <w:hyperlink r:id="rId5" w:history="1">
        <w:r w:rsidRPr="008F29C5">
          <w:rPr>
            <w:rStyle w:val="Hyperlink"/>
            <w:sz w:val="24"/>
            <w:lang w:val="nl-NL"/>
          </w:rPr>
          <w:t>https://doi.org/10.1126/science.abe1148</w:t>
        </w:r>
      </w:hyperlink>
      <w:r w:rsidRPr="008F29C5">
        <w:rPr>
          <w:sz w:val="24"/>
          <w:lang w:val="nl-NL"/>
        </w:rPr>
        <w:t>; Bonny, S., “</w:t>
      </w:r>
      <w:proofErr w:type="spellStart"/>
      <w:r w:rsidRPr="008F29C5">
        <w:rPr>
          <w:sz w:val="24"/>
          <w:lang w:val="nl-NL"/>
        </w:rPr>
        <w:t>Genetically</w:t>
      </w:r>
      <w:proofErr w:type="spellEnd"/>
      <w:r w:rsidRPr="008F29C5">
        <w:rPr>
          <w:sz w:val="24"/>
          <w:lang w:val="nl-NL"/>
        </w:rPr>
        <w:t xml:space="preserve"> </w:t>
      </w:r>
      <w:proofErr w:type="spellStart"/>
      <w:r w:rsidRPr="008F29C5">
        <w:rPr>
          <w:sz w:val="24"/>
          <w:lang w:val="nl-NL"/>
        </w:rPr>
        <w:t>Modified</w:t>
      </w:r>
      <w:proofErr w:type="spellEnd"/>
      <w:r w:rsidRPr="008F29C5">
        <w:rPr>
          <w:sz w:val="24"/>
          <w:lang w:val="nl-NL"/>
        </w:rPr>
        <w:t xml:space="preserve"> Herbicide-Tolerant </w:t>
      </w:r>
      <w:proofErr w:type="spellStart"/>
      <w:r w:rsidRPr="008F29C5">
        <w:rPr>
          <w:sz w:val="24"/>
          <w:lang w:val="nl-NL"/>
        </w:rPr>
        <w:t>Crops</w:t>
      </w:r>
      <w:proofErr w:type="spellEnd"/>
      <w:r w:rsidRPr="008F29C5">
        <w:rPr>
          <w:sz w:val="24"/>
          <w:lang w:val="nl-NL"/>
        </w:rPr>
        <w:t xml:space="preserve">, </w:t>
      </w:r>
      <w:proofErr w:type="spellStart"/>
      <w:r w:rsidRPr="008F29C5">
        <w:rPr>
          <w:sz w:val="24"/>
          <w:lang w:val="nl-NL"/>
        </w:rPr>
        <w:t>Weeds</w:t>
      </w:r>
      <w:proofErr w:type="spellEnd"/>
      <w:r w:rsidRPr="008F29C5">
        <w:rPr>
          <w:sz w:val="24"/>
          <w:lang w:val="nl-NL"/>
        </w:rPr>
        <w:t xml:space="preserve">, </w:t>
      </w:r>
      <w:proofErr w:type="spellStart"/>
      <w:r w:rsidRPr="008F29C5">
        <w:rPr>
          <w:sz w:val="24"/>
          <w:lang w:val="nl-NL"/>
        </w:rPr>
        <w:t>and</w:t>
      </w:r>
      <w:proofErr w:type="spellEnd"/>
      <w:r w:rsidRPr="008F29C5">
        <w:rPr>
          <w:sz w:val="24"/>
          <w:lang w:val="nl-NL"/>
        </w:rPr>
        <w:t xml:space="preserve"> </w:t>
      </w:r>
      <w:proofErr w:type="spellStart"/>
      <w:r w:rsidRPr="008F29C5">
        <w:rPr>
          <w:sz w:val="24"/>
          <w:lang w:val="nl-NL"/>
        </w:rPr>
        <w:t>Herbicides</w:t>
      </w:r>
      <w:proofErr w:type="spellEnd"/>
      <w:r w:rsidRPr="008F29C5">
        <w:rPr>
          <w:sz w:val="24"/>
          <w:lang w:val="nl-NL"/>
        </w:rPr>
        <w:t xml:space="preserve">: </w:t>
      </w:r>
      <w:proofErr w:type="spellStart"/>
      <w:r w:rsidRPr="008F29C5">
        <w:rPr>
          <w:sz w:val="24"/>
          <w:lang w:val="nl-NL"/>
        </w:rPr>
        <w:t>Overview</w:t>
      </w:r>
      <w:proofErr w:type="spellEnd"/>
      <w:r w:rsidRPr="008F29C5">
        <w:rPr>
          <w:sz w:val="24"/>
          <w:lang w:val="nl-NL"/>
        </w:rPr>
        <w:t xml:space="preserve"> </w:t>
      </w:r>
      <w:proofErr w:type="spellStart"/>
      <w:r w:rsidRPr="008F29C5">
        <w:rPr>
          <w:sz w:val="24"/>
          <w:lang w:val="nl-NL"/>
        </w:rPr>
        <w:t>and</w:t>
      </w:r>
      <w:proofErr w:type="spellEnd"/>
      <w:r w:rsidRPr="008F29C5">
        <w:rPr>
          <w:sz w:val="24"/>
          <w:lang w:val="nl-NL"/>
        </w:rPr>
        <w:t xml:space="preserve"> Impact”, </w:t>
      </w:r>
      <w:proofErr w:type="spellStart"/>
      <w:r w:rsidRPr="008F29C5">
        <w:rPr>
          <w:sz w:val="24"/>
          <w:lang w:val="nl-NL"/>
        </w:rPr>
        <w:t>Environmental</w:t>
      </w:r>
      <w:proofErr w:type="spellEnd"/>
      <w:r w:rsidRPr="008F29C5">
        <w:rPr>
          <w:sz w:val="24"/>
          <w:lang w:val="nl-NL"/>
        </w:rPr>
        <w:t xml:space="preserve"> Management, januari 2016;57(1), blz. 31-48, </w:t>
      </w:r>
      <w:hyperlink r:id="rId6" w:history="1">
        <w:r w:rsidRPr="008F29C5">
          <w:rPr>
            <w:rStyle w:val="Hyperlink"/>
            <w:sz w:val="24"/>
            <w:lang w:val="nl-NL"/>
          </w:rPr>
          <w:t>https://www.ncbi.nlm.nih.gov/pubmed/26296738</w:t>
        </w:r>
      </w:hyperlink>
      <w:r w:rsidRPr="008F29C5">
        <w:rPr>
          <w:sz w:val="24"/>
          <w:lang w:val="nl-NL"/>
        </w:rPr>
        <w:t xml:space="preserve">; en </w:t>
      </w:r>
      <w:proofErr w:type="spellStart"/>
      <w:r w:rsidRPr="008F29C5">
        <w:rPr>
          <w:sz w:val="24"/>
          <w:lang w:val="nl-NL"/>
        </w:rPr>
        <w:t>Benbrook</w:t>
      </w:r>
      <w:proofErr w:type="spellEnd"/>
      <w:r w:rsidRPr="008F29C5">
        <w:rPr>
          <w:sz w:val="24"/>
          <w:lang w:val="nl-NL"/>
        </w:rPr>
        <w:t xml:space="preserve">, C.M., “Impacts of </w:t>
      </w:r>
      <w:proofErr w:type="spellStart"/>
      <w:r w:rsidRPr="008F29C5">
        <w:rPr>
          <w:sz w:val="24"/>
          <w:lang w:val="nl-NL"/>
        </w:rPr>
        <w:t>genetically</w:t>
      </w:r>
      <w:proofErr w:type="spellEnd"/>
      <w:r w:rsidRPr="008F29C5">
        <w:rPr>
          <w:sz w:val="24"/>
          <w:lang w:val="nl-NL"/>
        </w:rPr>
        <w:t xml:space="preserve"> </w:t>
      </w:r>
      <w:proofErr w:type="spellStart"/>
      <w:r w:rsidRPr="008F29C5">
        <w:rPr>
          <w:sz w:val="24"/>
          <w:lang w:val="nl-NL"/>
        </w:rPr>
        <w:t>engineered</w:t>
      </w:r>
      <w:proofErr w:type="spellEnd"/>
      <w:r w:rsidRPr="008F29C5">
        <w:rPr>
          <w:sz w:val="24"/>
          <w:lang w:val="nl-NL"/>
        </w:rPr>
        <w:t xml:space="preserve"> </w:t>
      </w:r>
      <w:proofErr w:type="spellStart"/>
      <w:r w:rsidRPr="008F29C5">
        <w:rPr>
          <w:sz w:val="24"/>
          <w:lang w:val="nl-NL"/>
        </w:rPr>
        <w:t>crops</w:t>
      </w:r>
      <w:proofErr w:type="spellEnd"/>
      <w:r w:rsidRPr="008F29C5">
        <w:rPr>
          <w:sz w:val="24"/>
          <w:lang w:val="nl-NL"/>
        </w:rPr>
        <w:t xml:space="preserve"> on pesticide </w:t>
      </w:r>
      <w:proofErr w:type="spellStart"/>
      <w:r w:rsidRPr="008F29C5">
        <w:rPr>
          <w:sz w:val="24"/>
          <w:lang w:val="nl-NL"/>
        </w:rPr>
        <w:t>use</w:t>
      </w:r>
      <w:proofErr w:type="spellEnd"/>
      <w:r w:rsidRPr="008F29C5">
        <w:rPr>
          <w:sz w:val="24"/>
          <w:lang w:val="nl-NL"/>
        </w:rPr>
        <w:t xml:space="preserve"> in </w:t>
      </w:r>
      <w:proofErr w:type="spellStart"/>
      <w:r w:rsidRPr="008F29C5">
        <w:rPr>
          <w:sz w:val="24"/>
          <w:lang w:val="nl-NL"/>
        </w:rPr>
        <w:t>the</w:t>
      </w:r>
      <w:proofErr w:type="spellEnd"/>
      <w:r w:rsidRPr="008F29C5">
        <w:rPr>
          <w:sz w:val="24"/>
          <w:lang w:val="nl-NL"/>
        </w:rPr>
        <w:t xml:space="preserve"> U.S. – </w:t>
      </w:r>
      <w:proofErr w:type="spellStart"/>
      <w:r w:rsidRPr="008F29C5">
        <w:rPr>
          <w:sz w:val="24"/>
          <w:lang w:val="nl-NL"/>
        </w:rPr>
        <w:t>the</w:t>
      </w:r>
      <w:proofErr w:type="spellEnd"/>
      <w:r w:rsidRPr="008F29C5">
        <w:rPr>
          <w:sz w:val="24"/>
          <w:lang w:val="nl-NL"/>
        </w:rPr>
        <w:t xml:space="preserve"> first </w:t>
      </w:r>
      <w:proofErr w:type="spellStart"/>
      <w:r w:rsidRPr="008F29C5">
        <w:rPr>
          <w:sz w:val="24"/>
          <w:lang w:val="nl-NL"/>
        </w:rPr>
        <w:t>sixteen</w:t>
      </w:r>
      <w:proofErr w:type="spellEnd"/>
      <w:r w:rsidRPr="008F29C5">
        <w:rPr>
          <w:sz w:val="24"/>
          <w:lang w:val="nl-NL"/>
        </w:rPr>
        <w:t xml:space="preserve"> </w:t>
      </w:r>
      <w:proofErr w:type="spellStart"/>
      <w:r w:rsidRPr="008F29C5">
        <w:rPr>
          <w:sz w:val="24"/>
          <w:lang w:val="nl-NL"/>
        </w:rPr>
        <w:t>years</w:t>
      </w:r>
      <w:proofErr w:type="spellEnd"/>
      <w:r w:rsidRPr="008F29C5">
        <w:rPr>
          <w:sz w:val="24"/>
          <w:lang w:val="nl-NL"/>
        </w:rPr>
        <w:t xml:space="preserve">”, </w:t>
      </w:r>
      <w:proofErr w:type="spellStart"/>
      <w:r w:rsidRPr="008F29C5">
        <w:rPr>
          <w:sz w:val="24"/>
          <w:lang w:val="nl-NL"/>
        </w:rPr>
        <w:t>Environmental</w:t>
      </w:r>
      <w:proofErr w:type="spellEnd"/>
      <w:r w:rsidRPr="008F29C5">
        <w:rPr>
          <w:sz w:val="24"/>
          <w:lang w:val="nl-NL"/>
        </w:rPr>
        <w:t xml:space="preserve"> Sciences Europe, 28 september 2012, vol. 24(1), </w:t>
      </w:r>
      <w:hyperlink r:id="rId7" w:history="1">
        <w:r w:rsidRPr="008F29C5">
          <w:rPr>
            <w:rStyle w:val="Hyperlink"/>
            <w:sz w:val="24"/>
            <w:lang w:val="nl-NL"/>
          </w:rPr>
          <w:t>https://enveurope.springeropen.com/articles/10.1186/2190-4715-24-24</w:t>
        </w:r>
      </w:hyperlink>
      <w:r w:rsidRPr="008F29C5">
        <w:rPr>
          <w:sz w:val="24"/>
          <w:lang w:val="nl-NL"/>
        </w:rPr>
        <w:t>.</w:t>
      </w:r>
    </w:p>
  </w:footnote>
  <w:footnote w:id="8">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Verordening (EG) nr. 1107/2009 van het Europees Parlement en de Raad van 21 oktober 2009 betreffende het op de markt brengen van gewasbeschermingsmiddelen en tot intrekking van de Richtlijnen 79/117/EEG en 91/414/EEG van de Raad (PB L 309 van 24.11.2009, blz. 1, ELI: </w:t>
      </w:r>
      <w:hyperlink r:id="rId8" w:tooltip="Biedt toegang tot dit document via de ELI-URI ervan." w:history="1">
        <w:r w:rsidRPr="008F29C5">
          <w:rPr>
            <w:rStyle w:val="Hyperlink"/>
            <w:sz w:val="24"/>
            <w:lang w:val="nl-NL"/>
          </w:rPr>
          <w:t>http://data.europa.eu/eli/reg/2009/1107/oj</w:t>
        </w:r>
      </w:hyperlink>
      <w:r w:rsidRPr="008F29C5">
        <w:rPr>
          <w:sz w:val="24"/>
          <w:lang w:val="nl-NL"/>
        </w:rPr>
        <w:t>).</w:t>
      </w:r>
    </w:p>
  </w:footnote>
  <w:footnote w:id="9">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hyperlink r:id="rId9" w:history="1">
        <w:r w:rsidRPr="008F29C5">
          <w:rPr>
            <w:rStyle w:val="Hyperlink"/>
            <w:sz w:val="24"/>
            <w:lang w:val="nl-NL"/>
          </w:rPr>
          <w:t>https://efsa.onlinelibrary.wiley.com/action/downloadSupplement?doi=10.2903%‌2Fj.efsa.2024.8655&amp;file=efs28655-sup-0008-Annex8.pdf</w:t>
        </w:r>
      </w:hyperlink>
      <w:r w:rsidRPr="008F29C5">
        <w:rPr>
          <w:sz w:val="24"/>
          <w:lang w:val="nl-NL"/>
        </w:rPr>
        <w:t>.</w:t>
      </w:r>
    </w:p>
  </w:footnote>
  <w:footnote w:id="10">
    <w:p w:rsidR="009F05FE" w:rsidRPr="00655876" w:rsidRDefault="009F05FE" w:rsidP="008F29C5">
      <w:pPr>
        <w:pStyle w:val="FootnoteText"/>
        <w:ind w:left="567" w:hanging="567"/>
        <w:rPr>
          <w:sz w:val="24"/>
          <w:lang w:val="en-GB"/>
        </w:rPr>
      </w:pPr>
      <w:r w:rsidRPr="008F29C5">
        <w:rPr>
          <w:rStyle w:val="FootnoteReference"/>
          <w:sz w:val="24"/>
          <w:lang w:val="nl-NL"/>
        </w:rPr>
        <w:footnoteRef/>
      </w:r>
      <w:r w:rsidR="008F29C5" w:rsidRPr="00655876">
        <w:rPr>
          <w:sz w:val="24"/>
          <w:lang w:val="en-GB"/>
        </w:rPr>
        <w:tab/>
      </w:r>
      <w:r w:rsidRPr="00655876">
        <w:rPr>
          <w:sz w:val="24"/>
          <w:lang w:val="en-GB"/>
        </w:rPr>
        <w:t xml:space="preserve">Strategic Dialogue on the Future of EU Agriculture – A shared prospect for farming and food in Europe, </w:t>
      </w:r>
      <w:proofErr w:type="spellStart"/>
      <w:proofErr w:type="gramStart"/>
      <w:r w:rsidRPr="00655876">
        <w:rPr>
          <w:sz w:val="24"/>
          <w:lang w:val="en-GB"/>
        </w:rPr>
        <w:t>september</w:t>
      </w:r>
      <w:proofErr w:type="spellEnd"/>
      <w:proofErr w:type="gramEnd"/>
      <w:r w:rsidRPr="00655876">
        <w:rPr>
          <w:sz w:val="24"/>
          <w:lang w:val="en-GB"/>
        </w:rPr>
        <w:t xml:space="preserve"> 2024, </w:t>
      </w:r>
      <w:hyperlink r:id="rId10" w:history="1">
        <w:r w:rsidRPr="00655876">
          <w:rPr>
            <w:rStyle w:val="Hyperlink"/>
            <w:sz w:val="24"/>
            <w:lang w:val="en-GB"/>
          </w:rPr>
          <w:t>https://agriculture.ec.europa.eu/document/download/171329ff-0f50-4fa5-946f-aea11032172e_en?filename=strategic-dialogue-report-2024_en.pdf</w:t>
        </w:r>
      </w:hyperlink>
      <w:r w:rsidRPr="00655876">
        <w:rPr>
          <w:sz w:val="24"/>
          <w:lang w:val="en-GB"/>
        </w:rPr>
        <w:t>.</w:t>
      </w:r>
    </w:p>
  </w:footnote>
  <w:footnote w:id="11">
    <w:p w:rsidR="009F05FE" w:rsidRPr="00655876" w:rsidRDefault="009F05FE" w:rsidP="008F29C5">
      <w:pPr>
        <w:pStyle w:val="FootnoteText"/>
        <w:ind w:left="567" w:hanging="567"/>
        <w:rPr>
          <w:sz w:val="24"/>
          <w:szCs w:val="22"/>
          <w:lang w:val="en-GB"/>
        </w:rPr>
      </w:pPr>
      <w:r w:rsidRPr="008F29C5">
        <w:rPr>
          <w:rStyle w:val="FootnoteReference"/>
          <w:sz w:val="24"/>
          <w:lang w:val="nl-NL"/>
        </w:rPr>
        <w:footnoteRef/>
      </w:r>
      <w:r w:rsidR="008F29C5" w:rsidRPr="00655876">
        <w:rPr>
          <w:sz w:val="24"/>
          <w:lang w:val="en-GB"/>
        </w:rPr>
        <w:tab/>
      </w:r>
      <w:hyperlink r:id="rId11" w:history="1">
        <w:r w:rsidRPr="00655876">
          <w:rPr>
            <w:rStyle w:val="Hyperlink"/>
            <w:sz w:val="24"/>
            <w:lang w:val="en-GB"/>
          </w:rPr>
          <w:t>https://www.ohchr.org/en/documents/thematic-reports/ahrc3448-report-special-rapporteur-right-food</w:t>
        </w:r>
      </w:hyperlink>
      <w:r w:rsidRPr="00655876">
        <w:rPr>
          <w:sz w:val="24"/>
          <w:lang w:val="en-GB"/>
        </w:rPr>
        <w:t>.</w:t>
      </w:r>
    </w:p>
  </w:footnote>
  <w:footnote w:id="12">
    <w:p w:rsidR="009F05FE" w:rsidRPr="00655876" w:rsidRDefault="009F05FE" w:rsidP="008F29C5">
      <w:pPr>
        <w:pStyle w:val="FootnoteText"/>
        <w:ind w:left="567" w:hanging="567"/>
        <w:rPr>
          <w:sz w:val="24"/>
          <w:lang w:val="en-GB"/>
        </w:rPr>
      </w:pPr>
      <w:r w:rsidRPr="008F29C5">
        <w:rPr>
          <w:rStyle w:val="FootnoteReference"/>
          <w:sz w:val="24"/>
          <w:lang w:val="nl-NL"/>
        </w:rPr>
        <w:footnoteRef/>
      </w:r>
      <w:r w:rsidR="008F29C5" w:rsidRPr="00655876">
        <w:rPr>
          <w:sz w:val="24"/>
          <w:lang w:val="en-GB"/>
        </w:rPr>
        <w:tab/>
      </w:r>
      <w:hyperlink r:id="rId12" w:history="1">
        <w:r w:rsidRPr="00655876">
          <w:rPr>
            <w:rStyle w:val="Hyperlink"/>
            <w:sz w:val="24"/>
            <w:lang w:val="en-GB"/>
          </w:rPr>
          <w:t>https://indicators.report/targets/3-9/</w:t>
        </w:r>
      </w:hyperlink>
      <w:r w:rsidRPr="00655876">
        <w:rPr>
          <w:sz w:val="24"/>
          <w:lang w:val="en-GB"/>
        </w:rPr>
        <w:t>.</w:t>
      </w:r>
    </w:p>
  </w:footnote>
  <w:footnote w:id="13">
    <w:p w:rsidR="009F05FE" w:rsidRPr="00655876" w:rsidRDefault="009F05FE" w:rsidP="008F29C5">
      <w:pPr>
        <w:pStyle w:val="FootnoteText"/>
        <w:ind w:left="567" w:hanging="567"/>
        <w:rPr>
          <w:sz w:val="24"/>
          <w:lang w:val="en-GB"/>
        </w:rPr>
      </w:pPr>
      <w:r w:rsidRPr="008F29C5">
        <w:rPr>
          <w:rStyle w:val="FootnoteReference"/>
          <w:sz w:val="24"/>
          <w:lang w:val="nl-NL"/>
        </w:rPr>
        <w:footnoteRef/>
      </w:r>
      <w:r w:rsidR="008F29C5" w:rsidRPr="00655876">
        <w:rPr>
          <w:sz w:val="24"/>
          <w:lang w:val="en-GB"/>
        </w:rPr>
        <w:tab/>
      </w:r>
      <w:proofErr w:type="spellStart"/>
      <w:proofErr w:type="gramStart"/>
      <w:r w:rsidRPr="00655876">
        <w:rPr>
          <w:sz w:val="24"/>
          <w:lang w:val="en-GB"/>
        </w:rPr>
        <w:t>zie</w:t>
      </w:r>
      <w:proofErr w:type="spellEnd"/>
      <w:proofErr w:type="gramEnd"/>
      <w:r w:rsidRPr="00655876">
        <w:rPr>
          <w:sz w:val="24"/>
          <w:lang w:val="en-GB"/>
        </w:rPr>
        <w:t xml:space="preserve">: </w:t>
      </w:r>
      <w:hyperlink r:id="rId13" w:history="1">
        <w:r w:rsidRPr="00655876">
          <w:rPr>
            <w:rStyle w:val="Hyperlink"/>
            <w:sz w:val="24"/>
            <w:lang w:val="en-GB"/>
          </w:rPr>
          <w:t>https://ec.europa.eu/commission/presscorner/detail/nl/ip_22_7834</w:t>
        </w:r>
      </w:hyperlink>
      <w:r w:rsidRPr="00655876">
        <w:rPr>
          <w:sz w:val="24"/>
          <w:lang w:val="en-GB"/>
        </w:rPr>
        <w:t>.</w:t>
      </w:r>
    </w:p>
  </w:footnote>
  <w:footnote w:id="14">
    <w:p w:rsidR="009F05FE" w:rsidRPr="00655876" w:rsidRDefault="009F05FE" w:rsidP="008F29C5">
      <w:pPr>
        <w:pStyle w:val="FootnoteText"/>
        <w:ind w:left="567" w:hanging="567"/>
        <w:rPr>
          <w:sz w:val="24"/>
          <w:lang w:val="en-GB"/>
        </w:rPr>
      </w:pPr>
      <w:r w:rsidRPr="008F29C5">
        <w:rPr>
          <w:rStyle w:val="FootnoteReference"/>
          <w:sz w:val="24"/>
          <w:lang w:val="nl-NL"/>
        </w:rPr>
        <w:footnoteRef/>
      </w:r>
      <w:r w:rsidR="008F29C5" w:rsidRPr="00655876">
        <w:rPr>
          <w:sz w:val="24"/>
          <w:lang w:val="en-GB"/>
        </w:rPr>
        <w:tab/>
      </w:r>
      <w:hyperlink r:id="rId14" w:history="1">
        <w:r w:rsidRPr="00655876">
          <w:rPr>
            <w:rStyle w:val="Hyperlink"/>
            <w:sz w:val="24"/>
            <w:lang w:val="en-GB"/>
          </w:rPr>
          <w:t>https://commission.europa.eu/document/2c64e540-c07a-4376-a1da-368d289f4afe_en</w:t>
        </w:r>
      </w:hyperlink>
      <w:r w:rsidRPr="00655876">
        <w:rPr>
          <w:sz w:val="24"/>
          <w:lang w:val="en-GB"/>
        </w:rPr>
        <w:t>.</w:t>
      </w:r>
    </w:p>
  </w:footnote>
  <w:footnote w:id="15">
    <w:p w:rsidR="009F05FE" w:rsidRPr="008F29C5" w:rsidRDefault="009F05FE" w:rsidP="008F29C5">
      <w:pPr>
        <w:pStyle w:val="FootnoteText"/>
        <w:ind w:left="567" w:hanging="567"/>
        <w:rPr>
          <w:sz w:val="24"/>
          <w:szCs w:val="22"/>
          <w:lang w:val="nl-NL"/>
        </w:rPr>
      </w:pPr>
      <w:r w:rsidRPr="008F29C5">
        <w:rPr>
          <w:rStyle w:val="FootnoteReference"/>
          <w:sz w:val="24"/>
          <w:lang w:val="nl-NL"/>
        </w:rPr>
        <w:footnoteRef/>
      </w:r>
      <w:r w:rsidR="008F29C5" w:rsidRPr="008F29C5">
        <w:rPr>
          <w:sz w:val="24"/>
          <w:lang w:val="nl-NL"/>
        </w:rPr>
        <w:tab/>
      </w:r>
      <w:r w:rsidRPr="008F29C5">
        <w:rPr>
          <w:sz w:val="24"/>
          <w:lang w:val="nl-NL"/>
        </w:rPr>
        <w:t>Overeenkomstig artikel 6, lid 3, van Verordening (EU)</w:t>
      </w:r>
      <w:r w:rsidR="00530985">
        <w:rPr>
          <w:sz w:val="24"/>
          <w:lang w:val="nl-NL"/>
        </w:rPr>
        <w:t xml:space="preserve"> nr.</w:t>
      </w:r>
      <w:r w:rsidRPr="008F29C5">
        <w:rPr>
          <w:sz w:val="24"/>
          <w:lang w:val="nl-NL"/>
        </w:rPr>
        <w:t> 182/2011 “kan” de Commissie de vergunning alsnog verlenen indien in het comité van beroep geen steun van een gekwalificeerde meerderheid van de lidstaten is gevonden. Zij hoeft dit niet te doen.</w:t>
      </w:r>
    </w:p>
  </w:footnote>
  <w:footnote w:id="16">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5" w:tooltip="Biedt toegang tot dit document via de ELI-URI ervan." w:history="1">
        <w:r w:rsidRPr="008F29C5">
          <w:rPr>
            <w:rStyle w:val="Hyperlink"/>
            <w:sz w:val="24"/>
            <w:lang w:val="nl-NL"/>
          </w:rPr>
          <w:t>http://data.europa.eu/eli/reg/2002/178/oj</w:t>
        </w:r>
      </w:hyperlink>
      <w:r w:rsidRPr="008F29C5">
        <w:rPr>
          <w:sz w:val="24"/>
          <w:lang w:val="nl-NL"/>
        </w:rPr>
        <w:t>).</w:t>
      </w:r>
    </w:p>
  </w:footnote>
  <w:footnote w:id="17">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In december 2022 is tijdens de COP15 van het VBD van de VN een mondiaal kader voor biodiversiteit overeengekomen dat een mondiale doelstelling omvat om het risico van pesticiden tegen 2030 met ten minste 50 % te verminderen (zie: </w:t>
      </w:r>
      <w:hyperlink r:id="rId16" w:history="1">
        <w:r w:rsidRPr="008F29C5">
          <w:rPr>
            <w:rStyle w:val="Hyperlink"/>
            <w:sz w:val="24"/>
            <w:lang w:val="nl-NL"/>
          </w:rPr>
          <w:t>https://ec.europa.eu/commission/presscorner/detail/nl/ip_22_7834</w:t>
        </w:r>
      </w:hyperlink>
      <w:r w:rsidRPr="008F29C5">
        <w:rPr>
          <w:sz w:val="24"/>
          <w:lang w:val="nl-NL"/>
        </w:rPr>
        <w:t>).</w:t>
      </w:r>
    </w:p>
  </w:footnote>
  <w:footnote w:id="18">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r w:rsidRPr="008F29C5">
        <w:rPr>
          <w:sz w:val="24"/>
          <w:lang w:val="nl-NL"/>
        </w:rPr>
        <w:t xml:space="preserve">Zoals uiteengezet in de bijlage bij de mededeling van de Commissie van 14 oktober 2020 getiteld “Strategie voor duurzame chemische stoffen – Op weg naar een gifvrij milieu”, (COM(2020)0667), </w:t>
      </w:r>
      <w:hyperlink r:id="rId17" w:anchor="document2" w:history="1">
        <w:r w:rsidRPr="008F29C5">
          <w:rPr>
            <w:rStyle w:val="Hyperlink"/>
            <w:sz w:val="24"/>
            <w:lang w:val="nl-NL"/>
          </w:rPr>
          <w:t>https://eur-lex.europa.eu/legal-content/NL/TXT/?uri=COM%3A2020%3A667%3AFIN#document2</w:t>
        </w:r>
      </w:hyperlink>
      <w:r w:rsidRPr="008F29C5">
        <w:rPr>
          <w:sz w:val="24"/>
          <w:lang w:val="nl-NL"/>
        </w:rPr>
        <w:t>.</w:t>
      </w:r>
    </w:p>
  </w:footnote>
  <w:footnote w:id="19">
    <w:p w:rsidR="009F05FE" w:rsidRPr="008F29C5" w:rsidRDefault="009F05FE" w:rsidP="008F29C5">
      <w:pPr>
        <w:pStyle w:val="FootnoteText"/>
        <w:ind w:left="567" w:hanging="567"/>
        <w:rPr>
          <w:sz w:val="24"/>
          <w:lang w:val="nl-NL"/>
        </w:rPr>
      </w:pPr>
      <w:r w:rsidRPr="008F29C5">
        <w:rPr>
          <w:rStyle w:val="FootnoteReference"/>
          <w:sz w:val="24"/>
          <w:lang w:val="nl-NL"/>
        </w:rPr>
        <w:footnoteRef/>
      </w:r>
      <w:r w:rsidR="008F29C5" w:rsidRPr="008F29C5">
        <w:rPr>
          <w:sz w:val="24"/>
          <w:lang w:val="nl-NL"/>
        </w:rPr>
        <w:tab/>
      </w:r>
      <w:hyperlink r:id="rId18" w:history="1">
        <w:r w:rsidRPr="008F29C5">
          <w:rPr>
            <w:rStyle w:val="Hyperlink"/>
            <w:sz w:val="24"/>
            <w:lang w:val="nl-NL"/>
          </w:rPr>
          <w:t>https://tillymetz.lu/wp-content/uploads/2020/09/Co-signed-letter-MEP-Metz.pdf</w:t>
        </w:r>
      </w:hyperlink>
      <w:r w:rsidRPr="008F29C5">
        <w:rPr>
          <w:sz w:val="24"/>
          <w:lang w:val="nl-NL"/>
        </w:rPr>
        <w:t>.</w:t>
      </w:r>
    </w:p>
  </w:footnote>
  <w:footnote w:id="20">
    <w:p w:rsidR="009F05FE" w:rsidRPr="008F29C5" w:rsidRDefault="009F05FE" w:rsidP="008F29C5">
      <w:pPr>
        <w:pStyle w:val="FootnoteText"/>
        <w:ind w:left="567" w:hanging="567"/>
        <w:rPr>
          <w:sz w:val="24"/>
          <w:szCs w:val="22"/>
          <w:lang w:val="nl-NL"/>
        </w:rPr>
      </w:pPr>
      <w:r w:rsidRPr="008F29C5">
        <w:rPr>
          <w:rStyle w:val="FootnoteReference"/>
          <w:sz w:val="24"/>
          <w:lang w:val="nl-NL"/>
        </w:rPr>
        <w:footnoteRef/>
      </w:r>
      <w:r w:rsidR="008F29C5" w:rsidRPr="008F29C5">
        <w:rPr>
          <w:sz w:val="24"/>
          <w:lang w:val="nl-NL"/>
        </w:rPr>
        <w:tab/>
      </w:r>
      <w:r w:rsidRPr="008F29C5">
        <w:rPr>
          <w:sz w:val="24"/>
          <w:lang w:val="nl-NL"/>
        </w:rPr>
        <w:t>Resolutie van het Europees Parlement van 15 januari 2020 over d</w:t>
      </w:r>
      <w:r w:rsidR="00530985">
        <w:rPr>
          <w:sz w:val="24"/>
          <w:lang w:val="nl-NL"/>
        </w:rPr>
        <w:t>e Europese Green Deal (PB C 270</w:t>
      </w:r>
      <w:r w:rsidRPr="008F29C5">
        <w:rPr>
          <w:sz w:val="24"/>
          <w:lang w:val="nl-NL"/>
        </w:rPr>
        <w:t xml:space="preserve"> van 7.7.2021, blz. 2), paragraaf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NL"/>
    <w:docVar w:name="dvnumam" w:val="0"/>
    <w:docVar w:name="dvpe" w:val="763.293"/>
    <w:docVar w:name="dvtitre" w:val="Resolutie van het Europees Parlement van xx november 2024 over het ontwerp van uitvoeringsbesluit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D098501/04 – 2024/2837(RSP))"/>
  </w:docVars>
  <w:rsids>
    <w:rsidRoot w:val="004A6F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F11"/>
    <w:rsid w:val="004C0004"/>
    <w:rsid w:val="004C5D52"/>
    <w:rsid w:val="0050519A"/>
    <w:rsid w:val="005072A1"/>
    <w:rsid w:val="00514517"/>
    <w:rsid w:val="00530985"/>
    <w:rsid w:val="00545827"/>
    <w:rsid w:val="00560270"/>
    <w:rsid w:val="005B44B8"/>
    <w:rsid w:val="005C2568"/>
    <w:rsid w:val="005F1B17"/>
    <w:rsid w:val="006037C0"/>
    <w:rsid w:val="00655876"/>
    <w:rsid w:val="006631B6"/>
    <w:rsid w:val="00680577"/>
    <w:rsid w:val="006F74FA"/>
    <w:rsid w:val="00731ADD"/>
    <w:rsid w:val="00734777"/>
    <w:rsid w:val="00747932"/>
    <w:rsid w:val="00751A4A"/>
    <w:rsid w:val="00756632"/>
    <w:rsid w:val="00762C74"/>
    <w:rsid w:val="00786EC0"/>
    <w:rsid w:val="007A6ABA"/>
    <w:rsid w:val="007D1690"/>
    <w:rsid w:val="007E22AD"/>
    <w:rsid w:val="007F72E5"/>
    <w:rsid w:val="00817416"/>
    <w:rsid w:val="00832797"/>
    <w:rsid w:val="00842779"/>
    <w:rsid w:val="00865F67"/>
    <w:rsid w:val="00881A7B"/>
    <w:rsid w:val="008840E5"/>
    <w:rsid w:val="00887B3E"/>
    <w:rsid w:val="008C2AC6"/>
    <w:rsid w:val="008F29C5"/>
    <w:rsid w:val="00930C23"/>
    <w:rsid w:val="0093193B"/>
    <w:rsid w:val="009509D8"/>
    <w:rsid w:val="00950B64"/>
    <w:rsid w:val="00981893"/>
    <w:rsid w:val="009F05FE"/>
    <w:rsid w:val="00A1687D"/>
    <w:rsid w:val="00A43E52"/>
    <w:rsid w:val="00A4678D"/>
    <w:rsid w:val="00A778C7"/>
    <w:rsid w:val="00AB441E"/>
    <w:rsid w:val="00AB6293"/>
    <w:rsid w:val="00AE0928"/>
    <w:rsid w:val="00AF3B82"/>
    <w:rsid w:val="00B00CB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6A6"/>
    <w:rsid w:val="00E365E1"/>
    <w:rsid w:val="00E820A4"/>
    <w:rsid w:val="00E93B7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524D5"/>
  <w15:chartTrackingRefBased/>
  <w15:docId w15:val="{EDDC7D91-784D-4978-BE56-CC264718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05FE"/>
    <w:pPr>
      <w:spacing w:before="480" w:after="240"/>
    </w:pPr>
  </w:style>
  <w:style w:type="paragraph" w:customStyle="1" w:styleId="NormalHanging12a">
    <w:name w:val="NormalHanging12a"/>
    <w:basedOn w:val="Normal"/>
    <w:rsid w:val="009F05FE"/>
    <w:pPr>
      <w:spacing w:after="240"/>
      <w:ind w:left="567" w:hanging="567"/>
    </w:pPr>
  </w:style>
  <w:style w:type="character" w:styleId="Hyperlink">
    <w:name w:val="Hyperlink"/>
    <w:basedOn w:val="DefaultParagraphFont"/>
    <w:uiPriority w:val="99"/>
    <w:rsid w:val="009F05FE"/>
    <w:rPr>
      <w:color w:val="0563C1" w:themeColor="hyperlink"/>
      <w:u w:val="single"/>
    </w:rPr>
  </w:style>
  <w:style w:type="paragraph" w:styleId="BalloonText">
    <w:name w:val="Balloon Text"/>
    <w:basedOn w:val="Normal"/>
    <w:link w:val="BalloonTextChar"/>
    <w:rsid w:val="00655876"/>
    <w:rPr>
      <w:rFonts w:ascii="Segoe UI" w:hAnsi="Segoe UI" w:cs="Segoe UI"/>
      <w:sz w:val="18"/>
      <w:szCs w:val="18"/>
    </w:rPr>
  </w:style>
  <w:style w:type="character" w:customStyle="1" w:styleId="BalloonTextChar">
    <w:name w:val="Balloon Text Char"/>
    <w:basedOn w:val="DefaultParagraphFont"/>
    <w:link w:val="BalloonText"/>
    <w:rsid w:val="0065587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nl/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NL/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nl/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C5C19-BB2A-48C9-BD45-A434A7692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2061</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SWINNEN Hilde Maria Pia Lutgarde</cp:lastModifiedBy>
  <cp:revision>2</cp:revision>
  <cp:lastPrinted>2004-11-19T15:42:00Z</cp:lastPrinted>
  <dcterms:created xsi:type="dcterms:W3CDTF">2025-01-06T10:43:00Z</dcterms:created>
  <dcterms:modified xsi:type="dcterms:W3CDTF">2025-01-06T10:43:00Z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B10-0152/2024</vt:lpwstr>
  </property>
  <property fmtid="{D5CDD505-2E9C-101B-9397-08002B2CF9AE}" pid="4" name="&lt;Type&gt;">
    <vt:lpwstr>RR</vt:lpwstr>
  </property>
</Properties>
</file>