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1609B0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1609B0" w:rsidRDefault="00234ED3">
            <w:pPr>
              <w:pStyle w:val="EPName"/>
            </w:pPr>
            <w:r>
              <w:t>Európsky parlament</w:t>
            </w:r>
          </w:p>
          <w:p w:rsidR="001609B0" w:rsidRDefault="00234ED3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:rsidR="001609B0" w:rsidRDefault="00234ED3"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609B0" w:rsidRDefault="001609B0">
      <w:pPr>
        <w:pStyle w:val="LineTop"/>
      </w:pPr>
    </w:p>
    <w:p w:rsidR="001609B0" w:rsidRDefault="00234ED3">
      <w:pPr>
        <w:pStyle w:val="EPBodyTA1"/>
      </w:pPr>
      <w:r>
        <w:t>PRIJATÉ TEXTY</w:t>
      </w:r>
    </w:p>
    <w:p w:rsidR="001609B0" w:rsidRDefault="001609B0">
      <w:pPr>
        <w:pStyle w:val="LineBottom"/>
      </w:pPr>
    </w:p>
    <w:p w:rsidR="001609B0" w:rsidRDefault="00234ED3">
      <w:pPr>
        <w:pStyle w:val="ATHeading1"/>
      </w:pPr>
      <w:bookmarkStart w:id="0" w:name="TANumber"/>
      <w:r>
        <w:t>P10_TA(2024)0044</w:t>
      </w:r>
      <w:bookmarkEnd w:id="0"/>
    </w:p>
    <w:p w:rsidR="001609B0" w:rsidRDefault="00234ED3">
      <w:pPr>
        <w:pStyle w:val="ATHeading2"/>
      </w:pPr>
      <w:bookmarkStart w:id="1" w:name="title"/>
      <w:r>
        <w:t>Geneticky modifikovaná kukurica DP202216</w:t>
      </w:r>
      <w:bookmarkEnd w:id="1"/>
    </w:p>
    <w:p w:rsidR="001609B0" w:rsidRDefault="00234ED3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B10-0152/2024</w:instrText>
      </w:r>
      <w:bookmarkEnd w:id="2"/>
      <w:r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1609B0" w:rsidRDefault="00234ED3">
      <w:pPr>
        <w:rPr>
          <w:vanish/>
        </w:rPr>
      </w:pPr>
      <w:bookmarkStart w:id="3" w:name="PE"/>
      <w:r>
        <w:rPr>
          <w:vanish/>
        </w:rPr>
        <w:t>PE763.293</w:t>
      </w:r>
      <w:bookmarkEnd w:id="3"/>
    </w:p>
    <w:p w:rsidR="001609B0" w:rsidRDefault="00234ED3">
      <w:pPr>
        <w:pStyle w:val="ATHeading3"/>
      </w:pPr>
      <w:bookmarkStart w:id="4" w:name="Sujet"/>
      <w:r>
        <w:t>Uznesenie Európskeho parlamentu z 26. novembra 2024 o vykonávacom rozhodnutí Komisie (EÚ) 2024/2618, ktorým sa podľa nariadenia Európskeho parlamentu a Rady (ES) č. 1829/2003 povoľuje umiestniť na trh produkty, ktoré obsahujú geneticky modifikovanú kukuricu DP202216, sú z nej zložené alebo vyrobené</w:t>
      </w:r>
      <w:bookmarkEnd w:id="4"/>
      <w:r>
        <w:t xml:space="preserve"> </w:t>
      </w:r>
      <w:bookmarkStart w:id="5" w:name="References"/>
      <w:r>
        <w:t>(2024/2837(RSP))</w:t>
      </w:r>
      <w:bookmarkEnd w:id="5"/>
    </w:p>
    <w:p w:rsidR="001609B0" w:rsidRDefault="00234ED3">
      <w:pPr>
        <w:pStyle w:val="EPComma"/>
      </w:pPr>
      <w:bookmarkStart w:id="6" w:name="TextBodyBegin"/>
      <w:bookmarkEnd w:id="6"/>
      <w:r>
        <w:rPr>
          <w:i/>
          <w:iCs/>
        </w:rPr>
        <w:t>Európsky parlament</w:t>
      </w:r>
      <w:r>
        <w:t>,</w:t>
      </w:r>
    </w:p>
    <w:p w:rsidR="001609B0" w:rsidRDefault="00234ED3">
      <w:pPr>
        <w:pStyle w:val="NormalHanging12a"/>
      </w:pPr>
      <w:r>
        <w:t>–</w:t>
      </w:r>
      <w:r>
        <w:tab/>
        <w:t>so zreteľom na vykonávacie rozhodnutie Komisie (EÚ) 2024/2618, ktorým sa podľa nariadenia Európskeho parlamentu a Rady (ES) č. 1829/2003 (D098501/04) povoľuje umiestniť na trh produkty, ktoré obsahujú geneticky modifikovanú kukuricu DP202216, sú z nej zložené alebo vyrobené</w:t>
      </w:r>
      <w:r>
        <w:rPr>
          <w:rStyle w:val="FootnoteReference"/>
        </w:rPr>
        <w:footnoteReference w:id="1"/>
      </w:r>
      <w:r>
        <w:t>,</w:t>
      </w:r>
    </w:p>
    <w:p w:rsidR="001609B0" w:rsidRDefault="00234ED3">
      <w:pPr>
        <w:pStyle w:val="NormalHanging12a"/>
      </w:pPr>
      <w:r>
        <w:t>–</w:t>
      </w:r>
      <w:r>
        <w:tab/>
        <w:t>so zreteľom na nariadenie Európskeho parlamentu a Rady (ES) č. 1829/2003 z 22. septembra 2003 o geneticky modifikovaných potravinách a krmivách</w:t>
      </w:r>
      <w:r>
        <w:rPr>
          <w:rStyle w:val="FootnoteReference"/>
        </w:rPr>
        <w:footnoteReference w:id="2"/>
      </w:r>
      <w:r>
        <w:t>, a najmä na jeho článok 7 ods. 3 a článok 19 ods. 3,</w:t>
      </w:r>
    </w:p>
    <w:p w:rsidR="001609B0" w:rsidRDefault="00234ED3">
      <w:pPr>
        <w:pStyle w:val="NormalHanging12a"/>
      </w:pPr>
      <w:r>
        <w:t>–</w:t>
      </w:r>
      <w:r>
        <w:tab/>
        <w:t>so zreteľom na</w:t>
      </w:r>
      <w:r>
        <w:rPr>
          <w:shd w:val="clear" w:color="auto" w:fill="FFFFFF"/>
        </w:rPr>
        <w:t xml:space="preserve"> hlasovanie Stáleho výboru pre rastliny, zvieratá, potraviny a krmivá, ktorý je uvedený v článku 35 nariadenia (ES) č. 1829/2003, z 8. júla 2024, počas ktorého nebolo prijaté žiadne stanovisko, a na hlasovanie odvolacieho výboru z 3. septembra 2024, počas ktorého opätovne nebolo prijaté žiadne </w:t>
      </w:r>
      <w:r>
        <w:t>stanovisko,</w:t>
      </w:r>
    </w:p>
    <w:p w:rsidR="001609B0" w:rsidRDefault="00234ED3">
      <w:pPr>
        <w:pStyle w:val="NormalHanging12a"/>
      </w:pPr>
      <w:r>
        <w:t>–</w:t>
      </w:r>
      <w:r>
        <w:tab/>
        <w:t>so zreteľom na článok 11 nariadenia Európskeho parlamentu a Rady (EÚ) č. 182/2011 zo 16. februára 2011, ktorým sa ustanovujú pravidlá a všeobecné zásady mechanizmu, na základe ktorého členské štáty kontrolujú vykonávanie vykonávacích právomocí Komisie</w:t>
      </w:r>
      <w:r>
        <w:rPr>
          <w:rStyle w:val="FootnoteReference"/>
        </w:rPr>
        <w:footnoteReference w:id="3"/>
      </w:r>
      <w:r>
        <w:t>,</w:t>
      </w:r>
    </w:p>
    <w:p w:rsidR="001609B0" w:rsidRDefault="00234ED3">
      <w:pPr>
        <w:pStyle w:val="NormalHanging12a"/>
      </w:pPr>
      <w:r>
        <w:t>–</w:t>
      </w:r>
      <w:r>
        <w:tab/>
        <w:t xml:space="preserve">so zreteľom na stanovisko, ktoré prijal Európsky úrad pre bezpečnosť potravín (ďalej </w:t>
      </w:r>
      <w:r>
        <w:lastRenderedPageBreak/>
        <w:t>len „EFSA“) 7. februára 2024 a ktoré bolo uverejnené 20. marca 2024</w:t>
      </w:r>
      <w:r>
        <w:rPr>
          <w:rStyle w:val="FootnoteReference"/>
        </w:rPr>
        <w:footnoteReference w:id="4"/>
      </w:r>
      <w:r>
        <w:t>,</w:t>
      </w:r>
    </w:p>
    <w:p w:rsidR="001609B0" w:rsidRDefault="00234ED3">
      <w:pPr>
        <w:pStyle w:val="NormalHanging12a"/>
        <w:rPr>
          <w:szCs w:val="24"/>
          <w:shd w:val="clear" w:color="auto" w:fill="FFFFFF"/>
        </w:rPr>
      </w:pPr>
      <w:r>
        <w:t>–</w:t>
      </w:r>
      <w:r>
        <w:rPr>
          <w:shd w:val="clear" w:color="auto" w:fill="FFFFFF"/>
        </w:rPr>
        <w:tab/>
        <w:t>so zreteľom na svoje predchádzajúce uznesenia, v ktorých namieta proti povoľovaniu geneticky modifikovaných organizmov (</w:t>
      </w:r>
      <w:r>
        <w:t>ďalej len „</w:t>
      </w:r>
      <w:r>
        <w:rPr>
          <w:shd w:val="clear" w:color="auto" w:fill="FFFFFF"/>
        </w:rPr>
        <w:t>GMO“)</w:t>
      </w:r>
      <w:r>
        <w:rPr>
          <w:szCs w:val="24"/>
          <w:shd w:val="clear" w:color="auto" w:fill="FFFFFF"/>
          <w:vertAlign w:val="superscript"/>
        </w:rPr>
        <w:footnoteReference w:id="5"/>
      </w:r>
      <w:r>
        <w:rPr>
          <w:shd w:val="clear" w:color="auto" w:fill="FFFFFF"/>
        </w:rPr>
        <w:t>,</w:t>
      </w:r>
    </w:p>
    <w:p w:rsidR="001609B0" w:rsidRDefault="00234ED3">
      <w:pPr>
        <w:pStyle w:val="NormalHanging12a"/>
      </w:pPr>
      <w:r>
        <w:t>–</w:t>
      </w:r>
      <w:r>
        <w:tab/>
        <w:t>so zreteľom na článok 115 ods. 2 a 3 rokovacieho poriadku,</w:t>
      </w:r>
    </w:p>
    <w:p w:rsidR="001609B0" w:rsidRDefault="00234ED3">
      <w:pPr>
        <w:pStyle w:val="NormalHanging12a"/>
      </w:pPr>
      <w:r>
        <w:t>–</w:t>
      </w:r>
      <w:r>
        <w:tab/>
        <w:t>so zreteľom na návrh uznesenia Výboru pre životné prostredie, verejné zdravie a bezpečnosť potravín,</w:t>
      </w:r>
    </w:p>
    <w:p w:rsidR="001609B0" w:rsidRDefault="00234ED3">
      <w:pPr>
        <w:pStyle w:val="NormalHanging12a"/>
      </w:pPr>
      <w:r>
        <w:t>A.</w:t>
      </w:r>
      <w:r>
        <w:tab/>
        <w:t xml:space="preserve">keďže spoločnosť </w:t>
      </w:r>
      <w:proofErr w:type="spellStart"/>
      <w:r>
        <w:t>Pioneer</w:t>
      </w:r>
      <w:proofErr w:type="spellEnd"/>
      <w:r>
        <w:t xml:space="preserve"> </w:t>
      </w:r>
      <w:proofErr w:type="spellStart"/>
      <w:r>
        <w:t>Overseas</w:t>
      </w:r>
      <w:proofErr w:type="spellEnd"/>
      <w:r>
        <w:t xml:space="preserve"> </w:t>
      </w:r>
      <w:proofErr w:type="spellStart"/>
      <w:r>
        <w:t>Corporation</w:t>
      </w:r>
      <w:proofErr w:type="spellEnd"/>
      <w:r>
        <w:t xml:space="preserve"> so sídlom v Belgicku predložila 1. júla 2019 v mene spoločnosti </w:t>
      </w:r>
      <w:proofErr w:type="spellStart"/>
      <w:r>
        <w:t>Pioneer</w:t>
      </w:r>
      <w:proofErr w:type="spellEnd"/>
      <w:r>
        <w:t xml:space="preserve"> </w:t>
      </w:r>
      <w:proofErr w:type="spellStart"/>
      <w:r>
        <w:t>Hi-Bred</w:t>
      </w:r>
      <w:proofErr w:type="spellEnd"/>
      <w:r>
        <w:t xml:space="preserve"> International </w:t>
      </w:r>
      <w:proofErr w:type="spellStart"/>
      <w:r>
        <w:t>Inc</w:t>
      </w:r>
      <w:proofErr w:type="spellEnd"/>
      <w:r>
        <w:t>. so sídlom v Spojených štátoch príslušnému vnútroštátnemu orgánu Holandska v súlade s článkami 5 a 17 nariadenia (ES) č. 1829/2003 žiadosť o umiestnenie na trh týkajúcu sa potravín, zložiek potravín a krmív, ktoré obsahujú geneticky modifikovanú kukuricu DP202216, sú z nej zložené alebo vyrobené; keďže táto žiadosť sa vzťahuje aj na uvedenie na trh produktov, ktoré obsahujú geneticky modifikovanú kukuricu alebo sú z nej zložené, na iné účely ako potraviny a krmivá, s výnimkou pestovania;  </w:t>
      </w:r>
    </w:p>
    <w:p w:rsidR="001609B0" w:rsidRDefault="00234ED3">
      <w:pPr>
        <w:pStyle w:val="NormalHanging12a"/>
      </w:pPr>
      <w:r>
        <w:t>B.</w:t>
      </w:r>
      <w:r>
        <w:tab/>
        <w:t>keďže úrad EFSA prijal 7. februára 2024 kladné stanovisko, ktoré bolo uverejnené 20. marca 2024;</w:t>
      </w:r>
    </w:p>
    <w:p w:rsidR="001609B0" w:rsidRDefault="00234ED3">
      <w:pPr>
        <w:pStyle w:val="NormalHanging12a"/>
      </w:pPr>
      <w:r>
        <w:t>C.</w:t>
      </w:r>
      <w:r>
        <w:tab/>
        <w:t xml:space="preserve">keďže geneticky modifikovaná kukurica obsahuje gény poskytujúce rezistenciu voči </w:t>
      </w:r>
      <w:proofErr w:type="spellStart"/>
      <w:r>
        <w:t>glufozinátu</w:t>
      </w:r>
      <w:proofErr w:type="spellEnd"/>
      <w:r>
        <w:t xml:space="preserve"> a </w:t>
      </w:r>
      <w:r>
        <w:rPr>
          <w:color w:val="000000"/>
          <w:shd w:val="clear" w:color="auto" w:fill="FFFFFF"/>
        </w:rPr>
        <w:t>predpokladá sa, že má zvýšený potenciál výnosov;</w:t>
      </w:r>
      <w:r>
        <w:rPr>
          <w:rFonts w:ascii="Segoe UI" w:hAnsi="Segoe UI"/>
          <w:color w:val="000000"/>
          <w:sz w:val="22"/>
          <w:shd w:val="clear" w:color="auto" w:fill="FFFFFF"/>
        </w:rPr>
        <w:t xml:space="preserve"> </w:t>
      </w:r>
    </w:p>
    <w:p w:rsidR="001609B0" w:rsidRDefault="00234ED3">
      <w:pPr>
        <w:pStyle w:val="NormalHanging12a"/>
        <w:rPr>
          <w:b/>
          <w:i/>
        </w:rPr>
      </w:pPr>
      <w:r>
        <w:rPr>
          <w:b/>
          <w:i/>
        </w:rPr>
        <w:t>Nedostatočné posúdenie doplnkového herbicídu</w:t>
      </w:r>
    </w:p>
    <w:p w:rsidR="001609B0" w:rsidRDefault="00234ED3">
      <w:pPr>
        <w:pStyle w:val="NormalHanging12a"/>
      </w:pPr>
      <w:r>
        <w:t>D.</w:t>
      </w:r>
      <w:r>
        <w:tab/>
        <w:t>keďže vykonávacie nariadenie Komisie (EÚ) č. 503/2013</w:t>
      </w:r>
      <w:r>
        <w:rPr>
          <w:rStyle w:val="FootnoteReference"/>
        </w:rPr>
        <w:footnoteReference w:id="6"/>
      </w:r>
      <w:r>
        <w:t xml:space="preserve"> si vyžaduje posúdenie, či očakávané poľnohospodárske postupy ovplyvňujú výsledok skúmaných parametrov; keďže podľa uvedeného vykonávacieho nariadenia sa to týka najmä rastlín tolerantných k herbicídom;</w:t>
      </w:r>
    </w:p>
    <w:p w:rsidR="001609B0" w:rsidRDefault="00234ED3">
      <w:pPr>
        <w:pStyle w:val="NormalHanging12a"/>
      </w:pPr>
      <w:r>
        <w:t>E.</w:t>
      </w:r>
      <w:r>
        <w:tab/>
        <w:t xml:space="preserve">keďže prevažná väčšina geneticky modifikovaných plodín je geneticky modifikovaná tak, aby boli tolerantné k jednému alebo viacerým „doplnkovým“ herbicídom, ktoré sa môžu používať počas pestovania geneticky modifikovanej plodiny bez toho, aby uhynula, ako by to bolo v prípade plodiny, ktorá nie je tolerantná k herbicídom; keďže viaceré štúdie preukázali, že geneticky modifikované plodiny tolerantné k herbicídom vedú k vyššiemu používaniu doplnkových herbicídov, čo je z veľkej časti spôsobené </w:t>
      </w:r>
      <w:r>
        <w:lastRenderedPageBreak/>
        <w:t>výskytom buriny tolerantnej k herbicídom</w:t>
      </w:r>
      <w:r>
        <w:rPr>
          <w:rStyle w:val="FootnoteReference"/>
        </w:rPr>
        <w:footnoteReference w:id="7"/>
      </w:r>
      <w:r>
        <w:t>;</w:t>
      </w:r>
    </w:p>
    <w:p w:rsidR="001609B0" w:rsidRDefault="00234ED3">
      <w:pPr>
        <w:pStyle w:val="NormalHanging12a"/>
      </w:pPr>
      <w:r>
        <w:t>F.</w:t>
      </w:r>
      <w:r>
        <w:tab/>
        <w:t>keďže geneticky modifikované plodiny tolerantné k herbicídom nútia poľnohospodárov používať systém ochrany proti burinám, ktorý je vo veľkej miere alebo úplne závislý od herbicídov, a to tak, že za geneticky modifikované osivo sa účtuje príplatok, ktorý môže byť odôvodnený len vtedy, ak poľnohospodári kupujúci takéto osivo používajú aj postrek doplnkovými herbicídmi; keďže zvýšená závislosť od doplnkových herbicídov v poľnohospodárskych podnikoch urýchľuje vznik a šírenie buriny rezistentnej voči týmto herbicídom, čo vyvoláva potrebu ešte väčšieho používania herbicídov, čo je začarovaný kruh neustáleho používania čoraz väčšieho množstva herbicídov;</w:t>
      </w:r>
    </w:p>
    <w:p w:rsidR="001609B0" w:rsidRDefault="00234ED3">
      <w:pPr>
        <w:pStyle w:val="NormalHanging12a"/>
      </w:pPr>
      <w:r>
        <w:t>G.</w:t>
      </w:r>
      <w:r>
        <w:tab/>
        <w:t>keďže nepriaznivé vplyvy vyplývajúce z nadmerného používania herbicídov zhoršujú zdravie pôdy, kvalitu vody a biodiverzitu nad zemou a pod ňou a vedú k zvýšenej expozícii ľudí a zvierat herbicídom, a to potenciálne aj prostredníctvom zvýšeného množstva rezíduí herbicídov v potravinách a krmivách;</w:t>
      </w:r>
    </w:p>
    <w:p w:rsidR="001609B0" w:rsidRDefault="00234ED3">
      <w:pPr>
        <w:pStyle w:val="NormalHanging12a"/>
      </w:pPr>
      <w:r>
        <w:t>H.</w:t>
      </w:r>
      <w:r>
        <w:tab/>
        <w:t xml:space="preserve">keďže </w:t>
      </w:r>
      <w:proofErr w:type="spellStart"/>
      <w:r>
        <w:t>glufosinát</w:t>
      </w:r>
      <w:proofErr w:type="spellEnd"/>
      <w:r>
        <w:t xml:space="preserve"> je zaradený do kategórie 1B ako reprodukčne toxická látka, a preto sa naň vzťahujú hraničné kritériá stanovené v nariadení Európskeho parlamentu a Rady (ES) č. 1107/2009</w:t>
      </w:r>
      <w:r>
        <w:rPr>
          <w:rStyle w:val="FootnoteReference"/>
        </w:rPr>
        <w:footnoteReference w:id="8"/>
      </w:r>
      <w:r>
        <w:t xml:space="preserve">; keďže platnosť povolenia </w:t>
      </w:r>
      <w:proofErr w:type="spellStart"/>
      <w:r>
        <w:t>glufosinátu</w:t>
      </w:r>
      <w:proofErr w:type="spellEnd"/>
      <w:r>
        <w:t xml:space="preserve"> na používanie v Únii sa skončila 31. júla 2018;</w:t>
      </w:r>
    </w:p>
    <w:p w:rsidR="001609B0" w:rsidRDefault="00234ED3">
      <w:pPr>
        <w:pStyle w:val="NormalHanging12a"/>
      </w:pPr>
      <w:r>
        <w:t>I.</w:t>
      </w:r>
      <w:r>
        <w:tab/>
        <w:t xml:space="preserve">keďže posudzovanie rezíduí herbicídov a ich </w:t>
      </w:r>
      <w:proofErr w:type="spellStart"/>
      <w:r>
        <w:t>metabolitov</w:t>
      </w:r>
      <w:proofErr w:type="spellEnd"/>
      <w:r>
        <w:t xml:space="preserve"> v geneticky modifikovaných rastlinách je mimo pôsobnosti Pracovnej skupiny EFSA pre geneticky modifikované organizmy, a preto sa v rámci postupu povoľovania GMO nevykonáva;</w:t>
      </w:r>
    </w:p>
    <w:p w:rsidR="001609B0" w:rsidRDefault="00234ED3">
      <w:pPr>
        <w:pStyle w:val="NormalHanging12a"/>
        <w:rPr>
          <w:b/>
          <w:i/>
        </w:rPr>
      </w:pPr>
      <w:r>
        <w:rPr>
          <w:b/>
          <w:i/>
        </w:rPr>
        <w:t>Pripomienky príslušného orgánu členského štátu a zainteresovaných strán</w:t>
      </w:r>
    </w:p>
    <w:p w:rsidR="001609B0" w:rsidRDefault="00234ED3">
      <w:pPr>
        <w:pStyle w:val="NormalHanging12a"/>
      </w:pPr>
      <w:r>
        <w:t>J.</w:t>
      </w:r>
      <w:r>
        <w:tab/>
        <w:t>keďže členské štáty predložili EFSA počas trojmesačného konzultačného obdobia</w:t>
      </w:r>
      <w:r>
        <w:rPr>
          <w:rStyle w:val="FootnoteReference"/>
        </w:rPr>
        <w:footnoteReference w:id="9"/>
      </w:r>
      <w:r>
        <w:t xml:space="preserve"> mnoho kritických pripomienok vrátane toho, že predmetný plán monitorovania nezabezpečuje zhromažďovanie relevantných informácií na monitorovanie výrobku, a preto ich nemožno považovať za primerané, že pred dokončením posúdenia rizika by sa mali predložiť ďalšie informácie a že hoci GMO nie je určený na pestovanie, žiadateľ </w:t>
      </w:r>
      <w:r>
        <w:lastRenderedPageBreak/>
        <w:t xml:space="preserve">by mal poskytnúť podrobné informácie o príbuznej voľne rastúcej rastline </w:t>
      </w:r>
      <w:proofErr w:type="spellStart"/>
      <w:r>
        <w:t>Euchlaena</w:t>
      </w:r>
      <w:proofErr w:type="spellEnd"/>
      <w:r>
        <w:t xml:space="preserve"> </w:t>
      </w:r>
      <w:proofErr w:type="spellStart"/>
      <w:r>
        <w:t>mexicana</w:t>
      </w:r>
      <w:proofErr w:type="spellEnd"/>
      <w:r>
        <w:t xml:space="preserve">, ktorá sa opakovane zistila na poliach v Únii, pričom sa musí počítať s rozsypaním osiva kukurice počas prepravy; </w:t>
      </w:r>
    </w:p>
    <w:p w:rsidR="001609B0" w:rsidRDefault="00234ED3">
      <w:pPr>
        <w:pStyle w:val="NormalHanging12a"/>
        <w:ind w:left="0" w:firstLine="0"/>
        <w:rPr>
          <w:b/>
          <w:i/>
        </w:rPr>
      </w:pPr>
      <w:r>
        <w:rPr>
          <w:b/>
          <w:i/>
        </w:rPr>
        <w:t>Zabezpečenie rovnakých podmienok na celosvetovej úrovni a dodržiavanie medzinárodných záväzkov Únie</w:t>
      </w:r>
    </w:p>
    <w:p w:rsidR="001609B0" w:rsidRDefault="00234ED3">
      <w:pPr>
        <w:pStyle w:val="NormalHanging12a"/>
      </w:pPr>
      <w:r>
        <w:t>K.</w:t>
      </w:r>
      <w:r>
        <w:tab/>
        <w:t>keďže v záveroch strategického dialógu o budúcnosti poľnohospodárstva EÚ</w:t>
      </w:r>
      <w:r>
        <w:rPr>
          <w:rStyle w:val="FootnoteReference"/>
        </w:rPr>
        <w:footnoteReference w:id="10"/>
      </w:r>
      <w:r>
        <w:t xml:space="preserve"> sa Komisia vyzýva, aby prehodnotila prístup, pokiaľ ide o prístupu na trh pre </w:t>
      </w:r>
      <w:proofErr w:type="spellStart"/>
      <w:r>
        <w:t>agropotravinový</w:t>
      </w:r>
      <w:proofErr w:type="spellEnd"/>
      <w:r>
        <w:t xml:space="preserve"> dovoz a vývoz, a to vzhľadom na rozdiely medzi normami Únie a jej obchodných partnerov; keďže spravodlivejšie obchodné vzťahy na celosvetovej úrovni, ktoré sú v súlade s cieľmi zdravého životného prostredia, boli jednou z hlavných požiadaviek poľnohospodárov počas demonštrácií v rokoch 2023 a 2024;</w:t>
      </w:r>
    </w:p>
    <w:p w:rsidR="001609B0" w:rsidRDefault="00234ED3">
      <w:pPr>
        <w:pStyle w:val="NormalHanging12a"/>
      </w:pPr>
      <w:r>
        <w:t>L.</w:t>
      </w:r>
      <w:r>
        <w:tab/>
        <w:t>keďže v správe osobitného spravodajcu Organizácie Spojených národov (ďalej len „OSN“) pre právo na výživu z roku 2017 sa konštatuje, že najmä v rozvojových krajinách majú nebezpečné pesticídy katastrofálny vplyv na zdravie</w:t>
      </w:r>
      <w:r>
        <w:rPr>
          <w:rStyle w:val="FootnoteReference"/>
        </w:rPr>
        <w:footnoteReference w:id="11"/>
      </w:r>
      <w:r>
        <w:t>; keďže podľa cieľa OSN v oblasti udržateľného rozvoja 3.9 sa má do roku 2030 podstatne znížiť počet úmrtí a ochorení spôsobených nebezpečnými chemikáliami a znečistením a kontamináciou ovzdušia, vody a pôdy</w:t>
      </w:r>
      <w:r>
        <w:rPr>
          <w:rStyle w:val="FootnoteReference"/>
        </w:rPr>
        <w:footnoteReference w:id="12"/>
      </w:r>
      <w:r>
        <w:t>;</w:t>
      </w:r>
    </w:p>
    <w:p w:rsidR="001609B0" w:rsidRDefault="00234ED3">
      <w:pPr>
        <w:pStyle w:val="NormalHanging12a"/>
      </w:pPr>
      <w:r>
        <w:t>M.</w:t>
      </w:r>
      <w:r>
        <w:tab/>
        <w:t>keďže globálny rámec pre biodiverzitu z </w:t>
      </w:r>
      <w:proofErr w:type="spellStart"/>
      <w:r>
        <w:t>Kchun-mingu</w:t>
      </w:r>
      <w:proofErr w:type="spellEnd"/>
      <w:r>
        <w:t xml:space="preserve"> a Montrealu (ďalej len „rámec z </w:t>
      </w:r>
      <w:proofErr w:type="spellStart"/>
      <w:r>
        <w:t>Kchun-mingu</w:t>
      </w:r>
      <w:proofErr w:type="spellEnd"/>
      <w:r>
        <w:t xml:space="preserve"> a Montrealu“), dohodnutý na 15. konferencii zmluvných strán Dohovoru OSN o biologickej diverzite (CBD OSN) v decembri 2022, zahŕňa globálny cieľ znížiť riziko používania pesticídov do roku 2030 aspoň o 50 %</w:t>
      </w:r>
      <w:r>
        <w:rPr>
          <w:rStyle w:val="FootnoteReference"/>
        </w:rPr>
        <w:footnoteReference w:id="13"/>
      </w:r>
      <w:r>
        <w:t>;</w:t>
      </w:r>
    </w:p>
    <w:p w:rsidR="001609B0" w:rsidRDefault="00234ED3">
      <w:pPr>
        <w:pStyle w:val="NormalHanging12a"/>
      </w:pPr>
      <w:r>
        <w:t>N.</w:t>
      </w:r>
      <w:r>
        <w:tab/>
        <w:t>keďže v nariadení (ES) č. 1829/2003 sa uvádza, že geneticky modifikované potraviny alebo krmivá nesmú mať nepriaznivé účinky na ľudské zdravie, zdravie zvierat alebo na životné prostredie, a vyžaduje sa, aby Komisia pri príprave svojho rozhodnutia vzala do úvahy všetky relevantné ustanovenia práva Únie a iné oprávnené skutočnosti, ktoré sú podstatné na prerokovanie záležitosti; keďže medzi takéto legitímne faktory by mali patriť záväzky Únie vyplývajúce z cieľov OSN v oblasti udržateľného rozvoja a CBD OSN;</w:t>
      </w:r>
    </w:p>
    <w:p w:rsidR="001609B0" w:rsidRDefault="00234ED3">
      <w:pPr>
        <w:pStyle w:val="NormalHanging12a"/>
        <w:rPr>
          <w:b/>
          <w:i/>
        </w:rPr>
      </w:pPr>
      <w:r>
        <w:rPr>
          <w:b/>
          <w:i/>
        </w:rPr>
        <w:t>Zníženie závislosti od dovážaných krmív</w:t>
      </w:r>
    </w:p>
    <w:p w:rsidR="001609B0" w:rsidRDefault="00234ED3">
      <w:pPr>
        <w:pStyle w:val="NormalHanging12a"/>
      </w:pPr>
      <w:r>
        <w:t>O.</w:t>
      </w:r>
      <w:r>
        <w:tab/>
        <w:t xml:space="preserve">keďže jedným z ponaučení z krízy spôsobenej ochorením COVID-19 a prebiehajúcej vojny na Ukrajine je potreba ukončiť závislosť Únie od niektorých kritických materiálov; keďže v poverovacom liste dezignovanému komisárovi </w:t>
      </w:r>
      <w:proofErr w:type="spellStart"/>
      <w:r>
        <w:t>Christophovi</w:t>
      </w:r>
      <w:proofErr w:type="spellEnd"/>
      <w:r>
        <w:t xml:space="preserve"> </w:t>
      </w:r>
      <w:proofErr w:type="spellStart"/>
      <w:r>
        <w:t>Hansenovi</w:t>
      </w:r>
      <w:proofErr w:type="spellEnd"/>
      <w:r>
        <w:t xml:space="preserve"> ho predsedníčka Komisie </w:t>
      </w:r>
      <w:proofErr w:type="spellStart"/>
      <w:r>
        <w:t>Ursula</w:t>
      </w:r>
      <w:proofErr w:type="spellEnd"/>
      <w:r>
        <w:t xml:space="preserve"> von der </w:t>
      </w:r>
      <w:proofErr w:type="spellStart"/>
      <w:r>
        <w:t>Leyenová</w:t>
      </w:r>
      <w:proofErr w:type="spellEnd"/>
      <w:r>
        <w:t xml:space="preserve"> žiada o to, aby </w:t>
      </w:r>
      <w:r>
        <w:lastRenderedPageBreak/>
        <w:t>preskúmal spôsoby, ako znížiť dovoz kritických komodít</w:t>
      </w:r>
      <w:r>
        <w:rPr>
          <w:rStyle w:val="FootnoteReference"/>
        </w:rPr>
        <w:footnoteReference w:id="14"/>
      </w:r>
      <w:r>
        <w:t xml:space="preserve">; </w:t>
      </w:r>
    </w:p>
    <w:p w:rsidR="001609B0" w:rsidRDefault="00234ED3">
      <w:pPr>
        <w:pStyle w:val="NormalHanging12a"/>
        <w:rPr>
          <w:b/>
          <w:i/>
        </w:rPr>
      </w:pPr>
      <w:r>
        <w:rPr>
          <w:b/>
          <w:i/>
        </w:rPr>
        <w:t>Nedemokratické rozhodovanie</w:t>
      </w:r>
    </w:p>
    <w:p w:rsidR="001609B0" w:rsidRDefault="00234ED3">
      <w:pPr>
        <w:pStyle w:val="NormalHanging12a"/>
      </w:pPr>
      <w:r>
        <w:t>P.</w:t>
      </w:r>
      <w:r>
        <w:tab/>
        <w:t>keďže Európsky parlament vo svojom ôsmom volebnom období prijal celkovo 36 uznesení, v ktorých namietal proti tomu, aby sa GMO uvádzali na trh na použitie v potravinách a krmivách (33 uznesení) a GMO sa v Únii pestovali (tri uznesenia); keďže v deviatom volebnom období Európsky parlament prijal 38 námietok proti uvedeniu GMO na trh;</w:t>
      </w:r>
    </w:p>
    <w:p w:rsidR="001609B0" w:rsidRDefault="00234ED3">
      <w:pPr>
        <w:pStyle w:val="NormalHanging12a"/>
      </w:pPr>
      <w:r>
        <w:t>Q.</w:t>
      </w:r>
      <w:r>
        <w:tab/>
        <w:t>keďže Komisia naďalej povoľuje GMO, hoci si sama uvedomuje nedostatky z hľadiska demokracie, nízku podporu členských štátov a námietky Európskeho parlamentu;</w:t>
      </w:r>
    </w:p>
    <w:p w:rsidR="001609B0" w:rsidRDefault="00234ED3">
      <w:pPr>
        <w:pStyle w:val="NormalHanging12a"/>
      </w:pPr>
      <w:r>
        <w:t>R.</w:t>
      </w:r>
      <w:r>
        <w:tab/>
        <w:t>keďže nie je potrebná žiadna zmena právnych predpisov, aby Komisia nemala možnosť povoľovať GMO, ak sa v odvolacom výbore nedosiahne kvalifikovaná väčšina členských štátov v prospech povolenia</w:t>
      </w:r>
      <w:r>
        <w:rPr>
          <w:rStyle w:val="FootnoteReference"/>
        </w:rPr>
        <w:footnoteReference w:id="15"/>
      </w:r>
      <w:r>
        <w:t>;</w:t>
      </w:r>
    </w:p>
    <w:p w:rsidR="001609B0" w:rsidRDefault="00234ED3">
      <w:pPr>
        <w:pStyle w:val="NormalHanging12a"/>
      </w:pPr>
      <w:r>
        <w:t>S.</w:t>
      </w:r>
      <w:r>
        <w:tab/>
      </w:r>
      <w:r>
        <w:rPr>
          <w:shd w:val="clear" w:color="auto" w:fill="FFFFFF"/>
        </w:rPr>
        <w:t>keďže Stály výbor pre potravinový reťazec a zdravie zvierat uvedený v článku 35 nariadenia (ES) č. 1829/2003 pri hlasovaní 8. júla 2024 nezaujal žiadne stanovisko, čo znamená, že povolenie nepodporila kvalifikovaná väčšina členských štátov; keďže odvolací výbor na základe hlasovania 3. septembra 2024 znovu nevydal stanovisko;</w:t>
      </w:r>
    </w:p>
    <w:p w:rsidR="001609B0" w:rsidRDefault="00234ED3">
      <w:pPr>
        <w:pStyle w:val="NormalHanging12a"/>
      </w:pPr>
      <w:r>
        <w:t>1.</w:t>
      </w:r>
      <w:r>
        <w:tab/>
        <w:t>domnieva sa, že vykonávacie</w:t>
      </w:r>
      <w:bookmarkStart w:id="7" w:name="_GoBack"/>
      <w:bookmarkEnd w:id="7"/>
      <w:r>
        <w:t xml:space="preserve"> rozhodnutie Komisie (EÚ) 2024/2618 prekračuje rámec vykonávacích právomocí stanovených v nariadení (ES) č. 1829/2003;</w:t>
      </w:r>
    </w:p>
    <w:p w:rsidR="001609B0" w:rsidRDefault="00234ED3">
      <w:pPr>
        <w:pStyle w:val="NormalHanging12a"/>
      </w:pPr>
      <w:r>
        <w:t>2.</w:t>
      </w:r>
      <w:r>
        <w:tab/>
        <w:t>domnieva sa, že vykonávacie rozhodnutie Komisie (EÚ) 2024/2618 nie je v súlade s právom Únie, pretože nie je zlučiteľný s cieľom nariadenia (ES) č. 1829/2003, ktorým je podľa všeobecných zásad uvedených v nariadení Európskeho parlamentu a Rady (ES) č. 178/2002</w:t>
      </w:r>
      <w:r>
        <w:rPr>
          <w:rStyle w:val="FootnoteReference"/>
        </w:rPr>
        <w:footnoteReference w:id="16"/>
      </w:r>
      <w:r>
        <w:t xml:space="preserve"> poskytovať základ na zabezpečenie vysokej miery ochrany ľudského života a zdravia, zdravia a dobrých životných podmienok zvierat, životného prostredia a záujmov spotrebiteľov v súvislosti s geneticky modifikovanými potravinami a krmivami a súčasne zabezpečovať efektívne fungovanie vnútorného trhu;</w:t>
      </w:r>
    </w:p>
    <w:p w:rsidR="001609B0" w:rsidRDefault="00234ED3">
      <w:pPr>
        <w:pStyle w:val="NormalHanging12a"/>
      </w:pPr>
      <w:r>
        <w:t>3.</w:t>
      </w:r>
      <w:r>
        <w:tab/>
        <w:t>vyzýva Komisiu, aby pri rokovaniach o dohodách o voľnom obchode zabezpečila zblíženie noriem medzi Úniou a jej partnermi s cieľom dodržiavať bezpečnostné normy Únie;</w:t>
      </w:r>
    </w:p>
    <w:p w:rsidR="001609B0" w:rsidRDefault="00234ED3">
      <w:pPr>
        <w:pStyle w:val="NormalHanging12a"/>
      </w:pPr>
      <w:r>
        <w:t>4.</w:t>
      </w:r>
      <w:r>
        <w:tab/>
        <w:t>žiada Komisiu, aby zrušila vykonávacie rozhodnutie (EÚ) 2024/2618 a predložila výboru nový návrh;</w:t>
      </w:r>
    </w:p>
    <w:p w:rsidR="001609B0" w:rsidRDefault="00234ED3">
      <w:pPr>
        <w:pStyle w:val="NormalHanging12a"/>
      </w:pPr>
      <w:r>
        <w:t>5.</w:t>
      </w:r>
      <w:r>
        <w:tab/>
        <w:t xml:space="preserve">vyzýva Komisiu, aby nepovolila geneticky modifikované plodiny tolerantné </w:t>
      </w:r>
      <w:r>
        <w:lastRenderedPageBreak/>
        <w:t>k herbicídom z dôvodu súvisiaceho zvýšeného používania doplnkových herbicídov, a teda zvýšeného rizika pre biodiverzitu, bezpečnosť potravín a zdravie pracovníkov, a to v súlade s prístupom „jedno zdravie“;</w:t>
      </w:r>
    </w:p>
    <w:p w:rsidR="001609B0" w:rsidRDefault="00234ED3">
      <w:pPr>
        <w:pStyle w:val="NormalHanging12a"/>
      </w:pPr>
      <w:r>
        <w:t>6.</w:t>
      </w:r>
      <w:r>
        <w:tab/>
        <w:t xml:space="preserve">v tejto súvislosti zdôrazňuje, že povolenie dovozu akýchkoľvek geneticky modifikovaných rastlín, ktoré sú tolerantné k herbicídom zakázaným v Únii, ako je </w:t>
      </w:r>
      <w:proofErr w:type="spellStart"/>
      <w:r>
        <w:t>glufosinát</w:t>
      </w:r>
      <w:proofErr w:type="spellEnd"/>
      <w:r>
        <w:t>, na použitie v potravinách a krmivách nie je v súlade s medzinárodnými záväzkami Únie vyplývajúcimi, okrem iného, z cieľov OSN v oblasti udržateľného rozvoja a z Dohovoru OSN o biologickej diverzite vrátane nedávno prijatého rámca z </w:t>
      </w:r>
      <w:proofErr w:type="spellStart"/>
      <w:r>
        <w:t>Kchun-mingu</w:t>
      </w:r>
      <w:proofErr w:type="spellEnd"/>
      <w:r>
        <w:t xml:space="preserve"> a Montrealu</w:t>
      </w:r>
      <w:r>
        <w:rPr>
          <w:rStyle w:val="FootnoteReference"/>
        </w:rPr>
        <w:footnoteReference w:id="17"/>
      </w:r>
      <w:r>
        <w:t>;</w:t>
      </w:r>
    </w:p>
    <w:p w:rsidR="001609B0" w:rsidRDefault="00234ED3">
      <w:pPr>
        <w:pStyle w:val="NormalHanging12a"/>
      </w:pPr>
      <w:r>
        <w:t>7.</w:t>
      </w:r>
      <w:r>
        <w:tab/>
        <w:t>očakáva, že Komisia urýchlene splní svoj záväzok</w:t>
      </w:r>
      <w:r>
        <w:rPr>
          <w:rStyle w:val="FootnoteReference"/>
        </w:rPr>
        <w:footnoteReference w:id="18"/>
      </w:r>
      <w:r>
        <w:t xml:space="preserve"> predložiť návrh na zabezpečenie toho, aby sa nebezpečné chemikálie zakázané v Únii nevyrábali na vývoz;</w:t>
      </w:r>
    </w:p>
    <w:p w:rsidR="001609B0" w:rsidRDefault="00234ED3">
      <w:pPr>
        <w:pStyle w:val="NormalHanging12a"/>
      </w:pPr>
      <w:r>
        <w:t>8.</w:t>
      </w:r>
      <w:r>
        <w:tab/>
        <w:t>víta to, že Komisia v liste z 11. septembra 2020 adresovanom poslancom konečne uznala, že pri rozhodovaní o povoleniach pre GMO treba zohľadňovať otázku udržateľnosti</w:t>
      </w:r>
      <w:r>
        <w:rPr>
          <w:rStyle w:val="FootnoteReference"/>
        </w:rPr>
        <w:footnoteReference w:id="19"/>
      </w:r>
      <w:r>
        <w:t>; vyjadruje však hlboké sklamanie nad tým, že Komisia naďalej povoľuje dovoz GMO do Únie napriek neprestajným námietkam Európskeho parlamentu a bez kvalifikovanej väčšiny členských štátov hlasujúcich za;</w:t>
      </w:r>
    </w:p>
    <w:p w:rsidR="001609B0" w:rsidRDefault="00234ED3">
      <w:pPr>
        <w:pStyle w:val="NormalHanging12a"/>
      </w:pPr>
      <w:r>
        <w:t>9.</w:t>
      </w:r>
      <w:r>
        <w:tab/>
        <w:t>opätovne naliehavo vyzýva Komisiu, aby zohľadnila záväzky Únie vyplývajúce z medzinárodných dohôd, ako sú Parížska dohoda o zmene klímy, Dohovor OSN o biologickej diverzite a ciele OSN v oblasti udržateľného rozvoja; opakuje svoju výzvu, aby bola k návrhom vykonávacích aktov priložená dôvodová správa, v ktorej sa vysvetlí, ako sa v nich dodržiava zásada „nespôsobovať škodu“</w:t>
      </w:r>
      <w:r>
        <w:rPr>
          <w:rStyle w:val="FootnoteReference"/>
        </w:rPr>
        <w:footnoteReference w:id="20"/>
      </w:r>
      <w:r>
        <w:t xml:space="preserve">; </w:t>
      </w:r>
    </w:p>
    <w:p w:rsidR="001609B0" w:rsidRDefault="00234ED3">
      <w:pPr>
        <w:pStyle w:val="NormalHanging12a"/>
      </w:pPr>
      <w:r>
        <w:t>10.</w:t>
      </w:r>
      <w:r>
        <w:tab/>
        <w:t>poveruje svoju predsedníčku, aby postúpila toto uznesenie Rade, Komisii a vládam a parlamentom členských štátov.</w:t>
      </w:r>
    </w:p>
    <w:p w:rsidR="001609B0" w:rsidRDefault="001609B0"/>
    <w:sectPr w:rsidR="001609B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9B0" w:rsidRDefault="00234ED3">
      <w:r>
        <w:separator/>
      </w:r>
    </w:p>
  </w:endnote>
  <w:endnote w:type="continuationSeparator" w:id="0">
    <w:p w:rsidR="001609B0" w:rsidRDefault="00234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9B0" w:rsidRDefault="001609B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9B0" w:rsidRDefault="001609B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9B0" w:rsidRDefault="001609B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9B0" w:rsidRDefault="00234ED3">
      <w:r>
        <w:separator/>
      </w:r>
    </w:p>
  </w:footnote>
  <w:footnote w:type="continuationSeparator" w:id="0">
    <w:p w:rsidR="001609B0" w:rsidRDefault="00234ED3">
      <w:r>
        <w:continuationSeparator/>
      </w:r>
    </w:p>
  </w:footnote>
  <w:footnote w:id="1">
    <w:p w:rsidR="001609B0" w:rsidRDefault="00234ED3">
      <w:pPr>
        <w:pStyle w:val="FootnoteText"/>
        <w:ind w:left="567" w:hanging="567"/>
        <w:rPr>
          <w:lang w:val="sk-SK"/>
        </w:rPr>
      </w:pPr>
      <w:r>
        <w:rPr>
          <w:rStyle w:val="FootnoteReference"/>
        </w:rPr>
        <w:footnoteRef/>
      </w:r>
      <w:r>
        <w:rPr>
          <w:lang w:val="fi-FI"/>
        </w:rPr>
        <w:t xml:space="preserve"> </w:t>
      </w:r>
      <w:r>
        <w:rPr>
          <w:lang w:val="sk-SK"/>
        </w:rPr>
        <w:tab/>
      </w:r>
      <w:r>
        <w:rPr>
          <w:sz w:val="24"/>
          <w:lang w:val="sk-SK"/>
        </w:rPr>
        <w:t xml:space="preserve">Ú. v. EÚ L, </w:t>
      </w:r>
      <w:r>
        <w:rPr>
          <w:sz w:val="24"/>
          <w:lang w:val="fi-FI"/>
        </w:rPr>
        <w:t xml:space="preserve">2024/2618, 10.10.2024, ELI: </w:t>
      </w:r>
      <w:r w:rsidR="00C94627">
        <w:fldChar w:fldCharType="begin"/>
      </w:r>
      <w:r w:rsidR="00C94627" w:rsidRPr="00C94627">
        <w:rPr>
          <w:lang w:val="fi-FI"/>
        </w:rPr>
        <w:instrText xml:space="preserve"> HYPERLINK "http://data.europa.eu/eli/dec_impl/2024/2618/oj" </w:instrText>
      </w:r>
      <w:r w:rsidR="00C94627">
        <w:fldChar w:fldCharType="separate"/>
      </w:r>
      <w:r>
        <w:rPr>
          <w:rStyle w:val="Hyperlink"/>
          <w:sz w:val="24"/>
          <w:lang w:val="fi-FI"/>
        </w:rPr>
        <w:t>http://data.europa.eu/eli/dec_impl/2024/2618/oj</w:t>
      </w:r>
      <w:r w:rsidR="00C94627">
        <w:rPr>
          <w:rStyle w:val="Hyperlink"/>
          <w:sz w:val="24"/>
          <w:lang w:val="fi-FI"/>
        </w:rPr>
        <w:fldChar w:fldCharType="end"/>
      </w:r>
      <w:r>
        <w:rPr>
          <w:sz w:val="24"/>
          <w:lang w:val="fi-FI"/>
        </w:rPr>
        <w:t>.</w:t>
      </w:r>
    </w:p>
  </w:footnote>
  <w:footnote w:id="2">
    <w:p w:rsidR="001609B0" w:rsidRDefault="00234ED3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 v. EÚ L 268, 18.10.2003, s. 1, ELI: </w:t>
      </w:r>
      <w:r w:rsidR="00C94627">
        <w:fldChar w:fldCharType="begin"/>
      </w:r>
      <w:r w:rsidR="00C94627" w:rsidRPr="00C94627">
        <w:rPr>
          <w:lang w:val="fi-FI"/>
        </w:rPr>
        <w:instrText xml:space="preserve"> HYPERLINK "http://data.europa.eu/eli/reg/2003/1829/oj" \o "Umožňuje prístup k tomuto dokumentu prostredníctvom jednotného identifikátora zdroja ELI." </w:instrText>
      </w:r>
      <w:r w:rsidR="00C94627">
        <w:fldChar w:fldCharType="separate"/>
      </w:r>
      <w:r>
        <w:rPr>
          <w:rStyle w:val="Hyperlink"/>
          <w:color w:val="337AB7"/>
          <w:sz w:val="24"/>
          <w:shd w:val="clear" w:color="auto" w:fill="FFFFFF"/>
          <w:lang w:val="sk-SK"/>
        </w:rPr>
        <w:t>http://data.europa.eu/eli/reg/2003/1829/oj</w:t>
      </w:r>
      <w:r w:rsidR="00C94627">
        <w:rPr>
          <w:rStyle w:val="Hyperlink"/>
          <w:color w:val="337AB7"/>
          <w:sz w:val="24"/>
          <w:shd w:val="clear" w:color="auto" w:fill="FFFFFF"/>
          <w:lang w:val="sk-SK"/>
        </w:rPr>
        <w:fldChar w:fldCharType="end"/>
      </w:r>
      <w:r>
        <w:rPr>
          <w:rStyle w:val="Hyperlink"/>
          <w:color w:val="337AB7"/>
          <w:sz w:val="24"/>
          <w:shd w:val="clear" w:color="auto" w:fill="FFFFFF"/>
          <w:lang w:val="sk-SK"/>
        </w:rPr>
        <w:t>.</w:t>
      </w:r>
    </w:p>
  </w:footnote>
  <w:footnote w:id="3">
    <w:p w:rsidR="001609B0" w:rsidRDefault="00234ED3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 v. EÚ L 55, 28.2.2011, s. 13, ELI: </w:t>
      </w:r>
      <w:r w:rsidR="00C94627">
        <w:fldChar w:fldCharType="begin"/>
      </w:r>
      <w:r w:rsidR="00C94627" w:rsidRPr="00C94627">
        <w:rPr>
          <w:lang w:val="fi-FI"/>
        </w:rPr>
        <w:instrText xml:space="preserve"> HYPERLINK "http://data.europa.eu/eli/reg/2011/182/oj" \o "Umožňuje prístup k tomuto dokumentu prostredníctvom jednotného identifikátora zdroja ELI." </w:instrText>
      </w:r>
      <w:r w:rsidR="00C94627">
        <w:fldChar w:fldCharType="separate"/>
      </w:r>
      <w:r>
        <w:rPr>
          <w:rStyle w:val="Hyperlink"/>
          <w:color w:val="337AB7"/>
          <w:sz w:val="24"/>
          <w:shd w:val="clear" w:color="auto" w:fill="FFFFFF"/>
          <w:lang w:val="sk-SK"/>
        </w:rPr>
        <w:t>http://data.europa.eu/eli/reg/2011/182/oj</w:t>
      </w:r>
      <w:r w:rsidR="00C94627">
        <w:rPr>
          <w:rStyle w:val="Hyperlink"/>
          <w:color w:val="337AB7"/>
          <w:sz w:val="24"/>
          <w:shd w:val="clear" w:color="auto" w:fill="FFFFFF"/>
          <w:lang w:val="sk-SK"/>
        </w:rPr>
        <w:fldChar w:fldCharType="end"/>
      </w:r>
      <w:r>
        <w:rPr>
          <w:rStyle w:val="Hyperlink"/>
          <w:color w:val="337AB7"/>
          <w:sz w:val="24"/>
          <w:shd w:val="clear" w:color="auto" w:fill="FFFFFF"/>
          <w:lang w:val="sk-SK"/>
        </w:rPr>
        <w:t>.</w:t>
      </w:r>
    </w:p>
  </w:footnote>
  <w:footnote w:id="4">
    <w:p w:rsidR="001609B0" w:rsidRDefault="00234ED3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Vedecké stanovisko pracovnej skupiny EFSA pre geneticky modifikované organizmy k posúdeniu geneticky modifikovanej kukurice DP202216 na použitie v potravinách a krmivách podľa nariadenia (ES) č. 1829/2003 (žiadosť EFSA-GMO-NL-2019-159), vestník EFSA 2024; 22(3):8655, </w:t>
      </w:r>
      <w:r w:rsidR="00C94627">
        <w:fldChar w:fldCharType="begin"/>
      </w:r>
      <w:r w:rsidR="00C94627" w:rsidRPr="00C94627">
        <w:rPr>
          <w:lang w:val="sk-SK"/>
        </w:rPr>
        <w:instrText xml:space="preserve"> HYPERLINK "https://doi.org/10.2903/j.efsa.20</w:instrText>
      </w:r>
      <w:r w:rsidR="00C94627" w:rsidRPr="00C94627">
        <w:rPr>
          <w:lang w:val="sk-SK"/>
        </w:rPr>
        <w:instrText xml:space="preserve">24.8655" </w:instrText>
      </w:r>
      <w:r w:rsidR="00C94627">
        <w:fldChar w:fldCharType="separate"/>
      </w:r>
      <w:r>
        <w:rPr>
          <w:rStyle w:val="Hyperlink"/>
          <w:sz w:val="24"/>
          <w:lang w:val="sk-SK"/>
        </w:rPr>
        <w:t>https://doi.org/10.2903/j.efsa.2023.8031</w:t>
      </w:r>
      <w:r w:rsidR="00C94627">
        <w:rPr>
          <w:rStyle w:val="Hyperlink"/>
          <w:sz w:val="24"/>
          <w:lang w:val="sk-SK"/>
        </w:rPr>
        <w:fldChar w:fldCharType="end"/>
      </w:r>
      <w:r>
        <w:rPr>
          <w:sz w:val="24"/>
          <w:lang w:val="sk-SK"/>
        </w:rPr>
        <w:t>.</w:t>
      </w:r>
    </w:p>
  </w:footnote>
  <w:footnote w:id="5">
    <w:p w:rsidR="001609B0" w:rsidRDefault="00234ED3">
      <w:pPr>
        <w:pStyle w:val="FootnoteText"/>
        <w:ind w:left="567" w:hanging="567"/>
        <w:rPr>
          <w:sz w:val="24"/>
          <w:szCs w:val="22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color w:val="000000" w:themeColor="text1"/>
          <w:sz w:val="24"/>
          <w:lang w:val="sk-SK"/>
        </w:rPr>
        <w:t xml:space="preserve"> </w:t>
      </w:r>
      <w:r>
        <w:rPr>
          <w:color w:val="000000" w:themeColor="text1"/>
          <w:sz w:val="24"/>
          <w:lang w:val="sk-SK"/>
        </w:rPr>
        <w:tab/>
        <w:t xml:space="preserve">Európsky parlament prijal vo svojom ôsmom volebnom období 36 uznesení a v deviatom volebnom období 38 uznesení, v ktorých namieta proti povoľovaniu GMO. </w:t>
      </w:r>
    </w:p>
  </w:footnote>
  <w:footnote w:id="6">
    <w:p w:rsidR="001609B0" w:rsidRDefault="00234ED3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Vykonávacie nariadenie Komisie (EÚ) č. 503/2013 z 3. apríla 2013, ktoré sa týka žiadostí o povolenie geneticky modifikovaných potravín a krmív v súlade s nariadením Európskeho parlamentu a Rady (ES) č. 1829/2003 a ktorým sa menia a dopĺňajú nariadenia Komisie (ES) č. 641/2004 a (ES) č. 1981/2006 (Ú. v. EÚ L 157, 8.6.2013, s. 1, ELI: </w:t>
      </w:r>
      <w:r w:rsidR="00C94627">
        <w:fldChar w:fldCharType="begin"/>
      </w:r>
      <w:r w:rsidR="00C94627" w:rsidRPr="00C94627">
        <w:rPr>
          <w:lang w:val="sk-SK"/>
        </w:rPr>
        <w:instrText xml:space="preserve"> HYPERLINK "http://data.europa.eu/eli/reg_impl/2013/503/oj" \o "Umožňuje prístup k tomuto dokumentu prostredníctvom jednotného identifikátora zdroja ELI." </w:instrText>
      </w:r>
      <w:r w:rsidR="00C94627">
        <w:fldChar w:fldCharType="separate"/>
      </w:r>
      <w:r>
        <w:rPr>
          <w:rStyle w:val="Hyperlink"/>
          <w:sz w:val="24"/>
          <w:lang w:val="sk-SK"/>
        </w:rPr>
        <w:t>http://data.europa.eu/eli/reg_impl/2013/503/oj</w:t>
      </w:r>
      <w:r w:rsidR="00C94627">
        <w:rPr>
          <w:rStyle w:val="Hyperlink"/>
          <w:sz w:val="24"/>
          <w:lang w:val="sk-SK"/>
        </w:rPr>
        <w:fldChar w:fldCharType="end"/>
      </w:r>
      <w:r>
        <w:rPr>
          <w:sz w:val="24"/>
          <w:lang w:val="sk-SK"/>
        </w:rPr>
        <w:t>).</w:t>
      </w:r>
    </w:p>
  </w:footnote>
  <w:footnote w:id="7">
    <w:p w:rsidR="001609B0" w:rsidRDefault="00234ED3">
      <w:pPr>
        <w:pStyle w:val="FootnoteText"/>
        <w:ind w:left="567" w:hanging="567"/>
        <w:rPr>
          <w:sz w:val="24"/>
          <w:szCs w:val="22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Pozri napríklad </w:t>
      </w:r>
      <w:proofErr w:type="spellStart"/>
      <w:r>
        <w:rPr>
          <w:sz w:val="24"/>
          <w:lang w:val="sk-SK"/>
        </w:rPr>
        <w:t>Schulz</w:t>
      </w:r>
      <w:proofErr w:type="spellEnd"/>
      <w:r>
        <w:rPr>
          <w:sz w:val="24"/>
          <w:lang w:val="sk-SK"/>
        </w:rPr>
        <w:t xml:space="preserve">, R., </w:t>
      </w:r>
      <w:proofErr w:type="spellStart"/>
      <w:r>
        <w:rPr>
          <w:sz w:val="24"/>
          <w:lang w:val="sk-SK"/>
        </w:rPr>
        <w:t>Bub</w:t>
      </w:r>
      <w:proofErr w:type="spellEnd"/>
      <w:r>
        <w:rPr>
          <w:sz w:val="24"/>
          <w:lang w:val="sk-SK"/>
        </w:rPr>
        <w:t xml:space="preserve">, S., </w:t>
      </w:r>
      <w:proofErr w:type="spellStart"/>
      <w:r>
        <w:rPr>
          <w:sz w:val="24"/>
          <w:lang w:val="sk-SK"/>
        </w:rPr>
        <w:t>Petschick</w:t>
      </w:r>
      <w:proofErr w:type="spellEnd"/>
      <w:r>
        <w:rPr>
          <w:sz w:val="24"/>
          <w:lang w:val="sk-SK"/>
        </w:rPr>
        <w:t xml:space="preserve">, L. L., </w:t>
      </w:r>
      <w:proofErr w:type="spellStart"/>
      <w:r>
        <w:rPr>
          <w:sz w:val="24"/>
          <w:lang w:val="sk-SK"/>
        </w:rPr>
        <w:t>Stehle</w:t>
      </w:r>
      <w:proofErr w:type="spellEnd"/>
      <w:r>
        <w:rPr>
          <w:sz w:val="24"/>
          <w:lang w:val="sk-SK"/>
        </w:rPr>
        <w:t xml:space="preserve">, S., </w:t>
      </w:r>
      <w:proofErr w:type="spellStart"/>
      <w:r>
        <w:rPr>
          <w:sz w:val="24"/>
          <w:lang w:val="sk-SK"/>
        </w:rPr>
        <w:t>Wolfram</w:t>
      </w:r>
      <w:proofErr w:type="spellEnd"/>
      <w:r>
        <w:rPr>
          <w:sz w:val="24"/>
          <w:lang w:val="sk-SK"/>
        </w:rPr>
        <w:t xml:space="preserve">, J. (2021), </w:t>
      </w:r>
      <w:proofErr w:type="spellStart"/>
      <w:r>
        <w:rPr>
          <w:sz w:val="24"/>
          <w:lang w:val="sk-SK"/>
        </w:rPr>
        <w:t>Applied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pesticide</w:t>
      </w:r>
      <w:proofErr w:type="spellEnd"/>
      <w:r>
        <w:rPr>
          <w:sz w:val="24"/>
          <w:lang w:val="sk-SK"/>
        </w:rPr>
        <w:t xml:space="preserve"> toxicity </w:t>
      </w:r>
      <w:proofErr w:type="spellStart"/>
      <w:r>
        <w:rPr>
          <w:sz w:val="24"/>
          <w:lang w:val="sk-SK"/>
        </w:rPr>
        <w:t>shifts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toward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plants</w:t>
      </w:r>
      <w:proofErr w:type="spellEnd"/>
      <w:r>
        <w:rPr>
          <w:sz w:val="24"/>
          <w:lang w:val="sk-SK"/>
        </w:rPr>
        <w:t xml:space="preserve"> and </w:t>
      </w:r>
      <w:proofErr w:type="spellStart"/>
      <w:r>
        <w:rPr>
          <w:sz w:val="24"/>
          <w:lang w:val="sk-SK"/>
        </w:rPr>
        <w:t>bezstavebrates</w:t>
      </w:r>
      <w:proofErr w:type="spellEnd"/>
      <w:r>
        <w:rPr>
          <w:sz w:val="24"/>
          <w:lang w:val="sk-SK"/>
        </w:rPr>
        <w:t xml:space="preserve">, </w:t>
      </w:r>
      <w:proofErr w:type="spellStart"/>
      <w:r>
        <w:rPr>
          <w:sz w:val="24"/>
          <w:lang w:val="sk-SK"/>
        </w:rPr>
        <w:t>even</w:t>
      </w:r>
      <w:proofErr w:type="spellEnd"/>
      <w:r>
        <w:rPr>
          <w:sz w:val="24"/>
          <w:lang w:val="sk-SK"/>
        </w:rPr>
        <w:t xml:space="preserve"> in GM </w:t>
      </w:r>
      <w:proofErr w:type="spellStart"/>
      <w:r>
        <w:rPr>
          <w:sz w:val="24"/>
          <w:lang w:val="sk-SK"/>
        </w:rPr>
        <w:t>crops</w:t>
      </w:r>
      <w:proofErr w:type="spellEnd"/>
      <w:r>
        <w:rPr>
          <w:sz w:val="24"/>
          <w:lang w:val="sk-SK"/>
        </w:rPr>
        <w:t xml:space="preserve"> (Aplikovaná toxicita pesticídov sa presúva smerom k rastlinám a bezstavovcom, dokonca aj v geneticky modifikovaných plodinách), </w:t>
      </w:r>
      <w:proofErr w:type="spellStart"/>
      <w:r>
        <w:rPr>
          <w:sz w:val="24"/>
          <w:lang w:val="sk-SK"/>
        </w:rPr>
        <w:t>Science</w:t>
      </w:r>
      <w:proofErr w:type="spellEnd"/>
      <w:r>
        <w:rPr>
          <w:sz w:val="24"/>
          <w:lang w:val="sk-SK"/>
        </w:rPr>
        <w:t xml:space="preserve"> 372(6537), s. 81 – 84, </w:t>
      </w:r>
      <w:r w:rsidR="00C94627">
        <w:fldChar w:fldCharType="begin"/>
      </w:r>
      <w:r w:rsidR="00C94627" w:rsidRPr="00C94627">
        <w:rPr>
          <w:lang w:val="sk-SK"/>
        </w:rPr>
        <w:instrText xml:space="preserve"> HYPERLINK "https://doi.org/10.1126/science.abe1148" </w:instrText>
      </w:r>
      <w:r w:rsidR="00C94627">
        <w:fldChar w:fldCharType="separate"/>
      </w:r>
      <w:r>
        <w:rPr>
          <w:rStyle w:val="Hyperlink"/>
          <w:sz w:val="24"/>
          <w:lang w:val="sk-SK"/>
        </w:rPr>
        <w:t>https://doi.org/10.1126/science.abe1148</w:t>
      </w:r>
      <w:r w:rsidR="00C94627">
        <w:rPr>
          <w:rStyle w:val="Hyperlink"/>
          <w:sz w:val="24"/>
          <w:lang w:val="sk-SK"/>
        </w:rPr>
        <w:fldChar w:fldCharType="end"/>
      </w:r>
      <w:r>
        <w:rPr>
          <w:rStyle w:val="Hyperlink"/>
          <w:sz w:val="24"/>
          <w:lang w:val="sk-SK"/>
        </w:rPr>
        <w:t>;</w:t>
      </w:r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Bonny</w:t>
      </w:r>
      <w:proofErr w:type="spellEnd"/>
      <w:r>
        <w:rPr>
          <w:sz w:val="24"/>
          <w:lang w:val="sk-SK"/>
        </w:rPr>
        <w:t>, S., ‘</w:t>
      </w:r>
      <w:proofErr w:type="spellStart"/>
      <w:r>
        <w:rPr>
          <w:sz w:val="24"/>
          <w:lang w:val="sk-SK"/>
        </w:rPr>
        <w:t>Genetically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Modified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Herbicide-Tolerant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Crops</w:t>
      </w:r>
      <w:proofErr w:type="spellEnd"/>
      <w:r>
        <w:rPr>
          <w:sz w:val="24"/>
          <w:lang w:val="sk-SK"/>
        </w:rPr>
        <w:t xml:space="preserve">, </w:t>
      </w:r>
      <w:proofErr w:type="spellStart"/>
      <w:r>
        <w:rPr>
          <w:sz w:val="24"/>
          <w:lang w:val="sk-SK"/>
        </w:rPr>
        <w:t>Weeds</w:t>
      </w:r>
      <w:proofErr w:type="spellEnd"/>
      <w:r>
        <w:rPr>
          <w:sz w:val="24"/>
          <w:lang w:val="sk-SK"/>
        </w:rPr>
        <w:t xml:space="preserve">, and </w:t>
      </w:r>
      <w:proofErr w:type="spellStart"/>
      <w:r>
        <w:rPr>
          <w:sz w:val="24"/>
          <w:lang w:val="sk-SK"/>
        </w:rPr>
        <w:t>Herbicides</w:t>
      </w:r>
      <w:proofErr w:type="spellEnd"/>
      <w:r>
        <w:rPr>
          <w:sz w:val="24"/>
          <w:lang w:val="sk-SK"/>
        </w:rPr>
        <w:t xml:space="preserve">: </w:t>
      </w:r>
      <w:proofErr w:type="spellStart"/>
      <w:r>
        <w:rPr>
          <w:sz w:val="24"/>
          <w:lang w:val="sk-SK"/>
        </w:rPr>
        <w:t>Overview</w:t>
      </w:r>
      <w:proofErr w:type="spellEnd"/>
      <w:r>
        <w:rPr>
          <w:sz w:val="24"/>
          <w:lang w:val="sk-SK"/>
        </w:rPr>
        <w:t xml:space="preserve"> and </w:t>
      </w:r>
      <w:proofErr w:type="spellStart"/>
      <w:r>
        <w:rPr>
          <w:sz w:val="24"/>
          <w:lang w:val="sk-SK"/>
        </w:rPr>
        <w:t>Impact</w:t>
      </w:r>
      <w:proofErr w:type="spellEnd"/>
      <w:r>
        <w:rPr>
          <w:sz w:val="24"/>
          <w:lang w:val="sk-SK"/>
        </w:rPr>
        <w:t xml:space="preserve"> (Geneticky modifikované plodiny, buriny a herbicídy tolerantné k herbicídom: Prehľad a vplyv), </w:t>
      </w:r>
      <w:proofErr w:type="spellStart"/>
      <w:r>
        <w:rPr>
          <w:sz w:val="24"/>
          <w:lang w:val="sk-SK"/>
        </w:rPr>
        <w:t>Environmental</w:t>
      </w:r>
      <w:proofErr w:type="spellEnd"/>
      <w:r>
        <w:rPr>
          <w:sz w:val="24"/>
          <w:lang w:val="sk-SK"/>
        </w:rPr>
        <w:t xml:space="preserve"> Management, január 2016; 57(1), s. 31 – 48, </w:t>
      </w:r>
      <w:r w:rsidR="00C94627">
        <w:fldChar w:fldCharType="begin"/>
      </w:r>
      <w:r w:rsidR="00C94627" w:rsidRPr="00C94627">
        <w:rPr>
          <w:lang w:val="sk-SK"/>
        </w:rPr>
        <w:instrText xml:space="preserve"> HYPERLINK "https://www.ncbi.nlm.nih.gov/pubmed/26296738" </w:instrText>
      </w:r>
      <w:r w:rsidR="00C94627">
        <w:fldChar w:fldCharType="separate"/>
      </w:r>
      <w:r>
        <w:rPr>
          <w:rStyle w:val="Hyperlink"/>
          <w:sz w:val="24"/>
          <w:lang w:val="sk-SK"/>
        </w:rPr>
        <w:t>https://www.ncbi.nlm.nih.gov/pubmed/26296738</w:t>
      </w:r>
      <w:r w:rsidR="00C94627">
        <w:rPr>
          <w:rStyle w:val="Hyperlink"/>
          <w:sz w:val="24"/>
          <w:lang w:val="sk-SK"/>
        </w:rPr>
        <w:fldChar w:fldCharType="end"/>
      </w:r>
      <w:r>
        <w:rPr>
          <w:sz w:val="24"/>
          <w:lang w:val="sk-SK"/>
        </w:rPr>
        <w:t>; a </w:t>
      </w:r>
      <w:proofErr w:type="spellStart"/>
      <w:r>
        <w:rPr>
          <w:sz w:val="24"/>
          <w:lang w:val="sk-SK"/>
        </w:rPr>
        <w:t>Benbrook</w:t>
      </w:r>
      <w:proofErr w:type="spellEnd"/>
      <w:r>
        <w:rPr>
          <w:sz w:val="24"/>
          <w:lang w:val="sk-SK"/>
        </w:rPr>
        <w:t xml:space="preserve">, C.M., </w:t>
      </w:r>
      <w:proofErr w:type="spellStart"/>
      <w:r>
        <w:rPr>
          <w:sz w:val="24"/>
          <w:lang w:val="sk-SK"/>
        </w:rPr>
        <w:t>Impacts</w:t>
      </w:r>
      <w:proofErr w:type="spellEnd"/>
      <w:r>
        <w:rPr>
          <w:sz w:val="24"/>
          <w:lang w:val="sk-SK"/>
        </w:rPr>
        <w:t xml:space="preserve"> of </w:t>
      </w:r>
      <w:proofErr w:type="spellStart"/>
      <w:r>
        <w:rPr>
          <w:sz w:val="24"/>
          <w:lang w:val="sk-SK"/>
        </w:rPr>
        <w:t>genetically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engineered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crops</w:t>
      </w:r>
      <w:proofErr w:type="spellEnd"/>
      <w:r>
        <w:rPr>
          <w:sz w:val="24"/>
          <w:lang w:val="sk-SK"/>
        </w:rPr>
        <w:t xml:space="preserve"> on </w:t>
      </w:r>
      <w:proofErr w:type="spellStart"/>
      <w:r>
        <w:rPr>
          <w:sz w:val="24"/>
          <w:lang w:val="sk-SK"/>
        </w:rPr>
        <w:t>pesticide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use</w:t>
      </w:r>
      <w:proofErr w:type="spellEnd"/>
      <w:r>
        <w:rPr>
          <w:sz w:val="24"/>
          <w:lang w:val="sk-SK"/>
        </w:rPr>
        <w:t xml:space="preserve"> in </w:t>
      </w:r>
      <w:proofErr w:type="spellStart"/>
      <w:r>
        <w:rPr>
          <w:sz w:val="24"/>
          <w:lang w:val="sk-SK"/>
        </w:rPr>
        <w:t>the</w:t>
      </w:r>
      <w:proofErr w:type="spellEnd"/>
      <w:r>
        <w:rPr>
          <w:sz w:val="24"/>
          <w:lang w:val="sk-SK"/>
        </w:rPr>
        <w:t xml:space="preserve"> U.S. – </w:t>
      </w:r>
      <w:proofErr w:type="spellStart"/>
      <w:r>
        <w:rPr>
          <w:sz w:val="24"/>
          <w:lang w:val="sk-SK"/>
        </w:rPr>
        <w:t>the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first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sixteen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years</w:t>
      </w:r>
      <w:proofErr w:type="spellEnd"/>
      <w:r>
        <w:rPr>
          <w:sz w:val="24"/>
          <w:lang w:val="sk-SK"/>
        </w:rPr>
        <w:t xml:space="preserve"> (Vplyv geneticky modifikovaných plodín na používanie pesticídov v USA – prvých šestnásť rokov), </w:t>
      </w:r>
      <w:proofErr w:type="spellStart"/>
      <w:r>
        <w:rPr>
          <w:sz w:val="24"/>
          <w:lang w:val="sk-SK"/>
        </w:rPr>
        <w:t>Environmental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Sciences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Europe</w:t>
      </w:r>
      <w:proofErr w:type="spellEnd"/>
      <w:r>
        <w:rPr>
          <w:sz w:val="24"/>
          <w:lang w:val="sk-SK"/>
        </w:rPr>
        <w:t xml:space="preserve">, 28. september 2012, zväzok 24(1), </w:t>
      </w:r>
      <w:r w:rsidR="00C94627">
        <w:fldChar w:fldCharType="begin"/>
      </w:r>
      <w:r w:rsidR="00C94627" w:rsidRPr="00C94627">
        <w:rPr>
          <w:lang w:val="sk-SK"/>
        </w:rPr>
        <w:instrText xml:space="preserve"> HYPERLINK "https://enveurope.springeropen.com/articles/10.1186/2190-4715-24-24" </w:instrText>
      </w:r>
      <w:r w:rsidR="00C94627">
        <w:fldChar w:fldCharType="separate"/>
      </w:r>
      <w:r>
        <w:rPr>
          <w:rStyle w:val="Hyperlink"/>
          <w:sz w:val="24"/>
          <w:lang w:val="sk-SK"/>
        </w:rPr>
        <w:t>https://enveurope.springeropen.com/articles/10.1186/2190-4715-24-24</w:t>
      </w:r>
      <w:r w:rsidR="00C94627">
        <w:rPr>
          <w:rStyle w:val="Hyperlink"/>
          <w:sz w:val="24"/>
          <w:lang w:val="sk-SK"/>
        </w:rPr>
        <w:fldChar w:fldCharType="end"/>
      </w:r>
      <w:r>
        <w:rPr>
          <w:sz w:val="24"/>
          <w:lang w:val="sk-SK"/>
        </w:rPr>
        <w:t>.</w:t>
      </w:r>
    </w:p>
  </w:footnote>
  <w:footnote w:id="8">
    <w:p w:rsidR="001609B0" w:rsidRDefault="00234ED3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Nariadenie Európskeho parlamentu a Rady (ES) č. 1107/2009 z 21. októbra 2009 o uvádzaní prípravkov na ochranu rastlín na trh a o zrušení smerníc Rady 79/117/EHS a 91/414/EHS (Ú. v. EÚ L 309, 24.11.2009, s. 1, ELI: </w:t>
      </w:r>
      <w:r w:rsidR="00C94627">
        <w:fldChar w:fldCharType="begin"/>
      </w:r>
      <w:r w:rsidR="00C94627" w:rsidRPr="00C94627">
        <w:rPr>
          <w:lang w:val="sk-SK"/>
        </w:rPr>
        <w:instrText xml:space="preserve"> HYPERLINK "http://data.europa.eu/eli/reg/2009/1107/oj" \o "Umožňuje prístup k tomuto dokumentu prostredníctvom</w:instrText>
      </w:r>
      <w:r w:rsidR="00C94627" w:rsidRPr="00C94627">
        <w:rPr>
          <w:lang w:val="sk-SK"/>
        </w:rPr>
        <w:instrText xml:space="preserve"> jednotného identifikátora zdroja ELI." </w:instrText>
      </w:r>
      <w:r w:rsidR="00C94627">
        <w:fldChar w:fldCharType="separate"/>
      </w:r>
      <w:r>
        <w:rPr>
          <w:rStyle w:val="Hyperlink"/>
          <w:sz w:val="24"/>
          <w:lang w:val="sk-SK"/>
        </w:rPr>
        <w:t>http://data.europa.eu/eli/reg/2009/1107/oj</w:t>
      </w:r>
      <w:r w:rsidR="00C94627">
        <w:rPr>
          <w:rStyle w:val="Hyperlink"/>
          <w:sz w:val="24"/>
          <w:lang w:val="sk-SK"/>
        </w:rPr>
        <w:fldChar w:fldCharType="end"/>
      </w:r>
      <w:r>
        <w:rPr>
          <w:sz w:val="24"/>
          <w:lang w:val="sk-SK"/>
        </w:rPr>
        <w:t>).</w:t>
      </w:r>
    </w:p>
  </w:footnote>
  <w:footnote w:id="9">
    <w:p w:rsidR="001609B0" w:rsidRDefault="00234ED3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 w:rsidR="00C94627">
        <w:fldChar w:fldCharType="begin"/>
      </w:r>
      <w:r w:rsidR="00C94627" w:rsidRPr="00C94627">
        <w:rPr>
          <w:lang w:val="sk-SK"/>
        </w:rPr>
        <w:instrText xml:space="preserve"> HYPERLINK "https://efsa.onlinelibrary.wiley.com/action/downloadSupplement?doi=10.2903/j.efsa.2024.8655&amp;file=efs28655-sup-0008-Annex8.pdf" </w:instrText>
      </w:r>
      <w:r w:rsidR="00C94627">
        <w:fldChar w:fldCharType="separate"/>
      </w:r>
      <w:r>
        <w:rPr>
          <w:rStyle w:val="Hyperlink"/>
          <w:sz w:val="24"/>
          <w:lang w:val="sk-SK"/>
        </w:rPr>
        <w:t>https://efsa.onlinelibrary.wiley.com/action/downloadSupplement?doi=10.2903%‌2Fj.efsa.2024.8655&amp;file=efs28655-sup-0008-Annex8.pdf</w:t>
      </w:r>
      <w:r w:rsidR="00C94627">
        <w:rPr>
          <w:rStyle w:val="Hyperlink"/>
          <w:sz w:val="24"/>
          <w:lang w:val="sk-SK"/>
        </w:rPr>
        <w:fldChar w:fldCharType="end"/>
      </w:r>
      <w:r>
        <w:rPr>
          <w:rStyle w:val="Hyperlink"/>
          <w:sz w:val="24"/>
          <w:lang w:val="sk-SK"/>
        </w:rPr>
        <w:t>.</w:t>
      </w:r>
    </w:p>
  </w:footnote>
  <w:footnote w:id="10">
    <w:p w:rsidR="001609B0" w:rsidRDefault="00234ED3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proofErr w:type="spellStart"/>
      <w:r>
        <w:rPr>
          <w:sz w:val="24"/>
          <w:lang w:val="sk-SK"/>
        </w:rPr>
        <w:t>Strategic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Dialogue</w:t>
      </w:r>
      <w:proofErr w:type="spellEnd"/>
      <w:r>
        <w:rPr>
          <w:sz w:val="24"/>
          <w:lang w:val="sk-SK"/>
        </w:rPr>
        <w:t xml:space="preserve"> on </w:t>
      </w:r>
      <w:proofErr w:type="spellStart"/>
      <w:r>
        <w:rPr>
          <w:sz w:val="24"/>
          <w:lang w:val="sk-SK"/>
        </w:rPr>
        <w:t>the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Future</w:t>
      </w:r>
      <w:proofErr w:type="spellEnd"/>
      <w:r>
        <w:rPr>
          <w:sz w:val="24"/>
          <w:lang w:val="sk-SK"/>
        </w:rPr>
        <w:t xml:space="preserve"> of EU </w:t>
      </w:r>
      <w:proofErr w:type="spellStart"/>
      <w:r>
        <w:rPr>
          <w:sz w:val="24"/>
          <w:lang w:val="sk-SK"/>
        </w:rPr>
        <w:t>Agriculture</w:t>
      </w:r>
      <w:proofErr w:type="spellEnd"/>
      <w:r>
        <w:rPr>
          <w:sz w:val="24"/>
          <w:lang w:val="sk-SK"/>
        </w:rPr>
        <w:t xml:space="preserve"> – A </w:t>
      </w:r>
      <w:proofErr w:type="spellStart"/>
      <w:r>
        <w:rPr>
          <w:sz w:val="24"/>
          <w:lang w:val="sk-SK"/>
        </w:rPr>
        <w:t>shared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prospect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for</w:t>
      </w:r>
      <w:proofErr w:type="spellEnd"/>
      <w:r>
        <w:rPr>
          <w:sz w:val="24"/>
          <w:lang w:val="sk-SK"/>
        </w:rPr>
        <w:t xml:space="preserve"> </w:t>
      </w:r>
      <w:proofErr w:type="spellStart"/>
      <w:r>
        <w:rPr>
          <w:sz w:val="24"/>
          <w:lang w:val="sk-SK"/>
        </w:rPr>
        <w:t>farming</w:t>
      </w:r>
      <w:proofErr w:type="spellEnd"/>
      <w:r>
        <w:rPr>
          <w:sz w:val="24"/>
          <w:lang w:val="sk-SK"/>
        </w:rPr>
        <w:t xml:space="preserve"> and </w:t>
      </w:r>
      <w:proofErr w:type="spellStart"/>
      <w:r>
        <w:rPr>
          <w:sz w:val="24"/>
          <w:lang w:val="sk-SK"/>
        </w:rPr>
        <w:t>food</w:t>
      </w:r>
      <w:proofErr w:type="spellEnd"/>
      <w:r>
        <w:rPr>
          <w:sz w:val="24"/>
          <w:lang w:val="sk-SK"/>
        </w:rPr>
        <w:t xml:space="preserve"> in </w:t>
      </w:r>
      <w:proofErr w:type="spellStart"/>
      <w:r>
        <w:rPr>
          <w:sz w:val="24"/>
          <w:lang w:val="sk-SK"/>
        </w:rPr>
        <w:t>Europe</w:t>
      </w:r>
      <w:proofErr w:type="spellEnd"/>
      <w:r>
        <w:rPr>
          <w:sz w:val="24"/>
          <w:lang w:val="sk-SK"/>
        </w:rPr>
        <w:t xml:space="preserve"> (Strategický dialóg o budúcnosti poľnohospodárstva v EÚ – Spoločná vízia poľnohospodárstva a potravinárstva v Európe), september 2024, </w:t>
      </w:r>
      <w:r w:rsidR="00C94627">
        <w:fldChar w:fldCharType="begin"/>
      </w:r>
      <w:r w:rsidR="00C94627" w:rsidRPr="00C94627">
        <w:rPr>
          <w:lang w:val="sk-SK"/>
        </w:rPr>
        <w:instrText xml:space="preserve"> HYPERLINK "https://agriculture.ec.europa.eu/document/download/171329ff-0f50-4fa5-946f-aea11032172e_en?filename=strategic-dialogue-report-2024_en.pdf" </w:instrText>
      </w:r>
      <w:r w:rsidR="00C94627">
        <w:fldChar w:fldCharType="separate"/>
      </w:r>
      <w:r>
        <w:rPr>
          <w:rStyle w:val="Hyperlink"/>
          <w:sz w:val="24"/>
          <w:lang w:val="sk-SK"/>
        </w:rPr>
        <w:t>https://agriculture.ec.europa.eu/document/download/171329ff-0f50-4fa5-946f-aea11032172e_en?filename=strategic-dialogue-report-2024_en.pdf</w:t>
      </w:r>
      <w:r w:rsidR="00C94627">
        <w:rPr>
          <w:rStyle w:val="Hyperlink"/>
          <w:sz w:val="24"/>
          <w:lang w:val="sk-SK"/>
        </w:rPr>
        <w:fldChar w:fldCharType="end"/>
      </w:r>
      <w:r>
        <w:rPr>
          <w:rStyle w:val="Hyperlink"/>
          <w:sz w:val="24"/>
          <w:lang w:val="sk-SK"/>
        </w:rPr>
        <w:t>.</w:t>
      </w:r>
    </w:p>
  </w:footnote>
  <w:footnote w:id="11">
    <w:p w:rsidR="001609B0" w:rsidRDefault="00234ED3">
      <w:pPr>
        <w:pStyle w:val="FootnoteText"/>
        <w:ind w:left="567" w:hanging="567"/>
        <w:rPr>
          <w:sz w:val="24"/>
          <w:szCs w:val="22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 w:rsidR="00C94627">
        <w:fldChar w:fldCharType="begin"/>
      </w:r>
      <w:r w:rsidR="00C94627" w:rsidRPr="00C94627">
        <w:rPr>
          <w:lang w:val="sk-SK"/>
        </w:rPr>
        <w:instrText xml:space="preserve"> HYPERLINK "https://www.ohchr.org/en/documents/thematic-reports/ahrc3448-report-special-rapporteur-right-food" </w:instrText>
      </w:r>
      <w:r w:rsidR="00C94627">
        <w:fldChar w:fldCharType="separate"/>
      </w:r>
      <w:r>
        <w:rPr>
          <w:rStyle w:val="Hyperlink"/>
          <w:sz w:val="24"/>
          <w:lang w:val="sk-SK"/>
        </w:rPr>
        <w:t>https://www.ohchr.org/en/documents/thematic-reports/ahrc3448-report-special-rapporteur-right-food</w:t>
      </w:r>
      <w:r w:rsidR="00C94627">
        <w:rPr>
          <w:rStyle w:val="Hyperlink"/>
          <w:sz w:val="24"/>
          <w:lang w:val="sk-SK"/>
        </w:rPr>
        <w:fldChar w:fldCharType="end"/>
      </w:r>
    </w:p>
  </w:footnote>
  <w:footnote w:id="12">
    <w:p w:rsidR="001609B0" w:rsidRDefault="00234ED3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 w:rsidR="00C94627">
        <w:fldChar w:fldCharType="begin"/>
      </w:r>
      <w:r w:rsidR="00C94627" w:rsidRPr="00C94627">
        <w:rPr>
          <w:lang w:val="pl-PL"/>
        </w:rPr>
        <w:instrText xml:space="preserve"> HYPERLINK "https://indicators.report/targets/3-9/" </w:instrText>
      </w:r>
      <w:r w:rsidR="00C94627">
        <w:fldChar w:fldCharType="separate"/>
      </w:r>
      <w:r>
        <w:rPr>
          <w:rStyle w:val="Hyperlink"/>
          <w:sz w:val="24"/>
          <w:lang w:val="sk-SK"/>
        </w:rPr>
        <w:t>https://indicators.report/targets/3-9/</w:t>
      </w:r>
      <w:r w:rsidR="00C94627">
        <w:rPr>
          <w:rStyle w:val="Hyperlink"/>
          <w:sz w:val="24"/>
          <w:lang w:val="sk-SK"/>
        </w:rPr>
        <w:fldChar w:fldCharType="end"/>
      </w:r>
    </w:p>
  </w:footnote>
  <w:footnote w:id="13">
    <w:p w:rsidR="001609B0" w:rsidRDefault="00234ED3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pozri: </w:t>
      </w:r>
      <w:r w:rsidR="00C94627">
        <w:fldChar w:fldCharType="begin"/>
      </w:r>
      <w:r w:rsidR="00C94627" w:rsidRPr="00C94627">
        <w:rPr>
          <w:lang w:val="pl-PL"/>
        </w:rPr>
        <w:instrText xml:space="preserve"> HYPERLINK "https://ec.europa.eu/commission/press</w:instrText>
      </w:r>
      <w:r w:rsidR="00C94627" w:rsidRPr="00C94627">
        <w:rPr>
          <w:lang w:val="pl-PL"/>
        </w:rPr>
        <w:instrText xml:space="preserve">corner/detail/sk/ip_22_7834" </w:instrText>
      </w:r>
      <w:r w:rsidR="00C94627">
        <w:fldChar w:fldCharType="separate"/>
      </w:r>
      <w:r>
        <w:rPr>
          <w:rStyle w:val="Hyperlink"/>
          <w:sz w:val="24"/>
          <w:lang w:val="sk-SK"/>
        </w:rPr>
        <w:t>https://ec.europa.eu/commission/presscorner/detail/sk/ip_22_7834</w:t>
      </w:r>
      <w:r w:rsidR="00C94627">
        <w:rPr>
          <w:rStyle w:val="Hyperlink"/>
          <w:sz w:val="24"/>
          <w:lang w:val="sk-SK"/>
        </w:rPr>
        <w:fldChar w:fldCharType="end"/>
      </w:r>
      <w:r>
        <w:rPr>
          <w:sz w:val="24"/>
          <w:lang w:val="sk-SK"/>
        </w:rPr>
        <w:t>.</w:t>
      </w:r>
    </w:p>
  </w:footnote>
  <w:footnote w:id="14">
    <w:p w:rsidR="001609B0" w:rsidRDefault="00234ED3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 w:rsidR="00C94627">
        <w:fldChar w:fldCharType="begin"/>
      </w:r>
      <w:r w:rsidR="00C94627" w:rsidRPr="00C94627">
        <w:rPr>
          <w:lang w:val="sk-SK"/>
        </w:rPr>
        <w:instrText xml:space="preserve"> HYPERLINK "https://commission.europa.eu/document/2c64e540-c07a-4376-a1da-368d289f4afe_en" </w:instrText>
      </w:r>
      <w:r w:rsidR="00C94627">
        <w:fldChar w:fldCharType="separate"/>
      </w:r>
      <w:r>
        <w:rPr>
          <w:rStyle w:val="Hyperlink"/>
          <w:sz w:val="24"/>
          <w:lang w:val="sk-SK"/>
        </w:rPr>
        <w:t>https://commission.europa.eu/document/2c64e540-c07a-4376-a1da-368d289f4afe_en</w:t>
      </w:r>
      <w:r w:rsidR="00C94627">
        <w:rPr>
          <w:rStyle w:val="Hyperlink"/>
          <w:sz w:val="24"/>
          <w:lang w:val="sk-SK"/>
        </w:rPr>
        <w:fldChar w:fldCharType="end"/>
      </w:r>
    </w:p>
  </w:footnote>
  <w:footnote w:id="15">
    <w:p w:rsidR="001609B0" w:rsidRDefault="00234ED3">
      <w:pPr>
        <w:pStyle w:val="FootnoteText"/>
        <w:ind w:left="567" w:hanging="567"/>
        <w:rPr>
          <w:sz w:val="24"/>
          <w:szCs w:val="22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Ak udelenie povolenia v odvolacom výbore neschváli kvalifikovaná väčšina členských štátov, Komisia podľa článku 6 ods. 3 nariadenia (EÚ) č. 182/2011 môže, ale nemusí dané povolenie udeliť.</w:t>
      </w:r>
    </w:p>
  </w:footnote>
  <w:footnote w:id="16">
    <w:p w:rsidR="001609B0" w:rsidRDefault="00234ED3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Nariadenie Európskeho parlamentu a Rady (ES) č. 178/2002 z 28. januára 2002, ktorým sa ustanovujú všeobecné zásady a požiadavky potravinového práva, zriaďuje Európsky úrad pre bezpečnosť potravín a stanovujú postupy v záležitostiach bezpečnosti potravín (Ú. v. ES L 31, 1.2.2002, s. 1, ELI: </w:t>
      </w:r>
      <w:r w:rsidR="00C94627">
        <w:fldChar w:fldCharType="begin"/>
      </w:r>
      <w:r w:rsidR="00C94627" w:rsidRPr="00C94627">
        <w:rPr>
          <w:lang w:val="sk-SK"/>
        </w:rPr>
        <w:instrText xml:space="preserve"> HYPERLIN</w:instrText>
      </w:r>
      <w:r w:rsidR="00C94627" w:rsidRPr="00C94627">
        <w:rPr>
          <w:lang w:val="sk-SK"/>
        </w:rPr>
        <w:instrText xml:space="preserve">K "https://eur-lex.europa.eu/eli/reg/2002/178/oj?eliuri=eli%3Areg%3A2002%3A178%3Aoj&amp;locale=sk" \o "Umožňuje prístup k tomuto dokumentu prostredníctvom jednotného identifikátora zdroja ELI." </w:instrText>
      </w:r>
      <w:r w:rsidR="00C94627">
        <w:fldChar w:fldCharType="separate"/>
      </w:r>
      <w:r>
        <w:rPr>
          <w:rStyle w:val="Hyperlink"/>
          <w:sz w:val="24"/>
          <w:lang w:val="sk-SK"/>
        </w:rPr>
        <w:t>https://eur-lex.europa.eu/eli/reg/2002/178/oj?eliuri=eli%3Areg%3A2002%3A178%3Aoj&amp;locale=sk)</w:t>
      </w:r>
      <w:r w:rsidR="00C94627">
        <w:rPr>
          <w:rStyle w:val="Hyperlink"/>
          <w:sz w:val="24"/>
          <w:lang w:val="sk-SK"/>
        </w:rPr>
        <w:fldChar w:fldCharType="end"/>
      </w:r>
      <w:r>
        <w:rPr>
          <w:sz w:val="24"/>
          <w:lang w:val="sk-SK"/>
        </w:rPr>
        <w:t>.</w:t>
      </w:r>
    </w:p>
  </w:footnote>
  <w:footnote w:id="17">
    <w:p w:rsidR="001609B0" w:rsidRDefault="00234ED3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V decembri 2022 bol na 15. konferencii zmluvných strán Dohovoru OSN o biologickej diverzite schválený globálny rámec pre biodiverzitu, ktorý zahŕňa globálny cieľ znížiť riziko používania pesticídov do roku 2030 aspoň o 50 % (pozri: </w:t>
      </w:r>
      <w:r w:rsidR="00C94627">
        <w:fldChar w:fldCharType="begin"/>
      </w:r>
      <w:r w:rsidR="00C94627" w:rsidRPr="00C94627">
        <w:rPr>
          <w:lang w:val="sk-SK"/>
        </w:rPr>
        <w:instrText xml:space="preserve"> HYPERLINK "https://ec.europa.eu/commission/presscorner/detail/sk/ip_22_7834" </w:instrText>
      </w:r>
      <w:r w:rsidR="00C94627">
        <w:fldChar w:fldCharType="separate"/>
      </w:r>
      <w:r>
        <w:rPr>
          <w:rStyle w:val="Hyperlink"/>
          <w:sz w:val="24"/>
          <w:lang w:val="sk-SK"/>
        </w:rPr>
        <w:t>https://ec.europa.eu/commission/presscorner/detail/sk/ip_22_7834</w:t>
      </w:r>
      <w:r w:rsidR="00C94627">
        <w:rPr>
          <w:rStyle w:val="Hyperlink"/>
          <w:sz w:val="24"/>
          <w:lang w:val="sk-SK"/>
        </w:rPr>
        <w:fldChar w:fldCharType="end"/>
      </w:r>
      <w:r>
        <w:rPr>
          <w:sz w:val="24"/>
          <w:lang w:val="sk-SK"/>
        </w:rPr>
        <w:t>).</w:t>
      </w:r>
    </w:p>
  </w:footnote>
  <w:footnote w:id="18">
    <w:p w:rsidR="001609B0" w:rsidRDefault="00234ED3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Ako sa uvádza v prílohe k oznámeniu Komisie zo 14. októbra 2020 s názvom Chemikálie – stratégia udržateľnosti. Na ceste k životnému prostrediu bez toxických látok, (COM(2020)0667), </w:t>
      </w:r>
      <w:r w:rsidR="00C94627">
        <w:fldChar w:fldCharType="begin"/>
      </w:r>
      <w:r w:rsidR="00C94627" w:rsidRPr="00C94627">
        <w:rPr>
          <w:lang w:val="sk-SK"/>
        </w:rPr>
        <w:instrText xml:space="preserve"> HYPERLINK "https://eur-lex.europa.eu/legal-content/SK/TXT/?uri=COM%3A2020%3A667%3AFIN" \l "document2" </w:instrText>
      </w:r>
      <w:r w:rsidR="00C94627">
        <w:fldChar w:fldCharType="separate"/>
      </w:r>
      <w:r>
        <w:rPr>
          <w:rStyle w:val="Hyperlink"/>
          <w:sz w:val="24"/>
          <w:lang w:val="sk-SK"/>
        </w:rPr>
        <w:t>https://eur-lex.europa.eu/legal-content/SK/TXT/?uri=COM%3A2020%3A667%3AFIN#document2</w:t>
      </w:r>
      <w:r w:rsidR="00C94627">
        <w:rPr>
          <w:rStyle w:val="Hyperlink"/>
          <w:sz w:val="24"/>
          <w:lang w:val="sk-SK"/>
        </w:rPr>
        <w:fldChar w:fldCharType="end"/>
      </w:r>
      <w:r>
        <w:rPr>
          <w:sz w:val="24"/>
          <w:lang w:val="sk-SK"/>
        </w:rPr>
        <w:t>.</w:t>
      </w:r>
    </w:p>
  </w:footnote>
  <w:footnote w:id="19">
    <w:p w:rsidR="001609B0" w:rsidRDefault="00234ED3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 w:rsidR="00C94627">
        <w:fldChar w:fldCharType="begin"/>
      </w:r>
      <w:r w:rsidR="00C94627" w:rsidRPr="00C94627">
        <w:rPr>
          <w:lang w:val="sk-SK"/>
        </w:rPr>
        <w:instrText xml:space="preserve"> HYPERLINK "https://tillymetz.lu/wp-content/uploads/2020/09/Co-signed-letter-MEP-Metz.pdf" </w:instrText>
      </w:r>
      <w:r w:rsidR="00C94627">
        <w:fldChar w:fldCharType="separate"/>
      </w:r>
      <w:r>
        <w:rPr>
          <w:rStyle w:val="Hyperlink"/>
          <w:sz w:val="24"/>
          <w:lang w:val="sk-SK"/>
        </w:rPr>
        <w:t>https://tillymetz.lu/wp-content/uploads/2020/09/Co-signed-letter-MEP-Metz.pdf</w:t>
      </w:r>
      <w:r w:rsidR="00C94627">
        <w:rPr>
          <w:rStyle w:val="Hyperlink"/>
          <w:sz w:val="24"/>
          <w:lang w:val="sk-SK"/>
        </w:rPr>
        <w:fldChar w:fldCharType="end"/>
      </w:r>
      <w:r>
        <w:rPr>
          <w:rStyle w:val="Hyperlink"/>
          <w:sz w:val="24"/>
          <w:lang w:val="sk-SK"/>
        </w:rPr>
        <w:t>.</w:t>
      </w:r>
    </w:p>
  </w:footnote>
  <w:footnote w:id="20">
    <w:p w:rsidR="001609B0" w:rsidRDefault="00234ED3">
      <w:pPr>
        <w:pStyle w:val="FootnoteText"/>
        <w:ind w:left="567" w:hanging="567"/>
        <w:rPr>
          <w:sz w:val="24"/>
          <w:szCs w:val="22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Uznesenie Európskeho parlamentu z 15. januára 2020 o Európskej zelenej dohode (Ú. v. EÚ C 270, 7.7.2021, s. 2), odsek 102.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9B0" w:rsidRDefault="001609B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9B0" w:rsidRDefault="001609B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9B0" w:rsidRDefault="001609B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52/2024"/>
    <w:docVar w:name="dvlangue" w:val="SK"/>
    <w:docVar w:name="dvnumam" w:val="0"/>
    <w:docVar w:name="dvpe" w:val="763.293"/>
    <w:docVar w:name="dvtitre" w:val="Uznesenie Európskeho parlamentu z 26. novembra 2024 o návrhu vykonávacieho rozhodnutia Komisie, ktorým sa podľa nariadenia Európskeho parlamentu a Rady (ES) č. 1829/2003 povoľuje umiestniť na trh produkty, ktoré obsahujú geneticky modifikovanú kukuricu DP202216, sú z nej zložené alebo vyrobené(D098501/04 – 2024/2837(RSP))"/>
  </w:docVars>
  <w:rsids>
    <w:rsidRoot w:val="001609B0"/>
    <w:rsid w:val="001609B0"/>
    <w:rsid w:val="00234ED3"/>
    <w:rsid w:val="00C94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6DF210-B374-4FE0-B2DC-226F1253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C73112-A95A-4488-8DE8-21CE411F2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1690</Words>
  <Characters>10242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SOLTYSOVA Zuzana</cp:lastModifiedBy>
  <cp:revision>2</cp:revision>
  <cp:lastPrinted>2004-11-19T15:42:00Z</cp:lastPrinted>
  <dcterms:created xsi:type="dcterms:W3CDTF">2025-01-09T13:28:00Z</dcterms:created>
  <dcterms:modified xsi:type="dcterms:W3CDTF">2025-01-09T13:28:00Z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P10_TA(2024)0044_</vt:lpwstr>
  </property>
  <property fmtid="{D5CDD505-2E9C-101B-9397-08002B2CF9AE}" pid="4" name="&lt;Type&gt;">
    <vt:lpwstr>RR</vt:lpwstr>
  </property>
</Properties>
</file>