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57B" w:rsidTr="0010095E">
        <w:trPr>
          <w:trHeight w:hRule="exact" w:val="1418"/>
        </w:trPr>
        <w:tc>
          <w:tcPr>
            <w:tcW w:w="6804" w:type="dxa"/>
            <w:shd w:val="clear" w:color="auto" w:fill="auto"/>
            <w:vAlign w:val="center"/>
          </w:tcPr>
          <w:p w:rsidR="00751A4A" w:rsidRPr="0002557B" w:rsidRDefault="00CC32C0" w:rsidP="0010095E">
            <w:pPr>
              <w:pStyle w:val="EPName"/>
            </w:pPr>
            <w:r w:rsidRPr="0002557B">
              <w:t>Evropski parlament</w:t>
            </w:r>
          </w:p>
          <w:p w:rsidR="00751A4A" w:rsidRPr="0002557B" w:rsidRDefault="005F1B17" w:rsidP="005F1B17">
            <w:pPr>
              <w:pStyle w:val="EPTerm"/>
              <w:rPr>
                <w:rStyle w:val="HideTWBExt"/>
                <w:noProof w:val="0"/>
                <w:vanish w:val="0"/>
                <w:color w:val="auto"/>
              </w:rPr>
            </w:pPr>
            <w:r w:rsidRPr="0002557B">
              <w:t>2024</w:t>
            </w:r>
            <w:r w:rsidR="00817416" w:rsidRPr="0002557B">
              <w:t>-202</w:t>
            </w:r>
            <w:r w:rsidRPr="0002557B">
              <w:t>9</w:t>
            </w:r>
          </w:p>
        </w:tc>
        <w:tc>
          <w:tcPr>
            <w:tcW w:w="2268" w:type="dxa"/>
            <w:shd w:val="clear" w:color="auto" w:fill="auto"/>
          </w:tcPr>
          <w:p w:rsidR="00751A4A" w:rsidRPr="0002557B" w:rsidRDefault="00187494" w:rsidP="0010095E">
            <w:pPr>
              <w:pStyle w:val="EPLogo"/>
            </w:pPr>
            <w:r w:rsidRPr="000255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557B" w:rsidRDefault="00D058B8" w:rsidP="004C5D52">
      <w:pPr>
        <w:pStyle w:val="LineTop"/>
      </w:pPr>
    </w:p>
    <w:p w:rsidR="00680577" w:rsidRPr="0002557B" w:rsidRDefault="00CC32C0" w:rsidP="00680577">
      <w:pPr>
        <w:pStyle w:val="EPBodyTA1"/>
      </w:pPr>
      <w:r w:rsidRPr="0002557B">
        <w:t>SPREJETA BESEDILA</w:t>
      </w:r>
    </w:p>
    <w:p w:rsidR="00D058B8" w:rsidRPr="0002557B" w:rsidRDefault="00D058B8" w:rsidP="00D058B8">
      <w:pPr>
        <w:pStyle w:val="LineBottom"/>
      </w:pPr>
    </w:p>
    <w:p w:rsidR="00CC32C0" w:rsidRPr="0002557B" w:rsidRDefault="00CC32C0" w:rsidP="00B445F5">
      <w:pPr>
        <w:pStyle w:val="ATHeading1"/>
      </w:pPr>
      <w:bookmarkStart w:id="0" w:name="TANumber"/>
      <w:r w:rsidRPr="0002557B">
        <w:t>P10_TA(2024)00</w:t>
      </w:r>
      <w:r w:rsidR="00B445F5">
        <w:t>44</w:t>
      </w:r>
      <w:bookmarkEnd w:id="0"/>
    </w:p>
    <w:p w:rsidR="00CC32C0" w:rsidRPr="0002557B" w:rsidRDefault="00E84BA2" w:rsidP="00CC32C0">
      <w:pPr>
        <w:pStyle w:val="ATHeading2"/>
      </w:pPr>
      <w:bookmarkStart w:id="1" w:name="title"/>
      <w:r w:rsidRPr="0002557B">
        <w:t>G</w:t>
      </w:r>
      <w:r w:rsidR="00CC32C0" w:rsidRPr="0002557B">
        <w:t>ensko spremenjena koruza DP202216</w:t>
      </w:r>
      <w:bookmarkEnd w:id="1"/>
    </w:p>
    <w:p w:rsidR="00CC32C0" w:rsidRPr="0002557B" w:rsidRDefault="00CC32C0" w:rsidP="00CC32C0">
      <w:pPr>
        <w:rPr>
          <w:i/>
          <w:vanish/>
        </w:rPr>
      </w:pPr>
      <w:r w:rsidRPr="0002557B">
        <w:rPr>
          <w:i/>
        </w:rPr>
        <w:fldChar w:fldCharType="begin"/>
      </w:r>
      <w:r w:rsidRPr="0002557B">
        <w:rPr>
          <w:i/>
        </w:rPr>
        <w:instrText xml:space="preserve"> TC"(</w:instrText>
      </w:r>
      <w:bookmarkStart w:id="2" w:name="DocNumber"/>
      <w:r w:rsidRPr="0002557B">
        <w:rPr>
          <w:i/>
        </w:rPr>
        <w:instrText>B10-0152/2024</w:instrText>
      </w:r>
      <w:bookmarkEnd w:id="2"/>
      <w:r w:rsidRPr="0002557B">
        <w:rPr>
          <w:i/>
        </w:rPr>
        <w:instrText xml:space="preserve">)"\l3 \n&gt; \* MERGEFORMAT </w:instrText>
      </w:r>
      <w:r w:rsidRPr="0002557B">
        <w:rPr>
          <w:i/>
        </w:rPr>
        <w:fldChar w:fldCharType="end"/>
      </w:r>
    </w:p>
    <w:p w:rsidR="00CC32C0" w:rsidRPr="0002557B" w:rsidRDefault="00CC32C0" w:rsidP="00CC32C0">
      <w:pPr>
        <w:rPr>
          <w:vanish/>
        </w:rPr>
      </w:pPr>
      <w:bookmarkStart w:id="3" w:name="PE"/>
      <w:r w:rsidRPr="0002557B">
        <w:rPr>
          <w:vanish/>
        </w:rPr>
        <w:t>PE763.293</w:t>
      </w:r>
      <w:bookmarkEnd w:id="3"/>
    </w:p>
    <w:p w:rsidR="00CC32C0" w:rsidRPr="0002557B" w:rsidRDefault="00CC32C0" w:rsidP="00E84BA2">
      <w:pPr>
        <w:pStyle w:val="ATHeading3"/>
      </w:pPr>
      <w:bookmarkStart w:id="4" w:name="Sujet"/>
      <w:r w:rsidRPr="0002557B">
        <w:t xml:space="preserve">Resolucija Evropskega parlamenta z dne </w:t>
      </w:r>
      <w:r w:rsidR="00361544" w:rsidRPr="0002557B">
        <w:t>2</w:t>
      </w:r>
      <w:r w:rsidR="00E84BA2" w:rsidRPr="0002557B">
        <w:t>6</w:t>
      </w:r>
      <w:r w:rsidR="00361544" w:rsidRPr="0002557B">
        <w:t>. novembra</w:t>
      </w:r>
      <w:r w:rsidRPr="0002557B">
        <w:t xml:space="preserve"> 2024 o </w:t>
      </w:r>
      <w:r w:rsidR="00E84BA2" w:rsidRPr="0002557B">
        <w:t>I</w:t>
      </w:r>
      <w:r w:rsidRPr="0002557B">
        <w:t>zvedbene</w:t>
      </w:r>
      <w:r w:rsidR="00E84BA2" w:rsidRPr="0002557B">
        <w:t>m</w:t>
      </w:r>
      <w:r w:rsidRPr="0002557B">
        <w:t xml:space="preserve"> sklep</w:t>
      </w:r>
      <w:r w:rsidR="00E84BA2" w:rsidRPr="0002557B">
        <w:t>u</w:t>
      </w:r>
      <w:r w:rsidRPr="0002557B">
        <w:t xml:space="preserve"> Komisije </w:t>
      </w:r>
      <w:r w:rsidR="00E84BA2" w:rsidRPr="0002557B">
        <w:t xml:space="preserve">(EU) 2024/2618 </w:t>
      </w:r>
      <w:r w:rsidRPr="0002557B">
        <w:t xml:space="preserve">o odobritvi dajanja </w:t>
      </w:r>
      <w:r w:rsidR="00E84BA2" w:rsidRPr="0002557B">
        <w:t xml:space="preserve">na trg </w:t>
      </w:r>
      <w:r w:rsidRPr="0002557B">
        <w:t xml:space="preserve">proizvodov, ki vsebujejo gensko spremenjeno koruzo DP202216, so iz nje sestavljeni ali proizvedeni, </w:t>
      </w:r>
      <w:r w:rsidR="00E84BA2" w:rsidRPr="0002557B">
        <w:t>v skladu z</w:t>
      </w:r>
      <w:r w:rsidRPr="0002557B">
        <w:t xml:space="preserve"> Uredb</w:t>
      </w:r>
      <w:r w:rsidR="00E84BA2" w:rsidRPr="0002557B">
        <w:t>o</w:t>
      </w:r>
      <w:r w:rsidRPr="0002557B">
        <w:t xml:space="preserve"> (ES) št. 1829/2003 Evropskega parlamenta in Sveta</w:t>
      </w:r>
      <w:bookmarkEnd w:id="4"/>
      <w:r w:rsidRPr="0002557B">
        <w:t xml:space="preserve"> </w:t>
      </w:r>
      <w:bookmarkStart w:id="5" w:name="References"/>
      <w:r w:rsidRPr="0002557B">
        <w:t>(2024/2837(RSP))</w:t>
      </w:r>
      <w:bookmarkEnd w:id="5"/>
    </w:p>
    <w:p w:rsidR="00C243E1" w:rsidRPr="0002557B" w:rsidRDefault="00C243E1" w:rsidP="00C243E1">
      <w:pPr>
        <w:pStyle w:val="EPComma"/>
      </w:pPr>
      <w:bookmarkStart w:id="6" w:name="TextBodyBegin"/>
      <w:bookmarkEnd w:id="6"/>
      <w:r w:rsidRPr="0002557B">
        <w:rPr>
          <w:i/>
        </w:rPr>
        <w:t>Evropski parlament</w:t>
      </w:r>
      <w:r w:rsidRPr="0002557B">
        <w:t>,</w:t>
      </w:r>
    </w:p>
    <w:p w:rsidR="00C243E1" w:rsidRPr="0002557B" w:rsidRDefault="00C243E1" w:rsidP="0002557B">
      <w:pPr>
        <w:pStyle w:val="NormalHanging12a"/>
      </w:pPr>
      <w:r w:rsidRPr="0002557B">
        <w:t>–</w:t>
      </w:r>
      <w:r w:rsidRPr="0002557B">
        <w:tab/>
        <w:t xml:space="preserve">ob upoštevanju </w:t>
      </w:r>
      <w:r w:rsidR="00E84BA2" w:rsidRPr="0002557B">
        <w:t>I</w:t>
      </w:r>
      <w:r w:rsidRPr="0002557B">
        <w:t xml:space="preserve">zvedbenega sklepa Komisije </w:t>
      </w:r>
      <w:r w:rsidR="00E84BA2" w:rsidRPr="0002557B">
        <w:t xml:space="preserve">(EU) 2024/2618 </w:t>
      </w:r>
      <w:r w:rsidR="0002557B" w:rsidRPr="0002557B">
        <w:t>o odobritvi dajanja na trg proizvodov, ki vsebujejo gensko spremenjeno koruzo DP202216, so iz nje sestavljeni ali proizvedeni, v skladu z Uredbo (ES) št. 1829/2003 Evropskega parlamenta in Sveta</w:t>
      </w:r>
      <w:r w:rsidR="00E84BA2" w:rsidRPr="0002557B">
        <w:rPr>
          <w:rStyle w:val="FootnoteReference"/>
        </w:rPr>
        <w:footnoteReference w:id="1"/>
      </w:r>
      <w:r w:rsidRPr="0002557B">
        <w:t>,</w:t>
      </w:r>
    </w:p>
    <w:p w:rsidR="00C243E1" w:rsidRPr="0002557B" w:rsidRDefault="00C243E1" w:rsidP="00C243E1">
      <w:pPr>
        <w:pStyle w:val="NormalHanging12a"/>
      </w:pPr>
      <w:r w:rsidRPr="0002557B">
        <w:t>–</w:t>
      </w:r>
      <w:r w:rsidRPr="0002557B">
        <w:tab/>
        <w:t>ob upoštevanju Uredbe (ES) št. 1829/2003 Evropskega parlamenta in Sveta z dne 22. septembra 2003 o gensko spremenjenih živilih in krmi</w:t>
      </w:r>
      <w:r w:rsidRPr="0002557B">
        <w:rPr>
          <w:rStyle w:val="FootnoteReference"/>
        </w:rPr>
        <w:footnoteReference w:id="2"/>
      </w:r>
      <w:r w:rsidR="0002557B" w:rsidRPr="0002557B">
        <w:t xml:space="preserve"> ter</w:t>
      </w:r>
      <w:r w:rsidRPr="0002557B">
        <w:t xml:space="preserve"> zlasti člena 7(3) in člena 19(3)</w:t>
      </w:r>
      <w:r w:rsidR="0002557B" w:rsidRPr="0002557B">
        <w:t xml:space="preserve"> Uredbe</w:t>
      </w:r>
      <w:r w:rsidRPr="0002557B">
        <w:t>,</w:t>
      </w:r>
    </w:p>
    <w:p w:rsidR="00C243E1" w:rsidRPr="0002557B" w:rsidRDefault="00C243E1" w:rsidP="00C243E1">
      <w:pPr>
        <w:pStyle w:val="NormalHanging12a"/>
      </w:pPr>
      <w:r w:rsidRPr="0002557B">
        <w:t>–</w:t>
      </w:r>
      <w:r w:rsidRPr="0002557B">
        <w:tab/>
      </w:r>
      <w:r w:rsidRPr="0002557B">
        <w:rPr>
          <w:shd w:val="clear" w:color="auto" w:fill="FFFFFF"/>
        </w:rPr>
        <w:t>ob upoštevanju glasovanja Stalnega odbora za rastline, živali, hrano in krmo iz člena 35 Uredbe (ES) št. 1829/2003, ki je potekalo 8. julija 202</w:t>
      </w:r>
      <w:r w:rsidR="00EF5354">
        <w:rPr>
          <w:shd w:val="clear" w:color="auto" w:fill="FFFFFF"/>
        </w:rPr>
        <w:t>4</w:t>
      </w:r>
      <w:r w:rsidRPr="0002557B">
        <w:t xml:space="preserve"> in na podlagi katerega mnenje ni bilo podano, ter glasovanja v odboru za pritožbe 3. septembra 202</w:t>
      </w:r>
      <w:r w:rsidR="00EF5354">
        <w:t>4</w:t>
      </w:r>
      <w:r w:rsidRPr="0002557B">
        <w:t>, na podlagi katerega mnenje prav tako ni bilo podano,</w:t>
      </w:r>
    </w:p>
    <w:p w:rsidR="00C243E1" w:rsidRPr="0002557B" w:rsidRDefault="00C243E1" w:rsidP="00C243E1">
      <w:pPr>
        <w:pStyle w:val="NormalHanging12a"/>
      </w:pPr>
      <w:r w:rsidRPr="0002557B">
        <w:t>–</w:t>
      </w:r>
      <w:r w:rsidRPr="0002557B">
        <w:tab/>
        <w:t>ob upoštevanju člena 11 Uredbe (EU) št. 182/2011 Evropskega parlamenta in Sveta z dne 16. februarja 2011 o določitvi splošnih pravil in načel, na podlagi katerih države članice nadzirajo izvajanje izvedbenih pooblastil Komisije</w:t>
      </w:r>
      <w:r w:rsidRPr="0002557B">
        <w:rPr>
          <w:rStyle w:val="FootnoteReference"/>
        </w:rPr>
        <w:footnoteReference w:id="3"/>
      </w:r>
      <w:r w:rsidRPr="0002557B">
        <w:t>,</w:t>
      </w:r>
    </w:p>
    <w:p w:rsidR="00C243E1" w:rsidRPr="0002557B" w:rsidRDefault="00C243E1" w:rsidP="00C243E1">
      <w:pPr>
        <w:pStyle w:val="NormalHanging12a"/>
      </w:pPr>
      <w:r w:rsidRPr="0002557B">
        <w:t>–</w:t>
      </w:r>
      <w:r w:rsidRPr="0002557B">
        <w:tab/>
        <w:t>ob upoštevanju mnenja, ki ga je Evropska agencija za varnost hrane (EFSA) sprejela 7.</w:t>
      </w:r>
      <w:r w:rsidR="00E84BA2" w:rsidRPr="0002557B">
        <w:t> </w:t>
      </w:r>
      <w:r w:rsidRPr="0002557B">
        <w:t>februarja 2024 in objavila 20. marca 2024</w:t>
      </w:r>
      <w:r w:rsidRPr="0002557B">
        <w:rPr>
          <w:rStyle w:val="FootnoteReference"/>
        </w:rPr>
        <w:footnoteReference w:id="4"/>
      </w:r>
      <w:r w:rsidRPr="0002557B">
        <w:t>,</w:t>
      </w:r>
    </w:p>
    <w:p w:rsidR="00C243E1" w:rsidRPr="0002557B" w:rsidRDefault="00C243E1" w:rsidP="00C243E1">
      <w:pPr>
        <w:pStyle w:val="NormalHanging12a"/>
        <w:rPr>
          <w:szCs w:val="24"/>
          <w:shd w:val="clear" w:color="auto" w:fill="FFFFFF"/>
        </w:rPr>
      </w:pPr>
      <w:r w:rsidRPr="0002557B">
        <w:t>–</w:t>
      </w:r>
      <w:r w:rsidRPr="0002557B">
        <w:rPr>
          <w:shd w:val="clear" w:color="auto" w:fill="FFFFFF"/>
        </w:rPr>
        <w:tab/>
        <w:t xml:space="preserve">ob upoštevanju svojih prejšnjih resolucij, s katerimi je nasprotoval odobritvi gensko </w:t>
      </w:r>
      <w:r w:rsidRPr="0002557B">
        <w:rPr>
          <w:shd w:val="clear" w:color="auto" w:fill="FFFFFF"/>
        </w:rPr>
        <w:lastRenderedPageBreak/>
        <w:t>spremenjenih organizmov (GSO)</w:t>
      </w:r>
      <w:r w:rsidRPr="0002557B">
        <w:rPr>
          <w:szCs w:val="24"/>
          <w:shd w:val="clear" w:color="auto" w:fill="FFFFFF"/>
          <w:vertAlign w:val="superscript"/>
        </w:rPr>
        <w:footnoteReference w:id="5"/>
      </w:r>
      <w:r w:rsidRPr="0002557B">
        <w:rPr>
          <w:shd w:val="clear" w:color="auto" w:fill="FFFFFF"/>
        </w:rPr>
        <w:t>,</w:t>
      </w:r>
    </w:p>
    <w:p w:rsidR="00C243E1" w:rsidRPr="0002557B" w:rsidRDefault="00C243E1" w:rsidP="00C243E1">
      <w:pPr>
        <w:pStyle w:val="NormalHanging12a"/>
      </w:pPr>
      <w:r w:rsidRPr="0002557B">
        <w:t>–</w:t>
      </w:r>
      <w:r w:rsidRPr="0002557B">
        <w:tab/>
        <w:t>ob upoštevanju člena 115(2) in (3) Poslovnika,</w:t>
      </w:r>
    </w:p>
    <w:p w:rsidR="00C243E1" w:rsidRPr="0002557B" w:rsidRDefault="00C243E1" w:rsidP="00C243E1">
      <w:pPr>
        <w:pStyle w:val="NormalHanging12a"/>
      </w:pPr>
      <w:r w:rsidRPr="0002557B">
        <w:t>–</w:t>
      </w:r>
      <w:r w:rsidRPr="0002557B">
        <w:tab/>
        <w:t>ob upoštevanju predloga resolucije Odbora za okolje, javno zdravje in varnost hrane,</w:t>
      </w:r>
    </w:p>
    <w:p w:rsidR="00C243E1" w:rsidRPr="0002557B" w:rsidRDefault="00C243E1" w:rsidP="00C243E1">
      <w:pPr>
        <w:pStyle w:val="NormalHanging12a"/>
      </w:pPr>
      <w:r w:rsidRPr="0002557B">
        <w:t>A.</w:t>
      </w:r>
      <w:r w:rsidRPr="0002557B">
        <w:tab/>
        <w:t xml:space="preserve">ker je družba Pioneer Overseas Corporation s sedežem v Belgiji 1. julija 2019 v imenu družbe Pioneer Hi-Bred International, Inc. s sedežem v Združenih državah Amerike v skladu s členoma 5 in 17 Uredbe (ES) št. 1829/2003 pri nizozemskem pristojnem nacionalnem organu vložila vlogo za dajanje na trg živil, živilskih sestavin in krme, ki vsebujejo gensko spremenjeno koruzo DP202216 (v nadaljnjem besedilu: gensko spremenjena koruza), so iz nje sestavljeni ali proizvedeni; ker se je vloga nanašala tudi na dajanje na trg proizvodov, ki vsebujejo to gensko spremenjeno koruzo ali so iz nje sestavljeni ter se uporabljajo v druge namene kot za živila ali krmo, z izjemo gojenja; </w:t>
      </w:r>
    </w:p>
    <w:p w:rsidR="00C243E1" w:rsidRPr="0002557B" w:rsidRDefault="00C243E1" w:rsidP="00C243E1">
      <w:pPr>
        <w:pStyle w:val="NormalHanging12a"/>
      </w:pPr>
      <w:r w:rsidRPr="0002557B">
        <w:t>B.</w:t>
      </w:r>
      <w:r w:rsidRPr="0002557B">
        <w:tab/>
        <w:t>ker je agencija EFSA 7. februarja 2024 sprejela pozi</w:t>
      </w:r>
      <w:r w:rsidR="0002557B" w:rsidRPr="0002557B">
        <w:t>tivno mnenje in ga objavila 20. </w:t>
      </w:r>
      <w:r w:rsidRPr="0002557B">
        <w:t>marca 2024;</w:t>
      </w:r>
    </w:p>
    <w:p w:rsidR="00C243E1" w:rsidRPr="0002557B" w:rsidRDefault="00C243E1" w:rsidP="00C243E1">
      <w:pPr>
        <w:pStyle w:val="NormalHanging12a"/>
      </w:pPr>
      <w:r w:rsidRPr="0002557B">
        <w:t>C.</w:t>
      </w:r>
      <w:r w:rsidRPr="0002557B">
        <w:tab/>
        <w:t>ker gensko spremenjena koruza vsebuje gene, ki povzročajo odpornost proti glufosinatu, ter naj bi imela večji potencial za pridelek</w:t>
      </w:r>
      <w:r w:rsidR="00361544" w:rsidRPr="0002557B">
        <w:t>;</w:t>
      </w:r>
      <w:r w:rsidRPr="0002557B">
        <w:rPr>
          <w:rFonts w:ascii="Segoe UI" w:hAnsi="Segoe UI"/>
          <w:color w:val="000000"/>
          <w:sz w:val="22"/>
          <w:shd w:val="clear" w:color="auto" w:fill="FFFFFF"/>
        </w:rPr>
        <w:t xml:space="preserve"> </w:t>
      </w:r>
    </w:p>
    <w:p w:rsidR="00C243E1" w:rsidRPr="0002557B" w:rsidRDefault="00C243E1" w:rsidP="00C243E1">
      <w:pPr>
        <w:pStyle w:val="NormalHanging12a"/>
        <w:rPr>
          <w:b/>
          <w:i/>
        </w:rPr>
      </w:pPr>
      <w:r w:rsidRPr="0002557B">
        <w:rPr>
          <w:b/>
          <w:i/>
        </w:rPr>
        <w:t>Neocenjevanje komplementarnega herbicida</w:t>
      </w:r>
    </w:p>
    <w:p w:rsidR="00C243E1" w:rsidRPr="0002557B" w:rsidRDefault="00C243E1" w:rsidP="00C243E1">
      <w:pPr>
        <w:pStyle w:val="NormalHanging12a"/>
      </w:pPr>
      <w:r w:rsidRPr="0002557B">
        <w:t>D.</w:t>
      </w:r>
      <w:r w:rsidRPr="0002557B">
        <w:tab/>
        <w:t>ker je treba na podlagi Izvedbene uredbe Komisije (EU) št. 503/2013</w:t>
      </w:r>
      <w:r w:rsidRPr="0002557B">
        <w:rPr>
          <w:rStyle w:val="FootnoteReference"/>
        </w:rPr>
        <w:footnoteReference w:id="6"/>
      </w:r>
      <w:r w:rsidRPr="0002557B">
        <w:t xml:space="preserve"> oceniti, ali pričakovane kmetijske prakse vplivajo na izražanje preučevanih ciljev; ker je v skladu z omenjeno izvedbeno uredbo to še posebej pomembno pri rastlinah, ki so odporne proti herbicidom;</w:t>
      </w:r>
    </w:p>
    <w:p w:rsidR="00C243E1" w:rsidRPr="0002557B" w:rsidRDefault="00C243E1" w:rsidP="00C243E1">
      <w:pPr>
        <w:pStyle w:val="NormalHanging12a"/>
      </w:pPr>
      <w:r w:rsidRPr="0002557B">
        <w:t>E.</w:t>
      </w:r>
      <w:r w:rsidRPr="0002557B">
        <w:tab/>
        <w:t xml:space="preserve">ker je velika večina gensko spremenjenih kmetijskih rastlin gensko spremenjena tako, da so odporne na enega ali več „komplementarnih“ herbicidov, ki se lahko uporabljajo ves čas gojenja gensko spremenjenih kmetijskih rastlin, ne da bi propadle, kar bi se sicer zgodilo s poljščinami, ki niso odporne proti herbicidom; ker je iz številnih študij razvidno, da se pri gojenju gensko spremenjenih kmetijskih rastlin, odpornih proti herbicidom, uporabi več komplementarnih herbicidov, zlasti zaradi pojavljanja </w:t>
      </w:r>
      <w:r w:rsidRPr="0002557B">
        <w:lastRenderedPageBreak/>
        <w:t>plevelov, odpornih proti herbicidom</w:t>
      </w:r>
      <w:r w:rsidRPr="0002557B">
        <w:rPr>
          <w:rStyle w:val="FootnoteReference"/>
        </w:rPr>
        <w:footnoteReference w:id="7"/>
      </w:r>
      <w:r w:rsidRPr="0002557B">
        <w:t>;</w:t>
      </w:r>
    </w:p>
    <w:p w:rsidR="00C243E1" w:rsidRPr="0002557B" w:rsidRDefault="00C243E1" w:rsidP="00C243E1">
      <w:pPr>
        <w:pStyle w:val="NormalHanging12a"/>
      </w:pPr>
      <w:r w:rsidRPr="0002557B">
        <w:t>F.</w:t>
      </w:r>
      <w:r w:rsidRPr="0002557B">
        <w:tab/>
        <w:t>ker 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spremenjene kmetijske rastline, pospešila nastajanje in širjenje plevela, odpornega proti tem herbicidom, to pa bo sprožilo potrebo po še večji stalni uporabi herbicidov, kar vodi v začarani krog;</w:t>
      </w:r>
    </w:p>
    <w:p w:rsidR="00C243E1" w:rsidRPr="0002557B" w:rsidRDefault="00C243E1" w:rsidP="00C243E1">
      <w:pPr>
        <w:pStyle w:val="NormalHanging12a"/>
      </w:pPr>
      <w:r w:rsidRPr="0002557B">
        <w:t>G.</w:t>
      </w:r>
      <w:r w:rsidRPr="0002557B">
        <w:tab/>
        <w:t>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p>
    <w:p w:rsidR="00C243E1" w:rsidRPr="0002557B" w:rsidRDefault="00C243E1" w:rsidP="00C243E1">
      <w:pPr>
        <w:pStyle w:val="NormalHanging12a"/>
      </w:pPr>
      <w:r w:rsidRPr="0002557B">
        <w:t>H.</w:t>
      </w:r>
      <w:r w:rsidRPr="0002557B">
        <w:tab/>
        <w:t>ker je glufosinat razvrščen kot strupen za razmnoževanje iz skupine 1B in zato izpolnjuje merila za izločitev iz Uredbe (ES) št. 1107/2009 Evropskega parlamenta in Sveta</w:t>
      </w:r>
      <w:r w:rsidRPr="0002557B">
        <w:rPr>
          <w:rStyle w:val="FootnoteReference"/>
        </w:rPr>
        <w:footnoteReference w:id="8"/>
      </w:r>
      <w:r w:rsidRPr="0002557B">
        <w:t>; ker je veljavnost odobritve glufosinata za uporabo v Uniji potekla 31. julija 2018;</w:t>
      </w:r>
    </w:p>
    <w:p w:rsidR="00C243E1" w:rsidRPr="0002557B" w:rsidRDefault="00C243E1" w:rsidP="00C243E1">
      <w:pPr>
        <w:pStyle w:val="NormalHanging12a"/>
      </w:pPr>
      <w:r w:rsidRPr="0002557B">
        <w:t>I.</w:t>
      </w:r>
      <w:r w:rsidRPr="0002557B">
        <w:tab/>
        <w:t>ker velja, da ocenjevanje ostankov herbicidov in metabolitov na gensko spremenjenih rastlinah ne sodi na področje pristojnosti odbora EFSA za gensko spremenjene organizme in se zato v procesu odobritve gensko spremenjenih organizmov ne izvaja;</w:t>
      </w:r>
    </w:p>
    <w:p w:rsidR="00C243E1" w:rsidRPr="0002557B" w:rsidRDefault="00C243E1" w:rsidP="00C243E1">
      <w:pPr>
        <w:pStyle w:val="NormalHanging12a"/>
        <w:rPr>
          <w:b/>
          <w:i/>
        </w:rPr>
      </w:pPr>
      <w:r w:rsidRPr="0002557B">
        <w:rPr>
          <w:b/>
          <w:i/>
        </w:rPr>
        <w:t>Pripombe pristojnih organov držav članic in deležnikov</w:t>
      </w:r>
    </w:p>
    <w:p w:rsidR="00C243E1" w:rsidRPr="0002557B" w:rsidRDefault="00C243E1" w:rsidP="00C243E1">
      <w:pPr>
        <w:pStyle w:val="NormalHanging12a"/>
      </w:pPr>
      <w:r w:rsidRPr="0002557B">
        <w:t>J.</w:t>
      </w:r>
      <w:r w:rsidRPr="0002557B">
        <w:tab/>
        <w:t>ker so države članice v trimesečnem posvetovalnem obdobju</w:t>
      </w:r>
      <w:r w:rsidRPr="0002557B">
        <w:rPr>
          <w:rStyle w:val="FootnoteReference"/>
        </w:rPr>
        <w:footnoteReference w:id="9"/>
      </w:r>
      <w:r w:rsidRPr="0002557B">
        <w:t xml:space="preserve"> agenciji EFSA predložile številne kritične pripombe, vključno s tem, da načrt spremljanja ne zagotavlja zbiranja ustreznih informacij za spremljanje proizvoda in ga zato ni mogoče šteti za ustreznega, da bi bilo treba pred dokončanjem ocene tveganja predložiti dodatne informacije in da bi moral vlagatelj, čeprav GSO ni namenjen gojenju, predložiti podrobne informacije o sorodni divji sorti teozint (</w:t>
      </w:r>
      <w:r w:rsidRPr="0002557B">
        <w:rPr>
          <w:i/>
          <w:iCs/>
        </w:rPr>
        <w:t>Euchlaena mexicana</w:t>
      </w:r>
      <w:r w:rsidRPr="0002557B">
        <w:t xml:space="preserve">), ki je bil večkrat odkrit na poljih Unije, </w:t>
      </w:r>
      <w:r w:rsidRPr="0002557B">
        <w:lastRenderedPageBreak/>
        <w:t xml:space="preserve">in da je treba predvideti razsutje semena koruze med prevozom; </w:t>
      </w:r>
    </w:p>
    <w:p w:rsidR="00C243E1" w:rsidRPr="0002557B" w:rsidRDefault="00C243E1" w:rsidP="0002557B">
      <w:pPr>
        <w:pStyle w:val="NormalHanging12a"/>
        <w:ind w:left="0" w:firstLine="0"/>
        <w:rPr>
          <w:b/>
          <w:i/>
        </w:rPr>
      </w:pPr>
      <w:r w:rsidRPr="0002557B">
        <w:rPr>
          <w:b/>
          <w:i/>
        </w:rPr>
        <w:t>Zagotavljanje enakih konkurenčnih pogojev na svetovni ravni in spoštovanje mednarodnih obveznosti Unije</w:t>
      </w:r>
    </w:p>
    <w:p w:rsidR="00C243E1" w:rsidRPr="0002557B" w:rsidRDefault="00C243E1" w:rsidP="00C243E1">
      <w:pPr>
        <w:pStyle w:val="NormalHanging12a"/>
      </w:pPr>
      <w:r w:rsidRPr="0002557B">
        <w:t>K.</w:t>
      </w:r>
      <w:r w:rsidRPr="0002557B">
        <w:tab/>
        <w:t>ker je Komisija v sklepih strateškega dialoga o prihodnosti kmetijstva v EU</w:t>
      </w:r>
      <w:r w:rsidRPr="0002557B">
        <w:rPr>
          <w:rStyle w:val="FootnoteReference"/>
        </w:rPr>
        <w:footnoteReference w:id="10"/>
      </w:r>
      <w:r w:rsidRPr="0002557B">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in 2024;</w:t>
      </w:r>
    </w:p>
    <w:p w:rsidR="00C243E1" w:rsidRPr="0002557B" w:rsidRDefault="00C243E1" w:rsidP="00C243E1">
      <w:pPr>
        <w:pStyle w:val="NormalHanging12a"/>
      </w:pPr>
      <w:r w:rsidRPr="0002557B">
        <w:t>L.</w:t>
      </w:r>
      <w:r w:rsidRPr="0002557B">
        <w:tab/>
        <w:t>ker je posebna poročevalka OZN o pravici do hrane v poročilu iz leta 2017 ugotovila, da imajo nevarni pesticidi katastrofalne posledice za zdravje, zlasti v državah v razvoju</w:t>
      </w:r>
      <w:r w:rsidRPr="0002557B">
        <w:rPr>
          <w:rStyle w:val="FootnoteReference"/>
        </w:rPr>
        <w:footnoteReference w:id="11"/>
      </w:r>
      <w:r w:rsidRPr="0002557B">
        <w:t>; ker je cilj OZN za trajnostni razvoj 3.9 do leta 2030 občutno zmanjšati število primerov smrti in bolezni zaradi izpostavljenosti nevarnim kemikalijam ter onesnaženosti zraka, vode in tal</w:t>
      </w:r>
      <w:r w:rsidRPr="0002557B">
        <w:rPr>
          <w:rStyle w:val="FootnoteReference"/>
        </w:rPr>
        <w:footnoteReference w:id="12"/>
      </w:r>
      <w:r w:rsidRPr="0002557B">
        <w:t>;</w:t>
      </w:r>
    </w:p>
    <w:p w:rsidR="00C243E1" w:rsidRPr="0002557B" w:rsidRDefault="00C243E1" w:rsidP="00C243E1">
      <w:pPr>
        <w:pStyle w:val="NormalHanging12a"/>
      </w:pPr>
      <w:r w:rsidRPr="0002557B">
        <w:t>M.</w:t>
      </w:r>
      <w:r w:rsidRPr="0002557B">
        <w:tab/>
        <w:t>ker Kunminško-montrealski svetovni okvir za biotsko raznovrstnost (v nadaljnjem besedilu: Kunminško-montrealski okvir), dogovorjen na 15. konferenci pogodbenic Konvencije Združenih narodov o biološki raznovrstnosti decembra 2022, vsebuje globalni cilj zmanjšanja tveganja pesticidov za vsaj 50 % do leta 2030</w:t>
      </w:r>
      <w:r w:rsidRPr="0002557B">
        <w:rPr>
          <w:rStyle w:val="FootnoteReference"/>
        </w:rPr>
        <w:footnoteReference w:id="13"/>
      </w:r>
      <w:r w:rsidRPr="0002557B">
        <w:t>;</w:t>
      </w:r>
    </w:p>
    <w:p w:rsidR="00C243E1" w:rsidRPr="0002557B" w:rsidRDefault="00C243E1" w:rsidP="00C243E1">
      <w:pPr>
        <w:pStyle w:val="NormalHanging12a"/>
      </w:pPr>
      <w:r w:rsidRPr="0002557B">
        <w:t>N.</w:t>
      </w:r>
      <w:r w:rsidRPr="0002557B">
        <w:tab/>
        <w:t>ker Uredba (ES) št. 1829/2003 določa, da gensko spremenjena živila in krma ne smejo škodljivo učinkovati na zdravje ljudi, zdravje živali ali okolje, in zahteva, da Komisija pri pripravi osnutka odločbe o vlogi upošteva vse ustrezne določbe prava Skupnosti in druge upravičene dejavnike, pomembne za obravnavano zadevo; ker bi morali ti upravičeni dejavniki zajemati tudi obveznosti Unije na podlagi ciljev OZN za trajnostni razvoj, Pariškega sporazuma o podnebnih spremembah in Konvencije OZN o biološki raznovrstnosti;</w:t>
      </w:r>
    </w:p>
    <w:p w:rsidR="00C243E1" w:rsidRPr="0002557B" w:rsidRDefault="00C243E1" w:rsidP="00C243E1">
      <w:pPr>
        <w:pStyle w:val="NormalHanging12a"/>
        <w:rPr>
          <w:b/>
          <w:i/>
        </w:rPr>
      </w:pPr>
      <w:r w:rsidRPr="0002557B">
        <w:rPr>
          <w:b/>
          <w:i/>
        </w:rPr>
        <w:t>Zmanjšanje odvisnosti od uvožene krme</w:t>
      </w:r>
    </w:p>
    <w:p w:rsidR="00C243E1" w:rsidRPr="0002557B" w:rsidRDefault="00C243E1" w:rsidP="00C243E1">
      <w:pPr>
        <w:pStyle w:val="NormalHanging12a"/>
      </w:pPr>
      <w:r w:rsidRPr="0002557B">
        <w:t>O.</w:t>
      </w:r>
      <w:r w:rsidRPr="0002557B">
        <w:tab/>
        <w:t>ker je eno od spoznanj, pridobljenih med koronavirusno krizo in sedanjo vojno v Ukrajini, to, da mora Unija nujno odpraviti odvisnost od nekaterih kritičnih surovin; ker je predsednica Komisije Ursula von der Leyen kandidata za komisarja Christopha Hansena v poslanici prosila, naj preuči načine za zmanjšanje uvoza kritičnih surovin</w:t>
      </w:r>
      <w:r w:rsidRPr="0002557B">
        <w:rPr>
          <w:rStyle w:val="FootnoteReference"/>
        </w:rPr>
        <w:footnoteReference w:id="14"/>
      </w:r>
      <w:r w:rsidRPr="0002557B">
        <w:t xml:space="preserve">; </w:t>
      </w:r>
    </w:p>
    <w:p w:rsidR="00C243E1" w:rsidRPr="0002557B" w:rsidRDefault="00C243E1" w:rsidP="00C243E1">
      <w:pPr>
        <w:pStyle w:val="NormalHanging12a"/>
        <w:rPr>
          <w:b/>
          <w:i/>
        </w:rPr>
      </w:pPr>
      <w:r w:rsidRPr="0002557B">
        <w:rPr>
          <w:b/>
          <w:i/>
        </w:rPr>
        <w:t>Nedemokratičen postopek odločanja</w:t>
      </w:r>
    </w:p>
    <w:p w:rsidR="00C243E1" w:rsidRPr="0002557B" w:rsidRDefault="00C243E1" w:rsidP="00C243E1">
      <w:pPr>
        <w:pStyle w:val="NormalHanging12a"/>
      </w:pPr>
      <w:r w:rsidRPr="0002557B">
        <w:t>P.</w:t>
      </w:r>
      <w:r w:rsidRPr="0002557B">
        <w:tab/>
        <w:t xml:space="preserve">ker je Evropski parlament v osmem zakonodajnem obdobju sprejel 36 resolucij, v katerih nasprotuje temu, da bi gensko spremenjene organizme, namenjene za živila in </w:t>
      </w:r>
      <w:r w:rsidRPr="0002557B">
        <w:lastRenderedPageBreak/>
        <w:t>krmo, smeli dajati na trg (33 resolucij) ter da bi te organizme gojili v Uniji (tri resolucije); ker je v devetem zakonodajnem obdobju 38-krat nasprotoval dajanju gensko spremenjenih organizmov na trg;</w:t>
      </w:r>
    </w:p>
    <w:p w:rsidR="00C243E1" w:rsidRPr="0002557B" w:rsidRDefault="00C243E1" w:rsidP="00C243E1">
      <w:pPr>
        <w:pStyle w:val="NormalHanging12a"/>
      </w:pPr>
      <w:r w:rsidRPr="0002557B">
        <w:t>Q.</w:t>
      </w:r>
      <w:r w:rsidRPr="0002557B">
        <w:tab/>
        <w:t>ker je Komisija sama priznala demokratični primanjkljaj, odsotnost podpore držav članic in nasprotovanje Parlamenta, a vseeno še naprej sprejema odobritve za gensko spremenjene organizme;</w:t>
      </w:r>
    </w:p>
    <w:p w:rsidR="00C243E1" w:rsidRPr="0002557B" w:rsidRDefault="00C243E1" w:rsidP="00C243E1">
      <w:pPr>
        <w:pStyle w:val="NormalHanging12a"/>
      </w:pPr>
      <w:r w:rsidRPr="0002557B">
        <w:t>R.</w:t>
      </w:r>
      <w:r w:rsidRPr="0002557B">
        <w:tab/>
        <w:t>ker ni treba spreminjati zakonodaje, da bi lahko Komisija zavrnila odobritev gensko spremenjenih organizmov, če v odboru za pritožbe odobritve ne podpre kvalificirana večina držav članic</w:t>
      </w:r>
      <w:r w:rsidRPr="0002557B">
        <w:rPr>
          <w:rStyle w:val="FootnoteReference"/>
        </w:rPr>
        <w:footnoteReference w:id="15"/>
      </w:r>
      <w:r w:rsidRPr="0002557B">
        <w:t>;</w:t>
      </w:r>
    </w:p>
    <w:p w:rsidR="00C243E1" w:rsidRPr="0002557B" w:rsidRDefault="00C243E1" w:rsidP="00C243E1">
      <w:pPr>
        <w:pStyle w:val="NormalHanging12a"/>
      </w:pPr>
      <w:r w:rsidRPr="0002557B">
        <w:t>S.</w:t>
      </w:r>
      <w:r w:rsidRPr="0002557B">
        <w:tab/>
      </w:r>
      <w:r w:rsidRPr="0002557B">
        <w:rPr>
          <w:shd w:val="clear" w:color="auto" w:fill="FFFFFF"/>
        </w:rPr>
        <w:t>ker pri glasovanju Stalnega odbora za rastline, živali hrano in krmo iz člena 35 Uredbe (ES) št. 1829/2003, ki je potekalo 8. julija 2024, ni bilo sprejeto mnenje, kar pomeni, da države članice odobritve niso podprle s kvalificirano večino; ker tudi pri glasovanju odbora za pritožbe 3. septembra 2024 ni bilo sprejeto mnenje;</w:t>
      </w:r>
    </w:p>
    <w:p w:rsidR="00C243E1" w:rsidRPr="0002557B" w:rsidRDefault="00C243E1" w:rsidP="00E84BA2">
      <w:pPr>
        <w:pStyle w:val="NormalHanging12a"/>
      </w:pPr>
      <w:r w:rsidRPr="0002557B">
        <w:t>1.</w:t>
      </w:r>
      <w:r w:rsidRPr="0002557B">
        <w:tab/>
        <w:t xml:space="preserve">meni, da </w:t>
      </w:r>
      <w:r w:rsidR="00E84BA2" w:rsidRPr="0002557B">
        <w:t>I</w:t>
      </w:r>
      <w:r w:rsidRPr="0002557B">
        <w:t>zvedben</w:t>
      </w:r>
      <w:r w:rsidR="00E84BA2" w:rsidRPr="0002557B">
        <w:t>i</w:t>
      </w:r>
      <w:r w:rsidRPr="0002557B">
        <w:t xml:space="preserve"> sklep</w:t>
      </w:r>
      <w:r w:rsidR="00E84BA2" w:rsidRPr="0002557B">
        <w:t xml:space="preserve"> (EU) 2024/2618</w:t>
      </w:r>
      <w:r w:rsidRPr="0002557B">
        <w:t xml:space="preserve"> presega izvedbena pooblastila, določena v Uredbi (ES) št. 1829/2003;</w:t>
      </w:r>
    </w:p>
    <w:p w:rsidR="00C243E1" w:rsidRDefault="00C243E1" w:rsidP="00E84BA2">
      <w:pPr>
        <w:pStyle w:val="NormalHanging12a"/>
      </w:pPr>
      <w:r w:rsidRPr="0002557B">
        <w:t>2.</w:t>
      </w:r>
      <w:r w:rsidRPr="0002557B">
        <w:tab/>
        <w:t xml:space="preserve">meni, da </w:t>
      </w:r>
      <w:r w:rsidR="00E84BA2" w:rsidRPr="0002557B">
        <w:t>I</w:t>
      </w:r>
      <w:r w:rsidRPr="0002557B">
        <w:t>zvedben</w:t>
      </w:r>
      <w:r w:rsidR="00E84BA2" w:rsidRPr="0002557B">
        <w:t>i</w:t>
      </w:r>
      <w:r w:rsidRPr="0002557B">
        <w:t xml:space="preserve"> sklep</w:t>
      </w:r>
      <w:r w:rsidR="00E84BA2" w:rsidRPr="0002557B">
        <w:t xml:space="preserve"> (EU) 2024/2618</w:t>
      </w:r>
      <w:r w:rsidRPr="0002557B">
        <w:t xml:space="preserve"> ni v skladu s pravom Unije, saj ni skladen s ciljem Uredbe (ES) št. 1829/2003, namreč da se v skladu s splošnimi načeli iz Uredbe (ES) št. 178/2002 Evropskega parlamenta in Sveta</w:t>
      </w:r>
      <w:r w:rsidRPr="0002557B">
        <w:rPr>
          <w:rStyle w:val="FootnoteReference"/>
        </w:rPr>
        <w:footnoteReference w:id="16"/>
      </w:r>
      <w:r w:rsidRPr="0002557B">
        <w:t xml:space="preserve"> omogoči visoka raven varstva življenja in zdravja ljudi, zdravja in zaščite živali ter okoljskih interesov in interesov potrošnikov v zvezi z gensko spremenjenimi živili in krmo, obenem pa zagotovi učinkovito delovanje notranjega trga;</w:t>
      </w:r>
    </w:p>
    <w:p w:rsidR="006C37C0" w:rsidRPr="0002557B" w:rsidRDefault="006C37C0" w:rsidP="006C37C0">
      <w:pPr>
        <w:pStyle w:val="NormalHanging12a"/>
      </w:pPr>
      <w:r>
        <w:t>3</w:t>
      </w:r>
      <w:r w:rsidRPr="006C37C0">
        <w:t>.</w:t>
      </w:r>
      <w:r w:rsidRPr="006C37C0">
        <w:tab/>
        <w:t>poziva Komisijo, naj v pogajanjih o prostotrgovinskih sporazumih poskrbi za zbližanje standardov med Unijo in njenimi partnericami, da bi izpolnili varnostne standarde Unije;</w:t>
      </w:r>
    </w:p>
    <w:p w:rsidR="00C243E1" w:rsidRPr="0002557B" w:rsidRDefault="006C37C0" w:rsidP="006C37C0">
      <w:pPr>
        <w:pStyle w:val="NormalHanging12a"/>
      </w:pPr>
      <w:r>
        <w:t>4</w:t>
      </w:r>
      <w:r w:rsidR="00C243E1" w:rsidRPr="0002557B">
        <w:t>.</w:t>
      </w:r>
      <w:r w:rsidR="00C243E1" w:rsidRPr="0002557B">
        <w:tab/>
        <w:t xml:space="preserve">poziva Komisijo, naj </w:t>
      </w:r>
      <w:r w:rsidR="00E84BA2" w:rsidRPr="0002557B">
        <w:t>razveljavi</w:t>
      </w:r>
      <w:r w:rsidR="00C243E1" w:rsidRPr="0002557B">
        <w:t xml:space="preserve"> </w:t>
      </w:r>
      <w:r w:rsidR="00E84BA2" w:rsidRPr="0002557B">
        <w:t>I</w:t>
      </w:r>
      <w:r w:rsidR="00C243E1" w:rsidRPr="0002557B">
        <w:t>zvedben</w:t>
      </w:r>
      <w:r w:rsidR="00E84BA2" w:rsidRPr="0002557B">
        <w:t>i</w:t>
      </w:r>
      <w:r w:rsidR="00C243E1" w:rsidRPr="0002557B">
        <w:t xml:space="preserve"> sklep</w:t>
      </w:r>
      <w:r w:rsidR="00E84BA2" w:rsidRPr="0002557B">
        <w:t xml:space="preserve"> (EU) 2024/2618</w:t>
      </w:r>
      <w:r w:rsidR="00C243E1" w:rsidRPr="0002557B">
        <w:t xml:space="preserve"> in odboru predloži novega;</w:t>
      </w:r>
    </w:p>
    <w:p w:rsidR="00C243E1" w:rsidRPr="0002557B" w:rsidRDefault="006C37C0" w:rsidP="006C37C0">
      <w:pPr>
        <w:pStyle w:val="NormalHanging12a"/>
      </w:pPr>
      <w:r>
        <w:t>5</w:t>
      </w:r>
      <w:r w:rsidR="00C243E1" w:rsidRPr="0002557B">
        <w:t>.</w:t>
      </w:r>
      <w:r w:rsidR="00C243E1" w:rsidRPr="0002557B">
        <w:tab/>
        <w:t>poziva Komisijo, da v skladu s pristopom „eno zdravje“ ne odobri gensko spremenjenih kmetijskih rastlin, odpornih proti herbicidom, saj je z njimi povezana intenzivnejša uporaba komplementarnih herbicidov, s tem pa tudi povečana tveganja za biotsko raznovrstnost, varnost hrane in zdravje delavcev;</w:t>
      </w:r>
    </w:p>
    <w:p w:rsidR="00C243E1" w:rsidRPr="0002557B" w:rsidRDefault="006C37C0" w:rsidP="006C37C0">
      <w:pPr>
        <w:pStyle w:val="NormalHanging12a"/>
      </w:pPr>
      <w:r>
        <w:t>6</w:t>
      </w:r>
      <w:r w:rsidR="00C243E1" w:rsidRPr="0002557B">
        <w:t>.</w:t>
      </w:r>
      <w:r w:rsidR="00C243E1" w:rsidRPr="0002557B">
        <w:tab/>
        <w:t xml:space="preserve">glede tega poudarja, da odobritev uvoza katere koli gensko spremenjene rastline, ki je bila spremenjena tako, da je odporna proti herbicidom, prepovedanim v Uniji, kot je glufosinat, za uporabo v živilih in krmi ni v skladu z mednarodnimi zavezami Unije, med drugim na podlagi ciljev OZN za trajnostni razvoj in Konvencije OZN o biološki </w:t>
      </w:r>
      <w:r w:rsidR="00C243E1" w:rsidRPr="0002557B">
        <w:lastRenderedPageBreak/>
        <w:t>raznovrstnosti, vključno z nedavno sprejetim Kunminško-montrealskim okvirom</w:t>
      </w:r>
      <w:r w:rsidR="00C243E1" w:rsidRPr="0002557B">
        <w:rPr>
          <w:rStyle w:val="FootnoteReference"/>
        </w:rPr>
        <w:footnoteReference w:id="17"/>
      </w:r>
      <w:r w:rsidR="00C243E1" w:rsidRPr="0002557B">
        <w:t>;</w:t>
      </w:r>
    </w:p>
    <w:p w:rsidR="00C243E1" w:rsidRPr="0002557B" w:rsidRDefault="006C37C0" w:rsidP="006C37C0">
      <w:pPr>
        <w:pStyle w:val="NormalHanging12a"/>
      </w:pPr>
      <w:r>
        <w:t>7</w:t>
      </w:r>
      <w:r w:rsidR="00C243E1" w:rsidRPr="0002557B">
        <w:t>.</w:t>
      </w:r>
      <w:r w:rsidR="00C243E1" w:rsidRPr="0002557B">
        <w:tab/>
        <w:t>pričakuje, da bo Komisija prednostno izpolnila svojo zavezo</w:t>
      </w:r>
      <w:r w:rsidR="00C243E1" w:rsidRPr="0002557B">
        <w:rPr>
          <w:rStyle w:val="FootnoteReference"/>
        </w:rPr>
        <w:footnoteReference w:id="18"/>
      </w:r>
      <w:r w:rsidR="00C243E1" w:rsidRPr="0002557B">
        <w:t xml:space="preserve"> o pripravi predloga, s katerim bi dosegla, da se nevarne kemikalije, ki so v Uniji prepovedane, ne bodo proizvajale za izvoz;</w:t>
      </w:r>
    </w:p>
    <w:p w:rsidR="00C243E1" w:rsidRPr="0002557B" w:rsidRDefault="006C37C0" w:rsidP="006C37C0">
      <w:pPr>
        <w:pStyle w:val="NormalHanging12a"/>
      </w:pPr>
      <w:r>
        <w:t>8</w:t>
      </w:r>
      <w:r w:rsidR="00C243E1" w:rsidRPr="0002557B">
        <w:t>.</w:t>
      </w:r>
      <w:r w:rsidR="00C243E1" w:rsidRPr="0002557B">
        <w:tab/>
        <w:t>pozdravlja, da je Komisija v pismu z dne 11. septembra 2020 poslancem vendarle priznala, da je treba pri odločitvah o odobritvi gensko spremenjenih organizmov upoštevati trajnostnost</w:t>
      </w:r>
      <w:r w:rsidR="00C243E1" w:rsidRPr="0002557B">
        <w:rPr>
          <w:rStyle w:val="FootnoteReference"/>
        </w:rPr>
        <w:footnoteReference w:id="19"/>
      </w:r>
      <w:r w:rsidR="00C243E1" w:rsidRPr="0002557B">
        <w:t>; je globoko razočaran, ker Komisija še naprej dovoljuje uvoz gensko spremenjenih organizmov v Unijo, čeprav Parlament temu vedno znova nasprotuje, tovrsten uvoz pa ne podpira niti kvalificirana večina držav članic;</w:t>
      </w:r>
    </w:p>
    <w:p w:rsidR="00C243E1" w:rsidRPr="0002557B" w:rsidRDefault="006C37C0" w:rsidP="006C37C0">
      <w:pPr>
        <w:pStyle w:val="NormalHanging12a"/>
      </w:pPr>
      <w:r>
        <w:t>9</w:t>
      </w:r>
      <w:r w:rsidR="00C243E1" w:rsidRPr="0002557B">
        <w:t>.</w:t>
      </w:r>
      <w:r w:rsidR="00C243E1" w:rsidRPr="0002557B">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pojasnila, kako dani izvedbeni akt podpira načelo neškodovanja</w:t>
      </w:r>
      <w:r w:rsidR="00C243E1" w:rsidRPr="0002557B">
        <w:rPr>
          <w:rStyle w:val="FootnoteReference"/>
        </w:rPr>
        <w:footnoteReference w:id="20"/>
      </w:r>
      <w:r w:rsidR="00C243E1" w:rsidRPr="0002557B">
        <w:t xml:space="preserve">; </w:t>
      </w:r>
    </w:p>
    <w:p w:rsidR="00E365E1" w:rsidRPr="0002557B" w:rsidRDefault="006C37C0" w:rsidP="006C37C0">
      <w:pPr>
        <w:pStyle w:val="NormalHanging12a"/>
      </w:pPr>
      <w:r>
        <w:t>10</w:t>
      </w:r>
      <w:r w:rsidR="00C243E1" w:rsidRPr="0002557B">
        <w:t>.</w:t>
      </w:r>
      <w:r w:rsidR="00C243E1" w:rsidRPr="0002557B">
        <w:tab/>
        <w:t>naroči svoji predsednici, naj to resolucijo posreduje Svetu in Komisiji ter vladam in parlamentom držav članic.</w:t>
      </w:r>
    </w:p>
    <w:sectPr w:rsidR="00E365E1" w:rsidRPr="0002557B" w:rsidSect="00043D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2C0" w:rsidRPr="00043D18" w:rsidRDefault="00CC32C0">
      <w:r w:rsidRPr="00043D18">
        <w:separator/>
      </w:r>
    </w:p>
  </w:endnote>
  <w:endnote w:type="continuationSeparator" w:id="0">
    <w:p w:rsidR="00CC32C0" w:rsidRPr="00043D18" w:rsidRDefault="00CC32C0">
      <w:r w:rsidRPr="00043D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D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D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D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2C0" w:rsidRPr="00043D18" w:rsidRDefault="00CC32C0">
      <w:r w:rsidRPr="00043D18">
        <w:separator/>
      </w:r>
    </w:p>
  </w:footnote>
  <w:footnote w:type="continuationSeparator" w:id="0">
    <w:p w:rsidR="00CC32C0" w:rsidRPr="00043D18" w:rsidRDefault="00CC32C0">
      <w:r w:rsidRPr="00043D18">
        <w:continuationSeparator/>
      </w:r>
    </w:p>
  </w:footnote>
  <w:footnote w:id="1">
    <w:p w:rsidR="00E84BA2" w:rsidRPr="0002557B" w:rsidRDefault="00E84BA2" w:rsidP="0002557B">
      <w:pPr>
        <w:pStyle w:val="FootnoteText"/>
        <w:ind w:left="567" w:hanging="567"/>
        <w:rPr>
          <w:sz w:val="24"/>
          <w:szCs w:val="24"/>
          <w:lang w:val="sl-SI"/>
        </w:rPr>
      </w:pPr>
      <w:r w:rsidRPr="0002557B">
        <w:rPr>
          <w:rStyle w:val="FootnoteReference"/>
          <w:sz w:val="24"/>
          <w:szCs w:val="24"/>
        </w:rPr>
        <w:footnoteRef/>
      </w:r>
      <w:r w:rsidRPr="00EF5354">
        <w:rPr>
          <w:sz w:val="24"/>
          <w:szCs w:val="24"/>
          <w:lang w:val="pl-PL"/>
        </w:rPr>
        <w:t xml:space="preserve"> </w:t>
      </w:r>
      <w:r w:rsidRPr="0002557B">
        <w:rPr>
          <w:sz w:val="24"/>
          <w:szCs w:val="24"/>
          <w:lang w:val="sl-SI"/>
        </w:rPr>
        <w:tab/>
        <w:t xml:space="preserve">UL L, 2024/2618, 10.10.2024, ELI: </w:t>
      </w:r>
      <w:hyperlink r:id="rId1" w:history="1">
        <w:r w:rsidRPr="0002557B">
          <w:rPr>
            <w:rStyle w:val="Hyperlink"/>
            <w:sz w:val="24"/>
            <w:szCs w:val="24"/>
            <w:lang w:val="sl-SI"/>
          </w:rPr>
          <w:t>http://data.europa.eu/eli/dec_impl/2024/2618/oj</w:t>
        </w:r>
      </w:hyperlink>
      <w:r w:rsidRPr="0002557B">
        <w:rPr>
          <w:sz w:val="24"/>
          <w:szCs w:val="24"/>
          <w:lang w:val="sl-SI"/>
        </w:rPr>
        <w:t>.</w:t>
      </w:r>
    </w:p>
  </w:footnote>
  <w:footnote w:id="2">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UL L 268, 18.10.2003, str. 1, ELI: </w:t>
      </w:r>
      <w:r w:rsidR="00EF5354">
        <w:fldChar w:fldCharType="begin"/>
      </w:r>
      <w:r w:rsidR="00EF5354" w:rsidRPr="00EF5354">
        <w:rPr>
          <w:lang w:val="pl-PL"/>
        </w:rPr>
        <w:instrText xml:space="preserve"> HYPERLINK "https://eur-lex.europa.eu/eli/reg/2003/1829/oj?eliuri=eli%3Areg%3A2003%3A1829%3Aoj&amp;locale=sl" \o "Dokument je na voljo prek evropskega zakonodajnega identifikatorja ELI." </w:instrText>
      </w:r>
      <w:r w:rsidR="00EF5354">
        <w:fldChar w:fldCharType="separate"/>
      </w:r>
      <w:r w:rsidRPr="00043D18">
        <w:rPr>
          <w:rStyle w:val="Hyperlink"/>
          <w:color w:val="337AB7"/>
          <w:sz w:val="24"/>
          <w:shd w:val="clear" w:color="auto" w:fill="FFFFFF"/>
          <w:lang w:val="sl-SI"/>
        </w:rPr>
        <w:t>http://data.europa.eu/eli/reg/2003/1829/oj</w:t>
      </w:r>
      <w:r w:rsidR="00EF5354">
        <w:rPr>
          <w:rStyle w:val="Hyperlink"/>
          <w:color w:val="337AB7"/>
          <w:sz w:val="24"/>
          <w:shd w:val="clear" w:color="auto" w:fill="FFFFFF"/>
          <w:lang w:val="sl-SI"/>
        </w:rPr>
        <w:fldChar w:fldCharType="end"/>
      </w:r>
      <w:r w:rsidR="00361544">
        <w:rPr>
          <w:rStyle w:val="Hyperlink"/>
          <w:color w:val="337AB7"/>
          <w:sz w:val="24"/>
          <w:shd w:val="clear" w:color="auto" w:fill="FFFFFF"/>
          <w:lang w:val="sl-SI"/>
        </w:rPr>
        <w:t>.</w:t>
      </w:r>
    </w:p>
  </w:footnote>
  <w:footnote w:id="3">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UL L 55, 28.2.2011, str. 13, ELI: </w:t>
      </w:r>
      <w:r w:rsidR="00EF5354">
        <w:fldChar w:fldCharType="begin"/>
      </w:r>
      <w:r w:rsidR="00EF5354" w:rsidRPr="00EF5354">
        <w:rPr>
          <w:lang w:val="pl-PL"/>
        </w:rPr>
        <w:instrText xml:space="preserve"> HYPERLINK "https://eur-lex.europa.eu/eli/reg/2011/182/oj?locale=sl" \o "Dokument je na voljo prek evropskega zakonodajnega identifikatorja ELI." </w:instrText>
      </w:r>
      <w:r w:rsidR="00EF5354">
        <w:fldChar w:fldCharType="separate"/>
      </w:r>
      <w:r w:rsidRPr="00043D18">
        <w:rPr>
          <w:rStyle w:val="Hyperlink"/>
          <w:color w:val="337AB7"/>
          <w:sz w:val="24"/>
          <w:shd w:val="clear" w:color="auto" w:fill="FFFFFF"/>
          <w:lang w:val="sl-SI"/>
        </w:rPr>
        <w:t>http://data.europa.eu/eli/reg/2011/182/oj</w:t>
      </w:r>
      <w:r w:rsidR="00EF5354">
        <w:rPr>
          <w:rStyle w:val="Hyperlink"/>
          <w:color w:val="337AB7"/>
          <w:sz w:val="24"/>
          <w:shd w:val="clear" w:color="auto" w:fill="FFFFFF"/>
          <w:lang w:val="sl-SI"/>
        </w:rPr>
        <w:fldChar w:fldCharType="end"/>
      </w:r>
      <w:r w:rsidR="00361544">
        <w:rPr>
          <w:rStyle w:val="Hyperlink"/>
          <w:color w:val="337AB7"/>
          <w:sz w:val="24"/>
          <w:shd w:val="clear" w:color="auto" w:fill="FFFFFF"/>
          <w:lang w:val="sl-SI"/>
        </w:rPr>
        <w:t>.</w:t>
      </w:r>
    </w:p>
  </w:footnote>
  <w:footnote w:id="4">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Znanstveno mnenje odbora EFSA za gensko spremenjene organizme o oceni gensko spremenjene koruze DP202216 za uporabo za živila in krmo na podlagi Uredbe (ES) št. 1829/2003 (vloga EFSA-GMO-NL-2019-159), EFSA </w:t>
      </w:r>
      <w:proofErr w:type="spellStart"/>
      <w:r w:rsidRPr="00043D18">
        <w:rPr>
          <w:sz w:val="24"/>
          <w:lang w:val="sl-SI"/>
        </w:rPr>
        <w:t>Journal</w:t>
      </w:r>
      <w:proofErr w:type="spellEnd"/>
      <w:r w:rsidRPr="00043D18">
        <w:rPr>
          <w:sz w:val="24"/>
          <w:lang w:val="sl-SI"/>
        </w:rPr>
        <w:t xml:space="preserve"> 2024; 22(3):8655, </w:t>
      </w:r>
      <w:r w:rsidR="00EF5354">
        <w:fldChar w:fldCharType="begin"/>
      </w:r>
      <w:r w:rsidR="00EF5354" w:rsidRPr="00EF5354">
        <w:rPr>
          <w:lang w:val="sl-SI"/>
        </w:rPr>
        <w:instrText xml:space="preserve"> H</w:instrText>
      </w:r>
      <w:r w:rsidR="00EF5354" w:rsidRPr="00EF5354">
        <w:rPr>
          <w:lang w:val="sl-SI"/>
        </w:rPr>
        <w:instrText xml:space="preserve">YPERLINK "https://doi.org/10.2903/j.efsa.2024.8655" </w:instrText>
      </w:r>
      <w:r w:rsidR="00EF5354">
        <w:fldChar w:fldCharType="separate"/>
      </w:r>
      <w:r w:rsidRPr="00043D18">
        <w:rPr>
          <w:rStyle w:val="Hyperlink"/>
          <w:sz w:val="24"/>
          <w:lang w:val="sl-SI"/>
        </w:rPr>
        <w:t>https://doi.org/10.2903/j.efsa.2024.8483</w:t>
      </w:r>
      <w:r w:rsidR="00EF5354">
        <w:rPr>
          <w:rStyle w:val="Hyperlink"/>
          <w:sz w:val="24"/>
          <w:lang w:val="sl-SI"/>
        </w:rPr>
        <w:fldChar w:fldCharType="end"/>
      </w:r>
      <w:r w:rsidRPr="00043D18">
        <w:rPr>
          <w:sz w:val="24"/>
          <w:lang w:val="sl-SI"/>
        </w:rPr>
        <w:t>.</w:t>
      </w:r>
    </w:p>
  </w:footnote>
  <w:footnote w:id="5">
    <w:p w:rsidR="00C243E1" w:rsidRPr="00043D18" w:rsidRDefault="00C243E1" w:rsidP="00043D18">
      <w:pPr>
        <w:pStyle w:val="FootnoteText"/>
        <w:ind w:left="567" w:hanging="567"/>
        <w:rPr>
          <w:sz w:val="24"/>
          <w:szCs w:val="22"/>
          <w:lang w:val="sl-SI"/>
        </w:rPr>
      </w:pPr>
      <w:r w:rsidRPr="00043D18">
        <w:rPr>
          <w:rStyle w:val="FootnoteReference"/>
          <w:sz w:val="24"/>
          <w:lang w:val="sl-SI"/>
        </w:rPr>
        <w:footnoteRef/>
      </w:r>
      <w:r w:rsidR="00043D18" w:rsidRPr="00043D18">
        <w:rPr>
          <w:color w:val="000000" w:themeColor="text1"/>
          <w:sz w:val="24"/>
          <w:lang w:val="sl-SI"/>
        </w:rPr>
        <w:t xml:space="preserve"> </w:t>
      </w:r>
      <w:r w:rsidR="00043D18" w:rsidRPr="00043D18">
        <w:rPr>
          <w:color w:val="000000" w:themeColor="text1"/>
          <w:sz w:val="24"/>
          <w:lang w:val="sl-SI"/>
        </w:rPr>
        <w:tab/>
      </w:r>
      <w:r w:rsidRPr="00043D18">
        <w:rPr>
          <w:color w:val="000000" w:themeColor="text1"/>
          <w:sz w:val="24"/>
          <w:lang w:val="sl-SI"/>
        </w:rPr>
        <w:t xml:space="preserve">Parlament je v osmem zakonodajnem obdobju sprejel 36 resolucij, v devetem pa 38, v katerih je nasprotoval odobritvi GSO. </w:t>
      </w:r>
    </w:p>
  </w:footnote>
  <w:footnote w:id="6">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Izvedbena uredba Komisije (EU) št. 503/2013 z dne 3. aprila 2013 o vlogah za odobritev gensko spremenjenih živil in krme v skladu z Uredbo (ES) št. 1829/2003 Evropskega parlamenta in Sveta in o spremembi uredb Komisije (ES) št. 641/2004 in (ES) št. 1981/2006 (UL L 157, 8.6.2013, str. 1, ELI: </w:t>
      </w:r>
      <w:r w:rsidR="00EF5354">
        <w:fldChar w:fldCharType="begin"/>
      </w:r>
      <w:r w:rsidR="00EF5354" w:rsidRPr="00EF5354">
        <w:rPr>
          <w:lang w:val="sl-SI"/>
        </w:rPr>
        <w:instrText xml:space="preserve"> HYPERLINK "http://data.europa.eu/eli/reg_impl/2013/503/oj" \o "Dokument je na voljo prek evropskega zakonodajnega identifikatorja ELI." </w:instrText>
      </w:r>
      <w:r w:rsidR="00EF5354">
        <w:fldChar w:fldCharType="separate"/>
      </w:r>
      <w:r w:rsidRPr="00043D18">
        <w:rPr>
          <w:rStyle w:val="Hyperlink"/>
          <w:sz w:val="24"/>
          <w:lang w:val="sl-SI"/>
        </w:rPr>
        <w:t>http://data.europa.eu/eli/reg_impl/2013/503/oj</w:t>
      </w:r>
      <w:r w:rsidR="00EF5354">
        <w:rPr>
          <w:rStyle w:val="Hyperlink"/>
          <w:sz w:val="24"/>
          <w:lang w:val="sl-SI"/>
        </w:rPr>
        <w:fldChar w:fldCharType="end"/>
      </w:r>
      <w:r w:rsidRPr="00043D18">
        <w:rPr>
          <w:sz w:val="24"/>
          <w:lang w:val="sl-SI"/>
        </w:rPr>
        <w:t>).</w:t>
      </w:r>
    </w:p>
  </w:footnote>
  <w:footnote w:id="7">
    <w:p w:rsidR="00C243E1" w:rsidRPr="00043D18" w:rsidRDefault="00C243E1" w:rsidP="00043D18">
      <w:pPr>
        <w:pStyle w:val="FootnoteText"/>
        <w:ind w:left="567" w:hanging="567"/>
        <w:rPr>
          <w:sz w:val="24"/>
          <w:szCs w:val="22"/>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Gl. na primer Schulz, R., Bub, S., Petschick, L. L., Stehle, S., Wolfram, J. (2021), </w:t>
      </w:r>
      <w:r w:rsidRPr="00043D18">
        <w:rPr>
          <w:i/>
          <w:iCs/>
          <w:sz w:val="24"/>
          <w:lang w:val="sl-SI"/>
        </w:rPr>
        <w:t>Applied pesticide toxicity shifts to plant and nevertebrates, even in GM crops</w:t>
      </w:r>
      <w:r w:rsidRPr="00043D18">
        <w:rPr>
          <w:sz w:val="24"/>
          <w:lang w:val="sl-SI"/>
        </w:rPr>
        <w:t xml:space="preserve"> (Toksičnost uporabljenih pesticidov se prenese na rastline in nevretenčarje, tudi pri gensko spremenjenih kmetijskih rastlinah), Science 372(6537), str. 81–84, </w:t>
      </w:r>
      <w:r w:rsidR="00EF5354">
        <w:fldChar w:fldCharType="begin"/>
      </w:r>
      <w:r w:rsidR="00EF5354" w:rsidRPr="00EF5354">
        <w:rPr>
          <w:lang w:val="sl-SI"/>
        </w:rPr>
        <w:instrText xml:space="preserve"> HYPERLINK "https://doi.org/10.1126/science.abe1148" </w:instrText>
      </w:r>
      <w:r w:rsidR="00EF5354">
        <w:fldChar w:fldCharType="separate"/>
      </w:r>
      <w:r w:rsidRPr="00043D18">
        <w:rPr>
          <w:rStyle w:val="Hyperlink"/>
          <w:sz w:val="24"/>
          <w:lang w:val="sl-SI"/>
        </w:rPr>
        <w:t>https://doi.org/10.1126/science.abe1148</w:t>
      </w:r>
      <w:r w:rsidR="00EF5354">
        <w:rPr>
          <w:rStyle w:val="Hyperlink"/>
          <w:sz w:val="24"/>
          <w:lang w:val="sl-SI"/>
        </w:rPr>
        <w:fldChar w:fldCharType="end"/>
      </w:r>
      <w:r w:rsidRPr="00043D18">
        <w:rPr>
          <w:rStyle w:val="Hyperlink"/>
          <w:sz w:val="24"/>
          <w:lang w:val="sl-SI"/>
        </w:rPr>
        <w:t>;</w:t>
      </w:r>
      <w:r w:rsidRPr="00043D18">
        <w:rPr>
          <w:sz w:val="24"/>
          <w:lang w:val="sl-SI"/>
        </w:rPr>
        <w:t xml:space="preserve"> </w:t>
      </w:r>
      <w:proofErr w:type="spellStart"/>
      <w:r w:rsidRPr="00043D18">
        <w:rPr>
          <w:sz w:val="24"/>
          <w:lang w:val="sl-SI"/>
        </w:rPr>
        <w:t>Bonny</w:t>
      </w:r>
      <w:proofErr w:type="spellEnd"/>
      <w:r w:rsidRPr="00043D18">
        <w:rPr>
          <w:sz w:val="24"/>
          <w:lang w:val="sl-SI"/>
        </w:rPr>
        <w:t xml:space="preserve">, S., </w:t>
      </w:r>
      <w:r w:rsidRPr="00043D18">
        <w:rPr>
          <w:i/>
          <w:iCs/>
          <w:sz w:val="24"/>
          <w:lang w:val="sl-SI"/>
        </w:rPr>
        <w:t>Genetically Modified Herbicide-Tolerant Crops, Weeds, and Herbicides: Overview and Impact</w:t>
      </w:r>
      <w:r w:rsidRPr="00043D18">
        <w:rPr>
          <w:sz w:val="24"/>
          <w:lang w:val="sl-SI"/>
        </w:rPr>
        <w:t xml:space="preserve"> (Modificirane poljščine, ki so odporne proti herbicidom, pleveli in herbicidi: pregled in vpliv), Environmental Management, januar 2016, 57(1), str. 31–48, </w:t>
      </w:r>
      <w:hyperlink r:id="rId2" w:history="1">
        <w:r w:rsidRPr="00043D18">
          <w:rPr>
            <w:rStyle w:val="Hyperlink"/>
            <w:sz w:val="24"/>
            <w:lang w:val="sl-SI"/>
          </w:rPr>
          <w:t>https://www.ncbi.nlm.nih.gov/pubmed/26296738</w:t>
        </w:r>
      </w:hyperlink>
      <w:r w:rsidRPr="00043D18">
        <w:rPr>
          <w:sz w:val="24"/>
          <w:lang w:val="sl-SI"/>
        </w:rPr>
        <w:t xml:space="preserve">; in </w:t>
      </w:r>
      <w:proofErr w:type="spellStart"/>
      <w:r w:rsidRPr="00043D18">
        <w:rPr>
          <w:sz w:val="24"/>
          <w:lang w:val="sl-SI"/>
        </w:rPr>
        <w:t>Benbrook</w:t>
      </w:r>
      <w:proofErr w:type="spellEnd"/>
      <w:r w:rsidRPr="00043D18">
        <w:rPr>
          <w:sz w:val="24"/>
          <w:lang w:val="sl-SI"/>
        </w:rPr>
        <w:t xml:space="preserve">, C.M., </w:t>
      </w:r>
      <w:r w:rsidRPr="00043D18">
        <w:rPr>
          <w:i/>
          <w:iCs/>
          <w:sz w:val="24"/>
          <w:lang w:val="sl-SI"/>
        </w:rPr>
        <w:t>Impacts of genetically engineered crops on pesticide use in the U.S. – the first sixteen years</w:t>
      </w:r>
      <w:r w:rsidRPr="00043D18">
        <w:rPr>
          <w:sz w:val="24"/>
          <w:lang w:val="sl-SI"/>
        </w:rPr>
        <w:t xml:space="preserve"> (Učinek gensko spremenjenih poljščin na pesticide v ZDA – prvih šestnajst let), Environmental Sciences Europe, 28. september 2012, zvezek 24(1), </w:t>
      </w:r>
      <w:hyperlink r:id="rId3" w:history="1">
        <w:r w:rsidRPr="00043D18">
          <w:rPr>
            <w:rStyle w:val="Hyperlink"/>
            <w:sz w:val="24"/>
            <w:lang w:val="sl-SI"/>
          </w:rPr>
          <w:t>https://enveurope.springeropen.com/articles/10.1186/2190-4715-24-24</w:t>
        </w:r>
      </w:hyperlink>
      <w:r w:rsidR="00361544">
        <w:rPr>
          <w:rStyle w:val="Hyperlink"/>
          <w:sz w:val="24"/>
          <w:lang w:val="sl-SI"/>
        </w:rPr>
        <w:t>.</w:t>
      </w:r>
    </w:p>
  </w:footnote>
  <w:footnote w:id="8">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Uredba (ES) št. 1107/2009 Evropskega parlamenta in Sveta z dne 21. oktobra 2009 o dajanju fitofarmacevtskih sredstev v promet in razveljavitvi direktiv Sveta 79/117/EGS in 91/414/EGS (UL L 309, 24.11.2009, str. 1, ELI: </w:t>
      </w:r>
      <w:r w:rsidR="00EF5354">
        <w:fldChar w:fldCharType="begin"/>
      </w:r>
      <w:r w:rsidR="00EF5354" w:rsidRPr="00EF5354">
        <w:rPr>
          <w:lang w:val="sl-SI"/>
        </w:rPr>
        <w:instrText xml:space="preserve"> HYPERLINK "http://data.europa.eu/eli/reg/2009/1107/oj" \o "Dokument je na voljo prek evropskega zakonodajnega iden</w:instrText>
      </w:r>
      <w:r w:rsidR="00EF5354" w:rsidRPr="00EF5354">
        <w:rPr>
          <w:lang w:val="sl-SI"/>
        </w:rPr>
        <w:instrText xml:space="preserve">tifikatorja ELI." </w:instrText>
      </w:r>
      <w:r w:rsidR="00EF5354">
        <w:fldChar w:fldCharType="separate"/>
      </w:r>
      <w:r w:rsidRPr="00043D18">
        <w:rPr>
          <w:rStyle w:val="Hyperlink"/>
          <w:sz w:val="24"/>
          <w:lang w:val="sl-SI"/>
        </w:rPr>
        <w:t>http://data.europa.eu/eli/reg/2009/1107/oj</w:t>
      </w:r>
      <w:r w:rsidR="00EF5354">
        <w:rPr>
          <w:rStyle w:val="Hyperlink"/>
          <w:sz w:val="24"/>
          <w:lang w:val="sl-SI"/>
        </w:rPr>
        <w:fldChar w:fldCharType="end"/>
      </w:r>
      <w:r w:rsidRPr="00043D18">
        <w:rPr>
          <w:sz w:val="24"/>
          <w:lang w:val="sl-SI"/>
        </w:rPr>
        <w:t>).</w:t>
      </w:r>
    </w:p>
  </w:footnote>
  <w:footnote w:id="9">
    <w:p w:rsidR="00C243E1" w:rsidRPr="00043D18" w:rsidRDefault="00C243E1" w:rsidP="00E84BA2">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00EF5354">
        <w:fldChar w:fldCharType="begin"/>
      </w:r>
      <w:r w:rsidR="00EF5354" w:rsidRPr="00EF5354">
        <w:rPr>
          <w:lang w:val="sl-SI"/>
        </w:rPr>
        <w:instrText xml:space="preserve"> HYPERLINK "https://agriculture.ec.europa.eu/document/download/171329ff-0f50-4fa5-946f-aea11032172e_en?filename=strategic-dialogue-report-2024_en.pdf" </w:instrText>
      </w:r>
      <w:r w:rsidR="00EF5354">
        <w:fldChar w:fldCharType="separate"/>
      </w:r>
      <w:r w:rsidR="00E84BA2" w:rsidRPr="00E84BA2">
        <w:rPr>
          <w:rStyle w:val="Hyperlink"/>
          <w:sz w:val="24"/>
          <w:lang w:val="sl-SI"/>
        </w:rPr>
        <w:t>https://agriculture.ec.europa.eu/document/download/171329ff-0f50-4fa5-946f-aea11032172e_en?filename=strategic-dialogue-report-2024_en.pdf</w:t>
      </w:r>
      <w:r w:rsidR="00EF5354">
        <w:rPr>
          <w:rStyle w:val="Hyperlink"/>
          <w:sz w:val="24"/>
          <w:lang w:val="sl-SI"/>
        </w:rPr>
        <w:fldChar w:fldCharType="end"/>
      </w:r>
    </w:p>
  </w:footnote>
  <w:footnote w:id="10">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i/>
          <w:iCs/>
          <w:sz w:val="24"/>
          <w:lang w:val="sl-SI"/>
        </w:rPr>
        <w:t xml:space="preserve"> </w:t>
      </w:r>
      <w:r w:rsidR="00043D18" w:rsidRPr="00043D18">
        <w:rPr>
          <w:i/>
          <w:iCs/>
          <w:sz w:val="24"/>
          <w:lang w:val="sl-SI"/>
        </w:rPr>
        <w:tab/>
      </w:r>
      <w:r w:rsidRPr="00043D18">
        <w:rPr>
          <w:i/>
          <w:iCs/>
          <w:sz w:val="24"/>
          <w:lang w:val="sl-SI"/>
        </w:rPr>
        <w:t>Strategic Dialogue on the Future of EU Agriculture - A shared prospect for farming and food in Europe</w:t>
      </w:r>
      <w:r w:rsidRPr="00043D18">
        <w:rPr>
          <w:sz w:val="24"/>
          <w:lang w:val="sl-SI"/>
        </w:rPr>
        <w:t xml:space="preserve"> (Strateški dialog o prihodnosti kmetijstva v EU – skupna perspektiva za kmetijstvo in prehrano v Evropi), september 2024, </w:t>
      </w:r>
      <w:r w:rsidR="00EF5354">
        <w:fldChar w:fldCharType="begin"/>
      </w:r>
      <w:r w:rsidR="00EF5354" w:rsidRPr="00EF5354">
        <w:rPr>
          <w:lang w:val="sl-SI"/>
        </w:rPr>
        <w:instrText xml:space="preserve"> HYPERLINK "https://agriculture.ec.europa.eu/document/download/171329ff-0f50-4fa5-946f-aea11032172e_en?filename=strategic-dialogue-report-2024_en.pdf" </w:instrText>
      </w:r>
      <w:r w:rsidR="00EF5354">
        <w:fldChar w:fldCharType="separate"/>
      </w:r>
      <w:r w:rsidRPr="00043D18">
        <w:rPr>
          <w:rStyle w:val="Hyperlink"/>
          <w:sz w:val="24"/>
          <w:lang w:val="sl-SI"/>
        </w:rPr>
        <w:t>https://agriculture.ec.europa.eu/document/download/171329ff-0f50-4fa5-946f-aea11032172e_en?filename=strategic-dialogue-report-2024_en.pdf</w:t>
      </w:r>
      <w:r w:rsidR="00EF5354">
        <w:rPr>
          <w:rStyle w:val="Hyperlink"/>
          <w:sz w:val="24"/>
          <w:lang w:val="sl-SI"/>
        </w:rPr>
        <w:fldChar w:fldCharType="end"/>
      </w:r>
      <w:r w:rsidRPr="00043D18">
        <w:rPr>
          <w:rStyle w:val="Hyperlink"/>
          <w:sz w:val="24"/>
          <w:lang w:val="sl-SI"/>
        </w:rPr>
        <w:t>.</w:t>
      </w:r>
    </w:p>
  </w:footnote>
  <w:footnote w:id="11">
    <w:p w:rsidR="00C243E1" w:rsidRPr="00043D18" w:rsidRDefault="00C243E1" w:rsidP="00043D18">
      <w:pPr>
        <w:pStyle w:val="FootnoteText"/>
        <w:ind w:left="567" w:hanging="567"/>
        <w:rPr>
          <w:sz w:val="24"/>
          <w:szCs w:val="22"/>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00EF5354">
        <w:fldChar w:fldCharType="begin"/>
      </w:r>
      <w:r w:rsidR="00EF5354" w:rsidRPr="00EF5354">
        <w:rPr>
          <w:lang w:val="sl-SI"/>
        </w:rPr>
        <w:instrText xml:space="preserve"> HYPERLINK "https://www.ohchr.org/en/documents/thematic-reports/ahrc3448-report-special-rapporteur-right-food" </w:instrText>
      </w:r>
      <w:r w:rsidR="00EF5354">
        <w:fldChar w:fldCharType="separate"/>
      </w:r>
      <w:r w:rsidRPr="00043D18">
        <w:rPr>
          <w:rStyle w:val="Hyperlink"/>
          <w:sz w:val="24"/>
          <w:lang w:val="sl-SI"/>
        </w:rPr>
        <w:t>https://www.ohchr.org/en/documents/thematic-reports/ahrc3448-report-special-rapporteur-right-food</w:t>
      </w:r>
      <w:r w:rsidR="00EF5354">
        <w:rPr>
          <w:rStyle w:val="Hyperlink"/>
          <w:sz w:val="24"/>
          <w:lang w:val="sl-SI"/>
        </w:rPr>
        <w:fldChar w:fldCharType="end"/>
      </w:r>
    </w:p>
  </w:footnote>
  <w:footnote w:id="12">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00EF5354">
        <w:fldChar w:fldCharType="begin"/>
      </w:r>
      <w:r w:rsidR="00EF5354" w:rsidRPr="00EF5354">
        <w:rPr>
          <w:lang w:val="it-IT"/>
        </w:rPr>
        <w:instrText xml:space="preserve"> HYPERLINK "https://indicators.report/targets/3-9/" </w:instrText>
      </w:r>
      <w:r w:rsidR="00EF5354">
        <w:fldChar w:fldCharType="separate"/>
      </w:r>
      <w:r w:rsidRPr="00043D18">
        <w:rPr>
          <w:rStyle w:val="Hyperlink"/>
          <w:sz w:val="24"/>
          <w:lang w:val="sl-SI"/>
        </w:rPr>
        <w:t>https://indicators.report/targets/3-9/</w:t>
      </w:r>
      <w:r w:rsidR="00EF5354">
        <w:rPr>
          <w:rStyle w:val="Hyperlink"/>
          <w:sz w:val="24"/>
          <w:lang w:val="sl-SI"/>
        </w:rPr>
        <w:fldChar w:fldCharType="end"/>
      </w:r>
    </w:p>
  </w:footnote>
  <w:footnote w:id="13">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Gl.: </w:t>
      </w:r>
      <w:r w:rsidR="00EF5354">
        <w:fldChar w:fldCharType="begin"/>
      </w:r>
      <w:r w:rsidR="00EF5354" w:rsidRPr="00EF5354">
        <w:rPr>
          <w:lang w:val="it-IT"/>
        </w:rPr>
        <w:instrText xml:space="preserve"> HYPERLINK "https://ec.europa.eu/commission/pressco</w:instrText>
      </w:r>
      <w:r w:rsidR="00EF5354" w:rsidRPr="00EF5354">
        <w:rPr>
          <w:lang w:val="it-IT"/>
        </w:rPr>
        <w:instrText xml:space="preserve">rner/detail/sl/ip_22_7834" </w:instrText>
      </w:r>
      <w:r w:rsidR="00EF5354">
        <w:fldChar w:fldCharType="separate"/>
      </w:r>
      <w:r w:rsidRPr="00043D18">
        <w:rPr>
          <w:rStyle w:val="Hyperlink"/>
          <w:sz w:val="24"/>
          <w:lang w:val="sl-SI"/>
        </w:rPr>
        <w:t>https://ec.europa.eu/commission/presscorner/detail/sl/ip_22_7834</w:t>
      </w:r>
      <w:r w:rsidR="00EF5354">
        <w:rPr>
          <w:rStyle w:val="Hyperlink"/>
          <w:sz w:val="24"/>
          <w:lang w:val="sl-SI"/>
        </w:rPr>
        <w:fldChar w:fldCharType="end"/>
      </w:r>
      <w:r w:rsidRPr="00043D18">
        <w:rPr>
          <w:sz w:val="24"/>
          <w:lang w:val="sl-SI"/>
        </w:rPr>
        <w:t>.</w:t>
      </w:r>
    </w:p>
  </w:footnote>
  <w:footnote w:id="14">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00EF5354">
        <w:fldChar w:fldCharType="begin"/>
      </w:r>
      <w:r w:rsidR="00EF5354" w:rsidRPr="00EF5354">
        <w:rPr>
          <w:lang w:val="sl-SI"/>
        </w:rPr>
        <w:instrText xml:space="preserve"> HYPERLINK "https://commission.europa.eu/document/2c64e540-c07a-4376-a1da-368d289f4afe_sl" </w:instrText>
      </w:r>
      <w:r w:rsidR="00EF5354">
        <w:fldChar w:fldCharType="separate"/>
      </w:r>
      <w:r w:rsidRPr="00043D18">
        <w:rPr>
          <w:rStyle w:val="Hyperlink"/>
          <w:sz w:val="24"/>
          <w:lang w:val="sl-SI"/>
        </w:rPr>
        <w:t>https://commission.europa.eu/document/2c64e540-c07a-4376-a1da-368d289f4afe_sl</w:t>
      </w:r>
      <w:r w:rsidR="00EF5354">
        <w:rPr>
          <w:rStyle w:val="Hyperlink"/>
          <w:sz w:val="24"/>
          <w:lang w:val="sl-SI"/>
        </w:rPr>
        <w:fldChar w:fldCharType="end"/>
      </w:r>
    </w:p>
  </w:footnote>
  <w:footnote w:id="15">
    <w:p w:rsidR="00C243E1" w:rsidRPr="00043D18" w:rsidRDefault="00C243E1" w:rsidP="00043D18">
      <w:pPr>
        <w:pStyle w:val="FootnoteText"/>
        <w:ind w:left="567" w:hanging="567"/>
        <w:rPr>
          <w:sz w:val="24"/>
          <w:szCs w:val="22"/>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V skladu s členom 6(3) Uredbe (EU) št. 182/2011 lahko Komisija vlogo odobri tudi, če je v odboru za pritožbe ne podpre kvalificirana večina držav članic, vendar to ni nujno.</w:t>
      </w:r>
    </w:p>
  </w:footnote>
  <w:footnote w:id="16">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1.2.2002, str. 1, ELI: </w:t>
      </w:r>
      <w:r w:rsidR="00EF5354">
        <w:fldChar w:fldCharType="begin"/>
      </w:r>
      <w:r w:rsidR="00EF5354" w:rsidRPr="00EF5354">
        <w:rPr>
          <w:lang w:val="sl-SI"/>
        </w:rPr>
        <w:instrText xml:space="preserve"> HYPERLINK "http://data.europa.eu/eli/reg/2002/178/oj" \o</w:instrText>
      </w:r>
      <w:r w:rsidR="00EF5354" w:rsidRPr="00EF5354">
        <w:rPr>
          <w:lang w:val="sl-SI"/>
        </w:rPr>
        <w:instrText xml:space="preserve"> "Dokument je na voljo prek evropskega zakonodajnega identifikatorja ELI." </w:instrText>
      </w:r>
      <w:r w:rsidR="00EF5354">
        <w:fldChar w:fldCharType="separate"/>
      </w:r>
      <w:r w:rsidRPr="00043D18">
        <w:rPr>
          <w:rStyle w:val="Hyperlink"/>
          <w:sz w:val="24"/>
          <w:lang w:val="sl-SI"/>
        </w:rPr>
        <w:t>http://data.europa.eu/eli/reg/2002/178/oj</w:t>
      </w:r>
      <w:r w:rsidR="00EF5354">
        <w:rPr>
          <w:rStyle w:val="Hyperlink"/>
          <w:sz w:val="24"/>
          <w:lang w:val="sl-SI"/>
        </w:rPr>
        <w:fldChar w:fldCharType="end"/>
      </w:r>
      <w:r w:rsidRPr="00043D18">
        <w:rPr>
          <w:sz w:val="24"/>
          <w:lang w:val="sl-SI"/>
        </w:rPr>
        <w:t>).</w:t>
      </w:r>
    </w:p>
  </w:footnote>
  <w:footnote w:id="17">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 xml:space="preserve">Decembra 2022 je bil na 15. konferenci pogodbenic Konvencije Združenih narodov o biološki raznovrstnosti dosežen dogovor o svetovnem okviru za biotsko raznovrstnost, ki vključuje globalni cilj zmanjšanja tveganja pesticidov za vsaj 50 % do leta 2030 (gl.: </w:t>
      </w:r>
      <w:r w:rsidR="00EF5354">
        <w:fldChar w:fldCharType="begin"/>
      </w:r>
      <w:r w:rsidR="00EF5354" w:rsidRPr="00EF5354">
        <w:rPr>
          <w:lang w:val="sl-SI"/>
        </w:rPr>
        <w:instrText xml:space="preserve"> HYPERLINK "https://ec.europa.eu/commission/presscorner/detail/sl/ip_22_7834" </w:instrText>
      </w:r>
      <w:r w:rsidR="00EF5354">
        <w:fldChar w:fldCharType="separate"/>
      </w:r>
      <w:r w:rsidRPr="00043D18">
        <w:rPr>
          <w:rStyle w:val="Hyperlink"/>
          <w:sz w:val="24"/>
          <w:lang w:val="sl-SI"/>
        </w:rPr>
        <w:t>https://ec.europa.eu/commission/presscorner/detail/sl/ip_22_7834</w:t>
      </w:r>
      <w:r w:rsidR="00EF5354">
        <w:rPr>
          <w:rStyle w:val="Hyperlink"/>
          <w:sz w:val="24"/>
          <w:lang w:val="sl-SI"/>
        </w:rPr>
        <w:fldChar w:fldCharType="end"/>
      </w:r>
      <w:r w:rsidRPr="00043D18">
        <w:rPr>
          <w:sz w:val="24"/>
          <w:lang w:val="sl-SI"/>
        </w:rPr>
        <w:t>).</w:t>
      </w:r>
    </w:p>
  </w:footnote>
  <w:footnote w:id="18">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Kot je navedeno v Prilogi k sporočilu Komisije z dne 14. oktobra 2020 z naslovom Strategija na področju kemikalij za trajnostnost – Okolju brez strupov naproti (COM(2020)0667),</w:t>
      </w:r>
      <w:r w:rsidR="00EF5354">
        <w:fldChar w:fldCharType="begin"/>
      </w:r>
      <w:r w:rsidR="00EF5354" w:rsidRPr="00EF5354">
        <w:rPr>
          <w:lang w:val="sl-SI"/>
        </w:rPr>
        <w:instrText xml:space="preserve"> HYPERLINK "https://eur-lex.europa.eu/legal-content/sl/TXT/?</w:instrText>
      </w:r>
      <w:r w:rsidR="00EF5354" w:rsidRPr="00EF5354">
        <w:rPr>
          <w:lang w:val="sl-SI"/>
        </w:rPr>
        <w:instrText xml:space="preserve">uri=CELEX:52020DC0667" \l "document2" </w:instrText>
      </w:r>
      <w:r w:rsidR="00EF5354">
        <w:fldChar w:fldCharType="separate"/>
      </w:r>
      <w:r w:rsidRPr="00043D18">
        <w:rPr>
          <w:rStyle w:val="Hyperlink"/>
          <w:sz w:val="24"/>
          <w:lang w:val="sl-SI"/>
        </w:rPr>
        <w:t>https://eur-lex.europa.eu/legal-content/SL/TXT/?uri=COM%3A2020%3A667%3AFIN#document2</w:t>
      </w:r>
      <w:r w:rsidR="00EF5354">
        <w:rPr>
          <w:rStyle w:val="Hyperlink"/>
          <w:sz w:val="24"/>
          <w:lang w:val="sl-SI"/>
        </w:rPr>
        <w:fldChar w:fldCharType="end"/>
      </w:r>
      <w:r w:rsidRPr="00043D18">
        <w:rPr>
          <w:sz w:val="24"/>
          <w:lang w:val="sl-SI"/>
        </w:rPr>
        <w:t>.</w:t>
      </w:r>
    </w:p>
  </w:footnote>
  <w:footnote w:id="19">
    <w:p w:rsidR="00C243E1" w:rsidRPr="00043D18" w:rsidRDefault="00C243E1" w:rsidP="00043D18">
      <w:pPr>
        <w:pStyle w:val="FootnoteText"/>
        <w:ind w:left="567" w:hanging="567"/>
        <w:rPr>
          <w:sz w:val="24"/>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00EF5354">
        <w:fldChar w:fldCharType="begin"/>
      </w:r>
      <w:r w:rsidR="00EF5354" w:rsidRPr="00EF5354">
        <w:rPr>
          <w:lang w:val="sl-SI"/>
        </w:rPr>
        <w:instrText xml:space="preserve"> HYPERLINK "https://tillymetz.lu/wp-content/uploads/2020/09/Co-signed-letter-MEP-Metz.pdf" </w:instrText>
      </w:r>
      <w:r w:rsidR="00EF5354">
        <w:fldChar w:fldCharType="separate"/>
      </w:r>
      <w:r w:rsidRPr="00043D18">
        <w:rPr>
          <w:rStyle w:val="Hyperlink"/>
          <w:sz w:val="24"/>
          <w:lang w:val="sl-SI"/>
        </w:rPr>
        <w:t>https://tillymetz.lu/wp-content/uploads/2020/09/Co-signed-letter-MEP-Metz.pdf</w:t>
      </w:r>
      <w:r w:rsidR="00EF5354">
        <w:rPr>
          <w:rStyle w:val="Hyperlink"/>
          <w:sz w:val="24"/>
          <w:lang w:val="sl-SI"/>
        </w:rPr>
        <w:fldChar w:fldCharType="end"/>
      </w:r>
    </w:p>
  </w:footnote>
  <w:footnote w:id="20">
    <w:p w:rsidR="00C243E1" w:rsidRPr="00043D18" w:rsidRDefault="00C243E1" w:rsidP="00043D18">
      <w:pPr>
        <w:pStyle w:val="FootnoteText"/>
        <w:ind w:left="567" w:hanging="567"/>
        <w:rPr>
          <w:sz w:val="24"/>
          <w:szCs w:val="22"/>
          <w:lang w:val="sl-SI"/>
        </w:rPr>
      </w:pPr>
      <w:r w:rsidRPr="00043D18">
        <w:rPr>
          <w:rStyle w:val="FootnoteReference"/>
          <w:sz w:val="24"/>
          <w:lang w:val="sl-SI"/>
        </w:rPr>
        <w:footnoteRef/>
      </w:r>
      <w:r w:rsidR="00043D18" w:rsidRPr="00043D18">
        <w:rPr>
          <w:sz w:val="24"/>
          <w:lang w:val="sl-SI"/>
        </w:rPr>
        <w:t xml:space="preserve"> </w:t>
      </w:r>
      <w:r w:rsidR="00043D18" w:rsidRPr="00043D18">
        <w:rPr>
          <w:sz w:val="24"/>
          <w:lang w:val="sl-SI"/>
        </w:rPr>
        <w:tab/>
      </w:r>
      <w:r w:rsidRPr="00043D18">
        <w:rPr>
          <w:sz w:val="24"/>
          <w:lang w:val="sl-SI"/>
        </w:rPr>
        <w:t>Resolucija Evropskega parlamenta z dne 15. januarja </w:t>
      </w:r>
      <w:r w:rsidRPr="00043D18">
        <w:rPr>
          <w:sz w:val="24"/>
          <w:lang w:val="sl-SI"/>
        </w:rPr>
        <w:t>202</w:t>
      </w:r>
      <w:r w:rsidR="00EF5354">
        <w:rPr>
          <w:sz w:val="24"/>
          <w:lang w:val="sl-SI"/>
        </w:rPr>
        <w:t>0</w:t>
      </w:r>
      <w:bookmarkStart w:id="7" w:name="_GoBack"/>
      <w:bookmarkEnd w:id="7"/>
      <w:r w:rsidRPr="00043D18">
        <w:rPr>
          <w:sz w:val="24"/>
          <w:lang w:val="sl-SI"/>
        </w:rPr>
        <w:t xml:space="preserve">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D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D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D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SL"/>
    <w:docVar w:name="dvnumam" w:val="0"/>
    <w:docVar w:name="dvpe" w:val="763.293"/>
    <w:docVar w:name="dvtitre" w:val="Resolucija Evropskega parlamenta z dne … 2024 o osnutku izvedbenega sklepa Komisije o odobritvi dajanja proizvodov, ki vsebujejo gensko spremenjeno koruzo DP202216, so iz nje sestavljeni ali proizvedeni, na trg na podlagi Uredbe (ES) št. 1829/2003 Evropskega parlamenta in Sveta(D098501/04 – 2024/2837(RSP))"/>
  </w:docVars>
  <w:rsids>
    <w:rsidRoot w:val="00CC32C0"/>
    <w:rsid w:val="00002272"/>
    <w:rsid w:val="0002557B"/>
    <w:rsid w:val="00043D18"/>
    <w:rsid w:val="00064002"/>
    <w:rsid w:val="000677B9"/>
    <w:rsid w:val="000831BA"/>
    <w:rsid w:val="000A42CC"/>
    <w:rsid w:val="000E7DD9"/>
    <w:rsid w:val="0010095E"/>
    <w:rsid w:val="00125B37"/>
    <w:rsid w:val="00187494"/>
    <w:rsid w:val="001F32AE"/>
    <w:rsid w:val="002767FF"/>
    <w:rsid w:val="002B18FE"/>
    <w:rsid w:val="002B5493"/>
    <w:rsid w:val="00343214"/>
    <w:rsid w:val="0036154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37C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5F5"/>
    <w:rsid w:val="00B558F0"/>
    <w:rsid w:val="00BD48FE"/>
    <w:rsid w:val="00BD7BD8"/>
    <w:rsid w:val="00BE6ADC"/>
    <w:rsid w:val="00C05BFE"/>
    <w:rsid w:val="00C23CD4"/>
    <w:rsid w:val="00C243E1"/>
    <w:rsid w:val="00C61C0C"/>
    <w:rsid w:val="00C941CB"/>
    <w:rsid w:val="00CC2357"/>
    <w:rsid w:val="00CC32C0"/>
    <w:rsid w:val="00CF071A"/>
    <w:rsid w:val="00D058B8"/>
    <w:rsid w:val="00D56C11"/>
    <w:rsid w:val="00D834A0"/>
    <w:rsid w:val="00D872DF"/>
    <w:rsid w:val="00D91E21"/>
    <w:rsid w:val="00DA1944"/>
    <w:rsid w:val="00DA7FCD"/>
    <w:rsid w:val="00E365E1"/>
    <w:rsid w:val="00E820A4"/>
    <w:rsid w:val="00E84BA2"/>
    <w:rsid w:val="00EB006A"/>
    <w:rsid w:val="00EB4772"/>
    <w:rsid w:val="00ED169E"/>
    <w:rsid w:val="00ED4235"/>
    <w:rsid w:val="00EF535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95030"/>
  <w15:chartTrackingRefBased/>
  <w15:docId w15:val="{07805871-34E3-4D00-9B06-DC7A285D4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43E1"/>
    <w:pPr>
      <w:spacing w:before="480" w:after="240"/>
    </w:pPr>
  </w:style>
  <w:style w:type="paragraph" w:customStyle="1" w:styleId="NormalHanging12a">
    <w:name w:val="NormalHanging12a"/>
    <w:basedOn w:val="Normal"/>
    <w:rsid w:val="00C243E1"/>
    <w:pPr>
      <w:spacing w:after="240"/>
      <w:ind w:left="567" w:hanging="567"/>
    </w:pPr>
  </w:style>
  <w:style w:type="character" w:styleId="Hyperlink">
    <w:name w:val="Hyperlink"/>
    <w:basedOn w:val="DefaultParagraphFont"/>
    <w:uiPriority w:val="99"/>
    <w:rsid w:val="00C243E1"/>
    <w:rPr>
      <w:color w:val="0563C1" w:themeColor="hyperlink"/>
      <w:u w:val="single"/>
    </w:rPr>
  </w:style>
  <w:style w:type="paragraph" w:styleId="BalloonText">
    <w:name w:val="Balloon Text"/>
    <w:basedOn w:val="Normal"/>
    <w:link w:val="BalloonTextChar"/>
    <w:rsid w:val="00361544"/>
    <w:rPr>
      <w:rFonts w:ascii="Segoe UI" w:hAnsi="Segoe UI" w:cs="Segoe UI"/>
      <w:sz w:val="18"/>
      <w:szCs w:val="18"/>
    </w:rPr>
  </w:style>
  <w:style w:type="character" w:customStyle="1" w:styleId="BalloonTextChar">
    <w:name w:val="Balloon Text Char"/>
    <w:basedOn w:val="DefaultParagraphFont"/>
    <w:link w:val="BalloonText"/>
    <w:rsid w:val="00361544"/>
    <w:rPr>
      <w:rFonts w:ascii="Segoe UI" w:hAnsi="Segoe UI" w:cs="Segoe UI"/>
      <w:sz w:val="18"/>
      <w:szCs w:val="18"/>
      <w:lang w:val="sl-SI"/>
    </w:rPr>
  </w:style>
  <w:style w:type="character" w:styleId="FollowedHyperlink">
    <w:name w:val="FollowedHyperlink"/>
    <w:basedOn w:val="DefaultParagraphFont"/>
    <w:rsid w:val="000255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europe.springeropen.com/articles/10.1186/2190-4715-24-24" TargetMode="External"/><Relationship Id="rId2" Type="http://schemas.openxmlformats.org/officeDocument/2006/relationships/hyperlink" Target="https://www.ncbi.nlm.nih.gov/pubmed/26296738" TargetMode="External"/><Relationship Id="rId1" Type="http://schemas.openxmlformats.org/officeDocument/2006/relationships/hyperlink" Target="http://data.europa.eu/eli/dec_impl/2024/261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4E6BB-2380-40A9-B150-3651F2A1B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1699</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Karina Pesa</cp:lastModifiedBy>
  <cp:revision>3</cp:revision>
  <cp:lastPrinted>2004-11-19T15:42:00Z</cp:lastPrinted>
  <dcterms:created xsi:type="dcterms:W3CDTF">2024-11-26T13:47:00Z</dcterms:created>
  <dcterms:modified xsi:type="dcterms:W3CDTF">2025-03-03T11:07:00Z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B10-0152/2024</vt:lpwstr>
  </property>
  <property fmtid="{D5CDD505-2E9C-101B-9397-08002B2CF9AE}" pid="4" name="&lt;Type&gt;">
    <vt:lpwstr>RR</vt:lpwstr>
  </property>
</Properties>
</file>