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06F3" w:rsidTr="0010095E">
        <w:trPr>
          <w:trHeight w:hRule="exact" w:val="1418"/>
        </w:trPr>
        <w:tc>
          <w:tcPr>
            <w:tcW w:w="6804" w:type="dxa"/>
            <w:shd w:val="clear" w:color="auto" w:fill="auto"/>
            <w:vAlign w:val="center"/>
          </w:tcPr>
          <w:p w:rsidR="00751A4A" w:rsidRPr="00DD06F3" w:rsidRDefault="004056DD" w:rsidP="0010095E">
            <w:pPr>
              <w:pStyle w:val="EPName"/>
            </w:pPr>
            <w:r w:rsidRPr="00DD06F3">
              <w:t>Европейски</w:t>
            </w:r>
            <w:r w:rsidR="00A945E4" w:rsidRPr="00DD06F3">
              <w:t xml:space="preserve"> парламент</w:t>
            </w:r>
          </w:p>
          <w:p w:rsidR="00751A4A" w:rsidRPr="00DD06F3" w:rsidRDefault="005F1B17" w:rsidP="005F1B17">
            <w:pPr>
              <w:pStyle w:val="EPTerm"/>
              <w:rPr>
                <w:rStyle w:val="HideTWBExt"/>
                <w:noProof w:val="0"/>
                <w:vanish w:val="0"/>
                <w:color w:val="auto"/>
              </w:rPr>
            </w:pPr>
            <w:r w:rsidRPr="00DD06F3">
              <w:t>2024</w:t>
            </w:r>
            <w:r w:rsidR="004056DD">
              <w:t> – </w:t>
            </w:r>
            <w:r w:rsidR="00817416" w:rsidRPr="00DD06F3">
              <w:t>202</w:t>
            </w:r>
            <w:r w:rsidRPr="00DD06F3">
              <w:t>9</w:t>
            </w:r>
          </w:p>
        </w:tc>
        <w:tc>
          <w:tcPr>
            <w:tcW w:w="2268" w:type="dxa"/>
            <w:shd w:val="clear" w:color="auto" w:fill="auto"/>
          </w:tcPr>
          <w:p w:rsidR="00751A4A" w:rsidRPr="00DD06F3" w:rsidRDefault="00187494" w:rsidP="0010095E">
            <w:pPr>
              <w:pStyle w:val="EPLogo"/>
            </w:pPr>
            <w:r w:rsidRPr="00DD06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06F3" w:rsidRDefault="00D058B8" w:rsidP="004C5D52">
      <w:pPr>
        <w:pStyle w:val="LineTop"/>
      </w:pPr>
    </w:p>
    <w:p w:rsidR="00680577" w:rsidRPr="00DD06F3" w:rsidRDefault="00A945E4" w:rsidP="00680577">
      <w:pPr>
        <w:pStyle w:val="EPBodyTA1"/>
      </w:pPr>
      <w:r w:rsidRPr="00DD06F3">
        <w:t>ПРИЕТИ ТЕКСТОВЕ</w:t>
      </w:r>
    </w:p>
    <w:p w:rsidR="00D058B8" w:rsidRPr="00DD06F3" w:rsidRDefault="00D058B8" w:rsidP="00D058B8">
      <w:pPr>
        <w:pStyle w:val="LineBottom"/>
      </w:pPr>
    </w:p>
    <w:p w:rsidR="00A945E4" w:rsidRPr="00DD06F3" w:rsidRDefault="00A945E4" w:rsidP="00A945E4">
      <w:pPr>
        <w:pStyle w:val="ATHeading1"/>
      </w:pPr>
      <w:bookmarkStart w:id="0" w:name="TANumber"/>
      <w:r w:rsidRPr="00DD06F3">
        <w:t>P10_TA(2024)00</w:t>
      </w:r>
      <w:r w:rsidR="004117F7">
        <w:t>45</w:t>
      </w:r>
      <w:bookmarkStart w:id="1" w:name="_GoBack"/>
      <w:bookmarkEnd w:id="0"/>
      <w:bookmarkEnd w:id="1"/>
    </w:p>
    <w:p w:rsidR="00A945E4" w:rsidRPr="00DD06F3" w:rsidRDefault="00A945E4" w:rsidP="004056DD">
      <w:pPr>
        <w:pStyle w:val="ATHeading2"/>
      </w:pPr>
      <w:bookmarkStart w:id="2" w:name="title"/>
      <w:r w:rsidRPr="00DD06F3">
        <w:t>Генетично модифицирана царевица MON</w:t>
      </w:r>
      <w:r w:rsidR="004056DD">
        <w:t xml:space="preserve"> </w:t>
      </w:r>
      <w:r w:rsidRPr="00DD06F3">
        <w:t>94804</w:t>
      </w:r>
    </w:p>
    <w:p w:rsidR="00A945E4" w:rsidRPr="00DD06F3" w:rsidRDefault="00A945E4" w:rsidP="00A945E4">
      <w:pPr>
        <w:rPr>
          <w:i/>
          <w:vanish/>
        </w:rPr>
      </w:pPr>
      <w:r w:rsidRPr="00DD06F3">
        <w:rPr>
          <w:i/>
        </w:rPr>
        <w:fldChar w:fldCharType="begin"/>
      </w:r>
      <w:r w:rsidRPr="00DD06F3">
        <w:rPr>
          <w:i/>
        </w:rPr>
        <w:instrText xml:space="preserve"> TC"(</w:instrText>
      </w:r>
      <w:bookmarkStart w:id="3" w:name="DocNumber"/>
      <w:r w:rsidRPr="00DD06F3">
        <w:rPr>
          <w:i/>
        </w:rPr>
        <w:instrText>B10-0153/2024</w:instrText>
      </w:r>
      <w:bookmarkEnd w:id="3"/>
      <w:r w:rsidRPr="00DD06F3">
        <w:rPr>
          <w:i/>
        </w:rPr>
        <w:instrText xml:space="preserve">)"\l3 \n&gt; \* MERGEFORMAT </w:instrText>
      </w:r>
      <w:r w:rsidRPr="00DD06F3">
        <w:rPr>
          <w:i/>
        </w:rPr>
        <w:fldChar w:fldCharType="end"/>
      </w:r>
    </w:p>
    <w:p w:rsidR="00A945E4" w:rsidRPr="00DD06F3" w:rsidRDefault="00A945E4" w:rsidP="00A945E4">
      <w:pPr>
        <w:rPr>
          <w:vanish/>
        </w:rPr>
      </w:pPr>
      <w:bookmarkStart w:id="4" w:name="PE"/>
      <w:r w:rsidRPr="00DD06F3">
        <w:rPr>
          <w:vanish/>
        </w:rPr>
        <w:t>PE763.294</w:t>
      </w:r>
      <w:bookmarkEnd w:id="4"/>
    </w:p>
    <w:p w:rsidR="00A945E4" w:rsidRPr="00DD06F3" w:rsidRDefault="00A945E4" w:rsidP="004056DD">
      <w:pPr>
        <w:pStyle w:val="ATHeading3"/>
      </w:pPr>
      <w:bookmarkStart w:id="5" w:name="Sujet"/>
      <w:r w:rsidRPr="00DD06F3">
        <w:t xml:space="preserve">Резолюция на Европейския парламент от </w:t>
      </w:r>
      <w:r w:rsidR="004056DD">
        <w:t>26 ноември</w:t>
      </w:r>
      <w:r w:rsidRPr="00DD06F3">
        <w:t xml:space="preserve">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w:t>
      </w:r>
      <w:bookmarkEnd w:id="5"/>
      <w:r w:rsidRPr="00DD06F3">
        <w:t xml:space="preserve"> </w:t>
      </w:r>
      <w:bookmarkStart w:id="6" w:name="References"/>
      <w:r w:rsidRPr="00DD06F3">
        <w:t>(D099729/02 – 2024/2841(RSP))</w:t>
      </w:r>
      <w:bookmarkEnd w:id="6"/>
    </w:p>
    <w:p w:rsidR="00BC5410" w:rsidRPr="00DD06F3" w:rsidRDefault="00BC5410" w:rsidP="00BC5410">
      <w:pPr>
        <w:pStyle w:val="EPComma"/>
      </w:pPr>
      <w:bookmarkStart w:id="7" w:name="TextBodyBegin"/>
      <w:bookmarkEnd w:id="2"/>
      <w:bookmarkEnd w:id="7"/>
      <w:r w:rsidRPr="00DD06F3">
        <w:rPr>
          <w:i/>
          <w:iCs/>
        </w:rPr>
        <w:t>Европейският парламент</w:t>
      </w:r>
      <w:r w:rsidRPr="00DD06F3">
        <w:t>,</w:t>
      </w:r>
    </w:p>
    <w:p w:rsidR="00BC5410" w:rsidRPr="00DD06F3" w:rsidRDefault="00BC5410" w:rsidP="00BC5410">
      <w:pPr>
        <w:pStyle w:val="NormalHanging12a"/>
        <w:rPr>
          <w:szCs w:val="24"/>
        </w:rPr>
      </w:pPr>
      <w:r w:rsidRPr="00DD06F3">
        <w:t>–</w:t>
      </w:r>
      <w:r w:rsidRPr="00DD06F3">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(D099729/02),</w:t>
      </w:r>
    </w:p>
    <w:p w:rsidR="00BC5410" w:rsidRPr="00DD06F3" w:rsidRDefault="00BC5410" w:rsidP="00BC5410">
      <w:pPr>
        <w:pStyle w:val="NormalHanging12a"/>
        <w:rPr>
          <w:szCs w:val="24"/>
        </w:rPr>
      </w:pPr>
      <w:r w:rsidRPr="00DD06F3">
        <w:t>–</w:t>
      </w:r>
      <w:r w:rsidRPr="00DD06F3">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DD06F3">
        <w:rPr>
          <w:rStyle w:val="FootnoteReference"/>
          <w:szCs w:val="24"/>
        </w:rPr>
        <w:footnoteReference w:id="1"/>
      </w:r>
      <w:r w:rsidRPr="00DD06F3">
        <w:t>, и по-специално член 7, параграф 3 и член 19, параграф 3 от него,</w:t>
      </w:r>
    </w:p>
    <w:p w:rsidR="00BC5410" w:rsidRPr="00DD06F3" w:rsidRDefault="00BC5410" w:rsidP="00BC5410">
      <w:pPr>
        <w:pStyle w:val="NormalHanging12a"/>
        <w:rPr>
          <w:szCs w:val="24"/>
        </w:rPr>
      </w:pPr>
      <w:r w:rsidRPr="00DD06F3">
        <w:t>–</w:t>
      </w:r>
      <w:r w:rsidRPr="00DD06F3">
        <w:tab/>
        <w:t>като взе предвид гласуването на 17 септември 2024 г. в Постоянния комитет по растенията, животните, храните и фуражите, посочен в член 35 от Регламент (ЕО) № 1829/2003, при което не беше изразено становище,</w:t>
      </w:r>
    </w:p>
    <w:p w:rsidR="00BC5410" w:rsidRPr="00DD06F3" w:rsidRDefault="00BC5410" w:rsidP="00BC5410">
      <w:pPr>
        <w:pStyle w:val="NormalHanging12a"/>
        <w:rPr>
          <w:szCs w:val="24"/>
        </w:rPr>
      </w:pPr>
      <w:r w:rsidRPr="00DD06F3">
        <w:t>–</w:t>
      </w:r>
      <w:r w:rsidRPr="00DD06F3">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DD06F3">
        <w:rPr>
          <w:rStyle w:val="FootnoteReference"/>
          <w:szCs w:val="24"/>
        </w:rPr>
        <w:footnoteReference w:id="2"/>
      </w:r>
      <w:r w:rsidRPr="00DD06F3">
        <w:t>,</w:t>
      </w:r>
    </w:p>
    <w:p w:rsidR="00BC5410" w:rsidRPr="00DD06F3" w:rsidRDefault="00BC5410" w:rsidP="00BC5410">
      <w:pPr>
        <w:pStyle w:val="NormalHanging12a"/>
        <w:rPr>
          <w:szCs w:val="24"/>
        </w:rPr>
      </w:pPr>
      <w:r w:rsidRPr="00DD06F3">
        <w:t>–</w:t>
      </w:r>
      <w:r w:rsidRPr="00DD06F3">
        <w:tab/>
        <w:t xml:space="preserve">като взе предвид становището, прието от Европейския орган за безопасност на </w:t>
      </w:r>
      <w:r w:rsidRPr="00DD06F3">
        <w:lastRenderedPageBreak/>
        <w:t>храните (ЕОБХ) на 13 март 2024 г. и публикувано на 26 април 2024 г.</w:t>
      </w:r>
      <w:r w:rsidRPr="00DD06F3">
        <w:rPr>
          <w:rStyle w:val="FootnoteReference"/>
          <w:szCs w:val="24"/>
        </w:rPr>
        <w:footnoteReference w:id="3"/>
      </w:r>
      <w:r w:rsidRPr="00DD06F3">
        <w:t>,</w:t>
      </w:r>
    </w:p>
    <w:p w:rsidR="00BC5410" w:rsidRPr="00DD06F3" w:rsidRDefault="00BC5410" w:rsidP="00BC5410">
      <w:pPr>
        <w:pStyle w:val="NormalHanging12a"/>
        <w:rPr>
          <w:szCs w:val="24"/>
        </w:rPr>
      </w:pPr>
      <w:r w:rsidRPr="00DD06F3">
        <w:rPr>
          <w:rFonts w:ascii="Symbol" w:hAnsi="Symbol"/>
        </w:rPr>
        <w:t></w:t>
      </w:r>
      <w:r w:rsidRPr="00DD06F3">
        <w:rPr>
          <w:rFonts w:ascii="Symbol" w:hAnsi="Symbol"/>
        </w:rPr>
        <w:tab/>
      </w:r>
      <w:r w:rsidRPr="00DD06F3">
        <w:rPr>
          <w:shd w:val="clear" w:color="auto" w:fill="FFFFFF"/>
        </w:rPr>
        <w:t>като взе предвид предишните си резолюции, в които възразява срещу разрешаването на генетично модифицирани организми („ГМО“)</w:t>
      </w:r>
      <w:r w:rsidRPr="00DD06F3">
        <w:rPr>
          <w:szCs w:val="24"/>
          <w:shd w:val="clear" w:color="auto" w:fill="FFFFFF"/>
          <w:vertAlign w:val="superscript"/>
        </w:rPr>
        <w:footnoteReference w:id="4"/>
      </w:r>
      <w:r w:rsidRPr="00DD06F3">
        <w:rPr>
          <w:shd w:val="clear" w:color="auto" w:fill="FFFFFF"/>
        </w:rPr>
        <w:t>,</w:t>
      </w:r>
    </w:p>
    <w:p w:rsidR="00BC5410" w:rsidRPr="00DD06F3" w:rsidRDefault="00BC5410" w:rsidP="00BC5410">
      <w:pPr>
        <w:pStyle w:val="NormalHanging12a"/>
        <w:rPr>
          <w:szCs w:val="24"/>
        </w:rPr>
      </w:pPr>
      <w:r w:rsidRPr="00DD06F3">
        <w:t>–</w:t>
      </w:r>
      <w:r w:rsidRPr="00DD06F3">
        <w:tab/>
        <w:t>като взе предвид член 115, параграфи 2 и 3 от своя Правилник за дейността,</w:t>
      </w:r>
    </w:p>
    <w:p w:rsidR="00BC5410" w:rsidRPr="00DD06F3" w:rsidRDefault="00BC5410" w:rsidP="00BC5410">
      <w:pPr>
        <w:pStyle w:val="NormalHanging12a"/>
        <w:rPr>
          <w:szCs w:val="24"/>
        </w:rPr>
      </w:pPr>
      <w:r w:rsidRPr="00DD06F3">
        <w:t>–</w:t>
      </w:r>
      <w:r w:rsidRPr="00DD06F3">
        <w:tab/>
        <w:t>като взе предвид предложението за резолюция на комисията по околна среда, обществено здраве и безопасност на храните,</w:t>
      </w:r>
    </w:p>
    <w:p w:rsidR="00BC5410" w:rsidRPr="00DD06F3" w:rsidRDefault="00BC5410" w:rsidP="00BC5410">
      <w:pPr>
        <w:pStyle w:val="NormalHanging12a"/>
        <w:rPr>
          <w:szCs w:val="24"/>
        </w:rPr>
      </w:pPr>
      <w:r w:rsidRPr="00DD06F3">
        <w:t>А.</w:t>
      </w:r>
      <w:r w:rsidRPr="00DD06F3">
        <w:tab/>
        <w:t xml:space="preserve">като има предвид, че на 14 февруари 2023 г. в съответствие с членове 5 и 17 от Регламент (ЕО) № 1829/2003 Bayer </w:t>
      </w:r>
      <w:proofErr w:type="spellStart"/>
      <w:r w:rsidRPr="00DD06F3">
        <w:t>Agriculture</w:t>
      </w:r>
      <w:proofErr w:type="spellEnd"/>
      <w:r w:rsidRPr="00DD06F3">
        <w:t xml:space="preserve"> BV, със седалище в Белгия, подаде от името на Bayer </w:t>
      </w:r>
      <w:proofErr w:type="spellStart"/>
      <w:r w:rsidRPr="00DD06F3">
        <w:t>CropScience</w:t>
      </w:r>
      <w:proofErr w:type="spellEnd"/>
      <w:r w:rsidRPr="00DD06F3">
        <w:t xml:space="preserve"> LP, със седалище в Съединените щати, заявление („заявлението“) до националния компетентен орган на Нидерландия за пускане на пазара на храни, хранителни съставки и фуражи, съдържащи, състоящи се или произведени от генетично модифицирана царевица MON 94804 („генетично модифицирана царевица“);</w:t>
      </w:r>
    </w:p>
    <w:p w:rsidR="00BC5410" w:rsidRPr="00DD06F3" w:rsidRDefault="00BC5410" w:rsidP="004056DD">
      <w:pPr>
        <w:pStyle w:val="NormalHanging12a"/>
        <w:rPr>
          <w:szCs w:val="24"/>
        </w:rPr>
      </w:pPr>
      <w:r w:rsidRPr="00DD06F3">
        <w:t>Б.</w:t>
      </w:r>
      <w:r w:rsidRPr="00DD06F3">
        <w:tab/>
        <w:t>като има предвид, че заявлението се отнася и за пускането на пазара на продукти, съдържащи или състоящи се от генетично модифицирана царевица, за употреба, различна от употребата като храни и фуражи, с изключение на отглеждането;</w:t>
      </w:r>
    </w:p>
    <w:p w:rsidR="00BC5410" w:rsidRPr="00DD06F3" w:rsidRDefault="00BC5410" w:rsidP="00BC5410">
      <w:pPr>
        <w:pStyle w:val="NormalHanging12a"/>
        <w:rPr>
          <w:szCs w:val="24"/>
        </w:rPr>
      </w:pPr>
      <w:r w:rsidRPr="00DD06F3">
        <w:t>В.</w:t>
      </w:r>
      <w:r w:rsidRPr="00DD06F3">
        <w:tab/>
        <w:t xml:space="preserve">като има предвид, че на 13 март 2024 г. ЕОБХ прие положително становище, публикувано на 26 април 2024 г., в което се заключава, че генетично модифицираната царевица е също толкова безопасна, колкото и нейният конвенционален представител за сравнение и изпитаните генетично </w:t>
      </w:r>
      <w:proofErr w:type="spellStart"/>
      <w:r w:rsidRPr="00DD06F3">
        <w:t>немодифицирани</w:t>
      </w:r>
      <w:proofErr w:type="spellEnd"/>
      <w:r w:rsidRPr="00DD06F3">
        <w:t xml:space="preserve"> сортове царевица по отношение на евентуалното въздействие върху здравето на човека и на животните и върху околната среда;</w:t>
      </w:r>
    </w:p>
    <w:p w:rsidR="00BC5410" w:rsidRPr="00DD06F3" w:rsidRDefault="00BC5410" w:rsidP="00BC5410">
      <w:pPr>
        <w:pStyle w:val="NormalHanging12a"/>
        <w:rPr>
          <w:szCs w:val="24"/>
        </w:rPr>
      </w:pPr>
      <w:r w:rsidRPr="00DD06F3">
        <w:t>Г.</w:t>
      </w:r>
      <w:r w:rsidRPr="00DD06F3">
        <w:tab/>
        <w:t xml:space="preserve">като има предвид, че генетично модифицираната царевица беше генетично създадена за производството на изкуствена </w:t>
      </w:r>
      <w:proofErr w:type="spellStart"/>
      <w:r w:rsidRPr="00DD06F3">
        <w:t>миРНК</w:t>
      </w:r>
      <w:proofErr w:type="spellEnd"/>
      <w:r w:rsidRPr="00DD06F3">
        <w:t xml:space="preserve">, предназначена за избирателно потискане на два гена в рамките на по-голямо генно семейство, участващо в </w:t>
      </w:r>
      <w:proofErr w:type="spellStart"/>
      <w:r w:rsidRPr="00DD06F3">
        <w:t>биосинтетичния</w:t>
      </w:r>
      <w:proofErr w:type="spellEnd"/>
      <w:r w:rsidRPr="00DD06F3">
        <w:t xml:space="preserve"> път на </w:t>
      </w:r>
      <w:proofErr w:type="spellStart"/>
      <w:r w:rsidRPr="00DD06F3">
        <w:t>гиберелиновата</w:t>
      </w:r>
      <w:proofErr w:type="spellEnd"/>
      <w:r w:rsidRPr="00DD06F3">
        <w:t xml:space="preserve"> киселина, намалявайки по този начин височината на растението;</w:t>
      </w:r>
    </w:p>
    <w:p w:rsidR="00BC5410" w:rsidRPr="00DD06F3" w:rsidRDefault="00BC5410" w:rsidP="00BC5410">
      <w:pPr>
        <w:pStyle w:val="NormalHanging12a"/>
        <w:rPr>
          <w:b/>
          <w:i/>
          <w:szCs w:val="24"/>
        </w:rPr>
      </w:pPr>
      <w:r w:rsidRPr="00DD06F3">
        <w:rPr>
          <w:b/>
          <w:i/>
        </w:rPr>
        <w:t xml:space="preserve">Нерешени въпроси относно последиците от изкуствената </w:t>
      </w:r>
      <w:proofErr w:type="spellStart"/>
      <w:r w:rsidRPr="00DD06F3">
        <w:rPr>
          <w:b/>
          <w:i/>
        </w:rPr>
        <w:t>миРНК</w:t>
      </w:r>
      <w:proofErr w:type="spellEnd"/>
    </w:p>
    <w:p w:rsidR="00BC5410" w:rsidRPr="00DD06F3" w:rsidRDefault="00BC5410" w:rsidP="00BC5410">
      <w:pPr>
        <w:pStyle w:val="NormalHanging12a"/>
        <w:rPr>
          <w:szCs w:val="24"/>
        </w:rPr>
      </w:pPr>
      <w:r w:rsidRPr="00DD06F3">
        <w:t>Д.</w:t>
      </w:r>
      <w:r w:rsidRPr="00DD06F3">
        <w:tab/>
        <w:t xml:space="preserve">като има предвид, че въвеждането на изкуствената </w:t>
      </w:r>
      <w:proofErr w:type="spellStart"/>
      <w:r w:rsidRPr="00DD06F3">
        <w:t>миРНК</w:t>
      </w:r>
      <w:proofErr w:type="spellEnd"/>
      <w:r w:rsidRPr="00DD06F3">
        <w:t xml:space="preserve"> не само пречи на целевите гени, но засяга и други регулаторни функции; като има предвид, че </w:t>
      </w:r>
      <w:proofErr w:type="spellStart"/>
      <w:r w:rsidRPr="00DD06F3">
        <w:t>миРНК</w:t>
      </w:r>
      <w:proofErr w:type="spellEnd"/>
      <w:r w:rsidRPr="00DD06F3">
        <w:t xml:space="preserve"> претърпява допълнително преработване в растението и по този начин взаимодейства със специфични растителни ензими; като има предвид, че последиците от това в много случаи не се ограничават до целевия ген, а често включват метаболитни каскади на няколкостотин други генни функции;</w:t>
      </w:r>
    </w:p>
    <w:p w:rsidR="00BC5410" w:rsidRPr="00DD06F3" w:rsidRDefault="00BC5410" w:rsidP="00BC5410">
      <w:pPr>
        <w:pStyle w:val="NormalHanging12a"/>
        <w:rPr>
          <w:szCs w:val="24"/>
        </w:rPr>
      </w:pPr>
      <w:r w:rsidRPr="00DD06F3">
        <w:lastRenderedPageBreak/>
        <w:t>Е.</w:t>
      </w:r>
      <w:r w:rsidRPr="00DD06F3">
        <w:tab/>
        <w:t xml:space="preserve">като има предвид, че заявителят представя недостатъчни и непълни данни за взаимодействията между изкуствената </w:t>
      </w:r>
      <w:proofErr w:type="spellStart"/>
      <w:r w:rsidRPr="00DD06F3">
        <w:t>миРНК</w:t>
      </w:r>
      <w:proofErr w:type="spellEnd"/>
      <w:r w:rsidRPr="00DD06F3">
        <w:t>, продуктите, възникващи от по-нататъшните процеси в клетките, устойчивостта на тези молекули в клетките и тяхната интерференция в други регулаторни мрежи;</w:t>
      </w:r>
    </w:p>
    <w:p w:rsidR="00BC5410" w:rsidRPr="00DD06F3" w:rsidRDefault="00BC5410" w:rsidP="00BC5410">
      <w:pPr>
        <w:pStyle w:val="NormalHanging12a"/>
        <w:rPr>
          <w:szCs w:val="24"/>
        </w:rPr>
      </w:pPr>
      <w:r w:rsidRPr="00DD06F3">
        <w:t>Ж.</w:t>
      </w:r>
      <w:r w:rsidRPr="00DD06F3">
        <w:tab/>
        <w:t xml:space="preserve">като има предвид, че за да се заключи, че </w:t>
      </w:r>
      <w:proofErr w:type="spellStart"/>
      <w:r w:rsidRPr="00DD06F3">
        <w:t>миРНК</w:t>
      </w:r>
      <w:proofErr w:type="spellEnd"/>
      <w:r w:rsidRPr="00DD06F3">
        <w:t xml:space="preserve"> не представляват риск от токсичност за хората и животните, ЕОБХ приема, че изкуствената </w:t>
      </w:r>
      <w:proofErr w:type="spellStart"/>
      <w:r w:rsidRPr="00DD06F3">
        <w:t>миРНК</w:t>
      </w:r>
      <w:proofErr w:type="spellEnd"/>
      <w:r w:rsidRPr="00DD06F3">
        <w:t xml:space="preserve"> ще бъде бързо разградена; като има предвид обаче, че в няколко проучвания, включително цитираното от ЕОБХ в подкрепа на това твърдение</w:t>
      </w:r>
      <w:r w:rsidRPr="00DD06F3">
        <w:rPr>
          <w:rStyle w:val="FootnoteReference"/>
          <w:szCs w:val="24"/>
        </w:rPr>
        <w:footnoteReference w:id="5"/>
      </w:r>
      <w:r w:rsidRPr="00DD06F3">
        <w:t xml:space="preserve">, се посочва, че с помощта на специфични механизми може да се вземе </w:t>
      </w:r>
      <w:proofErr w:type="spellStart"/>
      <w:r w:rsidRPr="00DD06F3">
        <w:t>миРНК</w:t>
      </w:r>
      <w:proofErr w:type="spellEnd"/>
      <w:r w:rsidRPr="00DD06F3">
        <w:t xml:space="preserve"> от червата;</w:t>
      </w:r>
    </w:p>
    <w:p w:rsidR="00BC5410" w:rsidRPr="00DD06F3" w:rsidRDefault="00BC5410" w:rsidP="00BC5410">
      <w:pPr>
        <w:pStyle w:val="NormalHanging12a"/>
        <w:rPr>
          <w:b/>
          <w:i/>
          <w:szCs w:val="24"/>
        </w:rPr>
      </w:pPr>
      <w:r w:rsidRPr="00DD06F3">
        <w:rPr>
          <w:b/>
          <w:i/>
        </w:rPr>
        <w:t xml:space="preserve">Нерешени въпроси относно последиците от намаленото ниво на </w:t>
      </w:r>
      <w:proofErr w:type="spellStart"/>
      <w:r w:rsidRPr="00DD06F3">
        <w:rPr>
          <w:b/>
          <w:i/>
        </w:rPr>
        <w:t>гиберелини</w:t>
      </w:r>
      <w:proofErr w:type="spellEnd"/>
    </w:p>
    <w:p w:rsidR="00BC5410" w:rsidRPr="00DD06F3" w:rsidRDefault="00BC5410" w:rsidP="00BC5410">
      <w:pPr>
        <w:pStyle w:val="NormalHanging12a"/>
        <w:rPr>
          <w:szCs w:val="24"/>
        </w:rPr>
      </w:pPr>
      <w:r w:rsidRPr="00DD06F3">
        <w:t>З.</w:t>
      </w:r>
      <w:r w:rsidRPr="00DD06F3">
        <w:tab/>
        <w:t>като има предвид, че както беше подчертано от експертите от държавите членки</w:t>
      </w:r>
      <w:r w:rsidRPr="00DD06F3">
        <w:rPr>
          <w:rStyle w:val="FootnoteReference"/>
          <w:szCs w:val="24"/>
        </w:rPr>
        <w:footnoteReference w:id="6"/>
      </w:r>
      <w:r w:rsidRPr="00DD06F3">
        <w:t xml:space="preserve">, </w:t>
      </w:r>
      <w:proofErr w:type="spellStart"/>
      <w:r w:rsidRPr="00DD06F3">
        <w:t>гиберелините</w:t>
      </w:r>
      <w:proofErr w:type="spellEnd"/>
      <w:r w:rsidRPr="00DD06F3">
        <w:t xml:space="preserve"> са основни регулатори на различни физиологични процеси в растенията; </w:t>
      </w:r>
    </w:p>
    <w:p w:rsidR="00BC5410" w:rsidRPr="00DD06F3" w:rsidRDefault="00BC5410" w:rsidP="00BC5410">
      <w:pPr>
        <w:pStyle w:val="NormalHanging12a"/>
        <w:rPr>
          <w:szCs w:val="24"/>
        </w:rPr>
      </w:pPr>
      <w:r w:rsidRPr="00DD06F3">
        <w:t>И.</w:t>
      </w:r>
      <w:r w:rsidRPr="00DD06F3">
        <w:tab/>
        <w:t xml:space="preserve">като има предвид, че освен височината на растенията, </w:t>
      </w:r>
      <w:proofErr w:type="spellStart"/>
      <w:r w:rsidRPr="00DD06F3">
        <w:t>гиберелините</w:t>
      </w:r>
      <w:proofErr w:type="spellEnd"/>
      <w:r w:rsidRPr="00DD06F3">
        <w:t xml:space="preserve"> регулират също така кълняемостта и цъфтежа, играят роля в регулирането на толерантността към стреса и са част от сложен регулаторен механизъм за взаимодействие с други растителни хормони по различни сигнални пътища, например, физиологични процеси, засягащи растителния състав; като има предвид, че </w:t>
      </w:r>
      <w:proofErr w:type="spellStart"/>
      <w:r w:rsidRPr="00DD06F3">
        <w:t>гиберелините</w:t>
      </w:r>
      <w:proofErr w:type="spellEnd"/>
      <w:r w:rsidRPr="00DD06F3">
        <w:t xml:space="preserve"> също така участват в имунната реакция на растенията към </w:t>
      </w:r>
      <w:proofErr w:type="spellStart"/>
      <w:r w:rsidRPr="00DD06F3">
        <w:t>патогените</w:t>
      </w:r>
      <w:proofErr w:type="spellEnd"/>
      <w:r w:rsidRPr="00DD06F3">
        <w:t xml:space="preserve">; </w:t>
      </w:r>
    </w:p>
    <w:p w:rsidR="00BC5410" w:rsidRPr="00DD06F3" w:rsidRDefault="00BC5410" w:rsidP="00BC5410">
      <w:pPr>
        <w:pStyle w:val="NormalHanging12a"/>
        <w:rPr>
          <w:szCs w:val="24"/>
        </w:rPr>
      </w:pPr>
      <w:r w:rsidRPr="00DD06F3">
        <w:t>Й.</w:t>
      </w:r>
      <w:r w:rsidRPr="00DD06F3">
        <w:tab/>
        <w:t>като има предвид, че повечето въздействия върху тези различни процеси не са проучени от заявителя, с изключение на потенциалното въздействие върху кълняемостта, цъфтежа и теглото на зърната;</w:t>
      </w:r>
    </w:p>
    <w:p w:rsidR="00BC5410" w:rsidRPr="00DD06F3" w:rsidRDefault="00BC5410" w:rsidP="00BC5410">
      <w:pPr>
        <w:pStyle w:val="NormalHanging12a"/>
        <w:rPr>
          <w:szCs w:val="24"/>
        </w:rPr>
      </w:pPr>
      <w:r w:rsidRPr="00DD06F3">
        <w:t>К.</w:t>
      </w:r>
      <w:r w:rsidRPr="00DD06F3">
        <w:tab/>
        <w:t xml:space="preserve">като има предвид, че генната експресия и нейното въздействие върху производството на </w:t>
      </w:r>
      <w:proofErr w:type="spellStart"/>
      <w:r w:rsidRPr="00DD06F3">
        <w:t>биоактивни</w:t>
      </w:r>
      <w:proofErr w:type="spellEnd"/>
      <w:r w:rsidRPr="00DD06F3">
        <w:t xml:space="preserve"> </w:t>
      </w:r>
      <w:proofErr w:type="spellStart"/>
      <w:r w:rsidRPr="00DD06F3">
        <w:t>гиберелини</w:t>
      </w:r>
      <w:proofErr w:type="spellEnd"/>
      <w:r w:rsidRPr="00DD06F3">
        <w:t xml:space="preserve"> и метаболитното въздействие са изследвани само в полеви условия без конкретни стресови фактори, макар да е известно, че </w:t>
      </w:r>
      <w:proofErr w:type="spellStart"/>
      <w:r w:rsidRPr="00DD06F3">
        <w:t>гиберелиновата</w:t>
      </w:r>
      <w:proofErr w:type="spellEnd"/>
      <w:r w:rsidRPr="00DD06F3">
        <w:t xml:space="preserve"> киселина участва в множество реакции на стрес, предизвикан от биотични и </w:t>
      </w:r>
      <w:proofErr w:type="spellStart"/>
      <w:r w:rsidRPr="00DD06F3">
        <w:t>абиотични</w:t>
      </w:r>
      <w:proofErr w:type="spellEnd"/>
      <w:r w:rsidRPr="00DD06F3">
        <w:t xml:space="preserve"> фактори;</w:t>
      </w:r>
    </w:p>
    <w:p w:rsidR="00BC5410" w:rsidRPr="00DD06F3" w:rsidRDefault="00BC5410" w:rsidP="00BC5410">
      <w:pPr>
        <w:pStyle w:val="NormalHanging12a"/>
        <w:rPr>
          <w:b/>
          <w:i/>
          <w:szCs w:val="24"/>
        </w:rPr>
      </w:pPr>
      <w:r w:rsidRPr="00DD06F3">
        <w:rPr>
          <w:b/>
          <w:i/>
        </w:rPr>
        <w:t>Намаляване на зависимостта от вносни фуражи</w:t>
      </w:r>
    </w:p>
    <w:p w:rsidR="00BC5410" w:rsidRPr="00DD06F3" w:rsidRDefault="00BC5410" w:rsidP="00BC5410">
      <w:pPr>
        <w:pStyle w:val="NormalHanging12a"/>
        <w:rPr>
          <w:szCs w:val="24"/>
        </w:rPr>
      </w:pPr>
      <w:r w:rsidRPr="00DD06F3">
        <w:t>Л.</w:t>
      </w:r>
      <w:r w:rsidRPr="00DD06F3">
        <w:tab/>
        <w:t xml:space="preserve">като има предвид, че една от поуките от кризата с COVID-19 и все още продължаващата война в Украйна е необходимостта Съюзът да сложи край на зависимостта от някои материали от критично значение; като има предвид, че в </w:t>
      </w:r>
      <w:r w:rsidRPr="00DD06F3">
        <w:lastRenderedPageBreak/>
        <w:t xml:space="preserve">писмото за определяне на ресора до кандидата за член на Комисията Кристоф Хансен председателят на Комисията Урсула фон </w:t>
      </w:r>
      <w:proofErr w:type="spellStart"/>
      <w:r w:rsidRPr="00DD06F3">
        <w:t>дер</w:t>
      </w:r>
      <w:proofErr w:type="spellEnd"/>
      <w:r w:rsidRPr="00DD06F3">
        <w:t xml:space="preserve"> </w:t>
      </w:r>
      <w:proofErr w:type="spellStart"/>
      <w:r w:rsidRPr="00DD06F3">
        <w:t>Лайен</w:t>
      </w:r>
      <w:proofErr w:type="spellEnd"/>
      <w:r w:rsidRPr="00DD06F3">
        <w:t xml:space="preserve"> отправя искане към него да потърси начини за намаляване на вноса на стоки от критично значение</w:t>
      </w:r>
      <w:r w:rsidRPr="00DD06F3">
        <w:rPr>
          <w:rStyle w:val="FootnoteReference"/>
          <w:szCs w:val="24"/>
        </w:rPr>
        <w:footnoteReference w:id="7"/>
      </w:r>
      <w:r w:rsidRPr="00DD06F3">
        <w:t xml:space="preserve">; </w:t>
      </w:r>
    </w:p>
    <w:p w:rsidR="00BC5410" w:rsidRPr="00DD06F3" w:rsidRDefault="00BC5410" w:rsidP="004117F7">
      <w:pPr>
        <w:pStyle w:val="NormalHanging12a"/>
        <w:ind w:left="0" w:firstLine="0"/>
        <w:rPr>
          <w:b/>
          <w:i/>
          <w:szCs w:val="24"/>
        </w:rPr>
      </w:pPr>
      <w:r w:rsidRPr="00DD06F3">
        <w:rPr>
          <w:b/>
          <w:i/>
        </w:rPr>
        <w:t>Коментари на компетентните органи на държавите членки и на заинтересованите страни</w:t>
      </w:r>
    </w:p>
    <w:p w:rsidR="00BC5410" w:rsidRPr="00DD06F3" w:rsidRDefault="00BC5410" w:rsidP="00BC5410">
      <w:pPr>
        <w:pStyle w:val="NormalHanging12a"/>
        <w:rPr>
          <w:szCs w:val="24"/>
        </w:rPr>
      </w:pPr>
      <w:r w:rsidRPr="00DD06F3">
        <w:t>М.</w:t>
      </w:r>
      <w:r w:rsidRPr="00DD06F3">
        <w:tab/>
        <w:t>като има предвид, че държавите членки представиха на ЕОБХ множество критични коментари по време на тримесечния период на консултации</w:t>
      </w:r>
      <w:r w:rsidRPr="00DD06F3">
        <w:rPr>
          <w:rStyle w:val="FootnoteReference"/>
          <w:szCs w:val="24"/>
        </w:rPr>
        <w:footnoteReference w:id="8"/>
      </w:r>
      <w:r w:rsidRPr="00DD06F3">
        <w:t xml:space="preserve">, включително че </w:t>
      </w:r>
      <w:proofErr w:type="spellStart"/>
      <w:r w:rsidRPr="00DD06F3">
        <w:t>гиберелините</w:t>
      </w:r>
      <w:proofErr w:type="spellEnd"/>
      <w:r w:rsidRPr="00DD06F3">
        <w:t xml:space="preserve"> са основни регулатори на различни физиологични процеси в растенията, свързани по-специално с биотичните и </w:t>
      </w:r>
      <w:proofErr w:type="spellStart"/>
      <w:r w:rsidRPr="00DD06F3">
        <w:t>абиотичните</w:t>
      </w:r>
      <w:proofErr w:type="spellEnd"/>
      <w:r w:rsidRPr="00DD06F3">
        <w:t xml:space="preserve"> стресови фактори, и че предоставените от заявителя данни са непълни по отношение на оценката на потенциалното въздействие на намалените нива на </w:t>
      </w:r>
      <w:proofErr w:type="spellStart"/>
      <w:r w:rsidRPr="00DD06F3">
        <w:t>гиберелини</w:t>
      </w:r>
      <w:proofErr w:type="spellEnd"/>
      <w:r w:rsidRPr="00DD06F3">
        <w:t xml:space="preserve"> върху всички тези процеси, както и че разнообразието в полевите изпитвания е недостатъчно; като има предвид, че държавите членки също така разкритикуваха липсата на данни относно рисковете, породени от евентуалната дългосрочна стабилност на изкуствената </w:t>
      </w:r>
      <w:proofErr w:type="spellStart"/>
      <w:r w:rsidRPr="00DD06F3">
        <w:t>миРНК</w:t>
      </w:r>
      <w:proofErr w:type="spellEnd"/>
      <w:r w:rsidRPr="00DD06F3">
        <w:t xml:space="preserve"> в растението, или факта, че немалка част от модифицираната ДНК може да се вземе от червата на животни или хора, както и факта, че предоставените данни не доказват, че трансферът на генетичен материал от растение към бактерии е малко вероятен; </w:t>
      </w:r>
    </w:p>
    <w:p w:rsidR="00BC5410" w:rsidRPr="00DD06F3" w:rsidRDefault="00BC5410" w:rsidP="00BC5410">
      <w:pPr>
        <w:pStyle w:val="NormalHanging12a"/>
        <w:rPr>
          <w:szCs w:val="24"/>
        </w:rPr>
      </w:pPr>
      <w:r w:rsidRPr="00DD06F3">
        <w:t>Н.</w:t>
      </w:r>
      <w:r w:rsidRPr="00DD06F3">
        <w:tab/>
        <w:t>като има предвид, че в Регламент (ЕО) № 1829/2003 се посочва, че генетично модифицираните храни и фуражи не трябва да имат отрицателни ефекти върху човешкото здраве, здравето на животните или околната среда, и се изисква при изготвянето на решението си Комисията да взема предвид всички съответни разпоредби на законодателството на Съюза и други законни фактори, свързани с разглеждания въпрос;</w:t>
      </w:r>
    </w:p>
    <w:p w:rsidR="00BC5410" w:rsidRPr="00DD06F3" w:rsidRDefault="00BC5410" w:rsidP="00BC5410">
      <w:pPr>
        <w:pStyle w:val="NormalHanging12a"/>
        <w:rPr>
          <w:b/>
          <w:i/>
          <w:szCs w:val="24"/>
        </w:rPr>
      </w:pPr>
      <w:r w:rsidRPr="00DD06F3">
        <w:rPr>
          <w:b/>
          <w:i/>
        </w:rPr>
        <w:t>Недемократичен процес на вземане на решения</w:t>
      </w:r>
    </w:p>
    <w:p w:rsidR="00BC5410" w:rsidRPr="00DD06F3" w:rsidRDefault="00BC5410" w:rsidP="00BC5410">
      <w:pPr>
        <w:pStyle w:val="NormalHanging12a"/>
        <w:rPr>
          <w:b/>
          <w:i/>
          <w:szCs w:val="24"/>
        </w:rPr>
      </w:pPr>
      <w:r w:rsidRPr="00DD06F3">
        <w:t>О.</w:t>
      </w:r>
      <w:r w:rsidRPr="00DD06F3">
        <w:tab/>
        <w:t>като има предвид, че през осмия си мандат Парламентът прие общо 36 резолюции, в които възразява срещу пускането на пазара на ГМО за храни и фуражи (33 резолюции) и срещу отглеждането на ГМО в Съюза (три резолюции); като има предвид, че през деветия си мандат Парламентът прие 38 възражения срещу пускането на ГМО на пазара;</w:t>
      </w:r>
    </w:p>
    <w:p w:rsidR="00BC5410" w:rsidRPr="00DD06F3" w:rsidRDefault="00BC5410" w:rsidP="00BC5410">
      <w:pPr>
        <w:pStyle w:val="NormalHanging12a"/>
        <w:rPr>
          <w:szCs w:val="24"/>
        </w:rPr>
      </w:pPr>
      <w:r w:rsidRPr="00DD06F3">
        <w:t>П.</w:t>
      </w:r>
      <w:r w:rsidRPr="00DD06F3">
        <w:tab/>
        <w:t>като има предвид, че макар самата тя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rsidR="00BC5410" w:rsidRPr="00DD06F3" w:rsidRDefault="00BC5410" w:rsidP="00BC5410">
      <w:pPr>
        <w:pStyle w:val="NormalHanging12a"/>
        <w:rPr>
          <w:szCs w:val="24"/>
        </w:rPr>
      </w:pPr>
      <w:r w:rsidRPr="00DD06F3">
        <w:t>Р.</w:t>
      </w:r>
      <w:r w:rsidRPr="00DD06F3">
        <w:tab/>
        <w:t>като има предвид, че не се изисква промяна на законодателството, за да може Комисията да не разрешава ГМО, когато държавите членки не са изразили подкрепа с квалифицирано мнозинство в апелативния комитет</w:t>
      </w:r>
      <w:r w:rsidRPr="00DD06F3">
        <w:rPr>
          <w:rStyle w:val="FootnoteReference"/>
          <w:szCs w:val="24"/>
        </w:rPr>
        <w:footnoteReference w:id="9"/>
      </w:r>
      <w:r w:rsidRPr="00DD06F3">
        <w:t>;</w:t>
      </w:r>
    </w:p>
    <w:p w:rsidR="00BC5410" w:rsidRPr="00DD06F3" w:rsidRDefault="00BC5410" w:rsidP="00BC5410">
      <w:pPr>
        <w:pStyle w:val="NormalHanging12a"/>
        <w:rPr>
          <w:szCs w:val="24"/>
        </w:rPr>
      </w:pPr>
      <w:r w:rsidRPr="00DD06F3">
        <w:lastRenderedPageBreak/>
        <w:t>С.</w:t>
      </w:r>
      <w:r w:rsidRPr="00DD06F3">
        <w:tab/>
      </w:r>
      <w:r w:rsidRPr="00DD06F3">
        <w:rPr>
          <w:shd w:val="clear" w:color="auto" w:fill="FFFFFF"/>
        </w:rPr>
        <w:t xml:space="preserve">като има предвид, че при гласуването на 17 септември 2024 г. в Постоянния комитет по растенията, животните, храните и фуражите, посочен в член 35 от Регламент (ЕО) № 1829/2003, не беше изразено становище, което означава, че разрешението не е подкрепено от квалифицирано мнозинство от държавите членки; </w:t>
      </w:r>
    </w:p>
    <w:p w:rsidR="00BC5410" w:rsidRPr="00DD06F3" w:rsidRDefault="00BC5410" w:rsidP="00BC5410">
      <w:pPr>
        <w:pStyle w:val="NormalHanging12a"/>
        <w:rPr>
          <w:szCs w:val="24"/>
        </w:rPr>
      </w:pPr>
      <w:r w:rsidRPr="00DD06F3">
        <w:t>1.</w:t>
      </w:r>
      <w:r w:rsidRPr="00DD06F3">
        <w:tab/>
        <w:t>счита, че проектът на решение за изпълнение на Комисията превишава изпълнителните правомощия, предвидени в Регламент (ЕО) № 1829/2003;</w:t>
      </w:r>
    </w:p>
    <w:p w:rsidR="00BC5410" w:rsidRPr="00DD06F3" w:rsidRDefault="00BC5410" w:rsidP="00BC5410">
      <w:pPr>
        <w:pStyle w:val="NormalHanging12a"/>
        <w:rPr>
          <w:szCs w:val="24"/>
        </w:rPr>
      </w:pPr>
      <w:r w:rsidRPr="00DD06F3">
        <w:t>2.</w:t>
      </w:r>
      <w:r w:rsidRPr="00DD06F3">
        <w:tab/>
        <w:t>счита, че проектът на решение за изпълнение на Комисията не е в съответствие с правото на Съюза, доколкото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DD06F3">
        <w:rPr>
          <w:rStyle w:val="FootnoteReference"/>
          <w:szCs w:val="24"/>
        </w:rPr>
        <w:footnoteReference w:id="10"/>
      </w:r>
      <w:r w:rsidRPr="00DD06F3">
        <w:t>, е да се предвиди основата за гарантиране на висока степен на защита на живота и здравето на човека, на здравето на животните и на хуманното отношение към тях и на интересите на околната среда и на потребителите по отношение на генетично модифицираните храни и фуражи, като същевременно се гарантира ефективното функциониране на вътрешния пазар;</w:t>
      </w:r>
    </w:p>
    <w:p w:rsidR="00BC5410" w:rsidRPr="00DD06F3" w:rsidRDefault="00BC5410" w:rsidP="00BC5410">
      <w:pPr>
        <w:pStyle w:val="NormalHanging12a"/>
        <w:rPr>
          <w:szCs w:val="24"/>
        </w:rPr>
      </w:pPr>
      <w:r w:rsidRPr="00DD06F3">
        <w:t>3.</w:t>
      </w:r>
      <w:r w:rsidRPr="00DD06F3">
        <w:tab/>
        <w:t>отправя искане към Комисията да оттегли своя проект на решение за изпълнение и да внесе нов проект в комисията;</w:t>
      </w:r>
    </w:p>
    <w:p w:rsidR="00BC5410" w:rsidRPr="00DD06F3" w:rsidRDefault="00BC5410" w:rsidP="00BC5410">
      <w:pPr>
        <w:pStyle w:val="NormalHanging12a"/>
        <w:rPr>
          <w:szCs w:val="24"/>
        </w:rPr>
      </w:pPr>
      <w:r w:rsidRPr="00DD06F3">
        <w:t>4.</w:t>
      </w:r>
      <w:r w:rsidRPr="00DD06F3">
        <w:tab/>
        <w:t>приветства факта, че в писмо от 11 септември 2020 г. до членовете на ЕП Комисията в крайна сметка призна необходимостта да се взема предвид устойчивостта, когато става въпрос за решения за разрешаване на ГМО</w:t>
      </w:r>
      <w:r w:rsidRPr="00DD06F3">
        <w:rPr>
          <w:rStyle w:val="FootnoteReference"/>
          <w:szCs w:val="24"/>
        </w:rPr>
        <w:footnoteReference w:id="11"/>
      </w:r>
      <w:r w:rsidRPr="00DD06F3">
        <w:t>; изразява силно разочарование обаче, че след това Комисията продължи да разрешава вноса на ГМО в Съюза въпреки продължаващите възражения от страна на Парламента и факта, че мнозинството от държавите членки са гласували против;</w:t>
      </w:r>
    </w:p>
    <w:p w:rsidR="00BC5410" w:rsidRPr="00DD06F3" w:rsidRDefault="00BC5410" w:rsidP="00BC5410">
      <w:pPr>
        <w:pStyle w:val="NormalHanging12a"/>
        <w:rPr>
          <w:szCs w:val="24"/>
        </w:rPr>
      </w:pPr>
      <w:r w:rsidRPr="00DD06F3">
        <w:t>5.</w:t>
      </w:r>
      <w:r w:rsidRPr="00DD06F3">
        <w:tab/>
        <w:t>отново настоятелно призовава Комисията да взема предвид задълженията на Съюза съгласно международни споразумения като Парижкото споразумение относно изменението на климата, Конвенцията на ООН за биологичното разнообразие и целите за устойчиво развитие на ООН; отново призовава проектите на актове за изпълнение да бъдат придружени от обяснителен меморандум, в който да се разяснява по какъв начин в съответните текстове е спазен принципът за „</w:t>
      </w:r>
      <w:proofErr w:type="spellStart"/>
      <w:r w:rsidRPr="00DD06F3">
        <w:t>ненанасяне</w:t>
      </w:r>
      <w:proofErr w:type="spellEnd"/>
      <w:r w:rsidRPr="00DD06F3">
        <w:t xml:space="preserve"> на вреда“</w:t>
      </w:r>
      <w:r w:rsidRPr="00DD06F3">
        <w:rPr>
          <w:rStyle w:val="FootnoteReference"/>
          <w:szCs w:val="24"/>
        </w:rPr>
        <w:footnoteReference w:id="12"/>
      </w:r>
      <w:r w:rsidRPr="00DD06F3">
        <w:t xml:space="preserve">; </w:t>
      </w:r>
    </w:p>
    <w:p w:rsidR="00DD06F3" w:rsidRPr="00DD06F3" w:rsidRDefault="00BC5410" w:rsidP="00DD06F3">
      <w:pPr>
        <w:pStyle w:val="NormalHanging12a"/>
        <w:rPr>
          <w:sz w:val="28"/>
          <w:lang w:eastAsia="fr-FR"/>
        </w:rPr>
      </w:pPr>
      <w:r w:rsidRPr="00DD06F3">
        <w:t>6.</w:t>
      </w:r>
      <w:r w:rsidRPr="00DD06F3">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rsidR="00E365E1" w:rsidRPr="00DD06F3" w:rsidRDefault="00E365E1" w:rsidP="00BC5410">
      <w:pPr>
        <w:rPr>
          <w:sz w:val="28"/>
          <w:lang w:eastAsia="fr-FR"/>
        </w:rPr>
      </w:pPr>
    </w:p>
    <w:sectPr w:rsidR="00E365E1" w:rsidRPr="00DD06F3" w:rsidSect="00DD06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5E4" w:rsidRPr="00DD06F3" w:rsidRDefault="00A945E4">
      <w:r w:rsidRPr="00DD06F3">
        <w:separator/>
      </w:r>
    </w:p>
  </w:endnote>
  <w:endnote w:type="continuationSeparator" w:id="0">
    <w:p w:rsidR="00A945E4" w:rsidRPr="00DD06F3" w:rsidRDefault="00A945E4">
      <w:r w:rsidRPr="00DD06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5E4" w:rsidRPr="00DD06F3" w:rsidRDefault="00A945E4">
      <w:r w:rsidRPr="00DD06F3">
        <w:separator/>
      </w:r>
    </w:p>
  </w:footnote>
  <w:footnote w:type="continuationSeparator" w:id="0">
    <w:p w:rsidR="00A945E4" w:rsidRPr="00DD06F3" w:rsidRDefault="00A945E4">
      <w:r w:rsidRPr="00DD06F3">
        <w:continuationSeparator/>
      </w:r>
    </w:p>
  </w:footnote>
  <w:footnote w:id="1">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 xml:space="preserve">ОВ L 268, 18.10.2003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D06F3">
          <w:rPr>
            <w:rStyle w:val="Hyperlink"/>
            <w:sz w:val="24"/>
            <w:lang w:val="bg-BG"/>
          </w:rPr>
          <w:t>http://data.europa.eu/eli/reg/2003/1829/oj</w:t>
        </w:r>
      </w:hyperlink>
      <w:r w:rsidRPr="00DD06F3">
        <w:rPr>
          <w:sz w:val="24"/>
          <w:lang w:val="bg-BG"/>
        </w:rPr>
        <w:t xml:space="preserve">. </w:t>
      </w:r>
    </w:p>
  </w:footnote>
  <w:footnote w:id="2">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 xml:space="preserve">ОВ L 55, 28.2.2011 г., стр. 13, 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D06F3">
          <w:rPr>
            <w:rStyle w:val="Hyperlink"/>
            <w:sz w:val="24"/>
            <w:lang w:val="bg-BG"/>
          </w:rPr>
          <w:t>http://data.europa.eu/eli/reg/2011/182/oj</w:t>
        </w:r>
      </w:hyperlink>
      <w:r w:rsidRPr="00DD06F3">
        <w:rPr>
          <w:sz w:val="24"/>
          <w:lang w:val="bg-BG"/>
        </w:rPr>
        <w:t xml:space="preserve">. </w:t>
      </w:r>
    </w:p>
  </w:footnote>
  <w:footnote w:id="3">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 xml:space="preserve">Научно становище на Експертната група по генетично модифицирани организми на ЕОБХ във връзка с оценката на генетично модифицирана царевица MON 94804 за употреба като храни и фуражи в съответствие с Регламент (ЕО) № 1829/2003 (заявление GMFF-2022-10651), Бюлетин на ЕОБХ, 2024 г.; 22(4):8714, </w:t>
      </w:r>
      <w:hyperlink r:id="rId3" w:history="1">
        <w:r w:rsidRPr="00DD06F3">
          <w:rPr>
            <w:rStyle w:val="Hyperlink"/>
            <w:sz w:val="24"/>
            <w:lang w:val="bg-BG"/>
          </w:rPr>
          <w:t>https://doi.org/10.2903/j.efsa.2024.8714</w:t>
        </w:r>
      </w:hyperlink>
      <w:r w:rsidRPr="00DD06F3">
        <w:rPr>
          <w:sz w:val="24"/>
          <w:lang w:val="bg-BG"/>
        </w:rPr>
        <w:t>.</w:t>
      </w:r>
    </w:p>
  </w:footnote>
  <w:footnote w:id="4">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color w:val="000000" w:themeColor="text1"/>
          <w:sz w:val="24"/>
          <w:lang w:val="bg-BG"/>
        </w:rPr>
        <w:t xml:space="preserve"> </w:t>
      </w:r>
      <w:r w:rsidR="00DD06F3" w:rsidRPr="00DD06F3">
        <w:rPr>
          <w:color w:val="000000" w:themeColor="text1"/>
          <w:sz w:val="24"/>
          <w:lang w:val="bg-BG"/>
        </w:rPr>
        <w:tab/>
      </w:r>
      <w:r w:rsidRPr="00DD06F3">
        <w:rPr>
          <w:color w:val="000000" w:themeColor="text1"/>
          <w:sz w:val="24"/>
          <w:lang w:val="bg-BG"/>
        </w:rPr>
        <w:t xml:space="preserve">През осмия си мандат Парламентът прие 36 резолюции, а през деветия си мандат – 38 резолюции, в които възразява срещу разрешаването на ГМО. </w:t>
      </w:r>
    </w:p>
  </w:footnote>
  <w:footnote w:id="5">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proofErr w:type="spellStart"/>
      <w:r w:rsidRPr="00DD06F3">
        <w:rPr>
          <w:sz w:val="24"/>
          <w:lang w:val="bg-BG"/>
        </w:rPr>
        <w:t>Dávalos</w:t>
      </w:r>
      <w:proofErr w:type="spellEnd"/>
      <w:r w:rsidRPr="00DD06F3">
        <w:rPr>
          <w:sz w:val="24"/>
          <w:lang w:val="bg-BG"/>
        </w:rPr>
        <w:t xml:space="preserve">, A., </w:t>
      </w:r>
      <w:proofErr w:type="spellStart"/>
      <w:r w:rsidRPr="00DD06F3">
        <w:rPr>
          <w:sz w:val="24"/>
          <w:lang w:val="bg-BG"/>
        </w:rPr>
        <w:t>Henriques</w:t>
      </w:r>
      <w:proofErr w:type="spellEnd"/>
      <w:r w:rsidRPr="00DD06F3">
        <w:rPr>
          <w:sz w:val="24"/>
          <w:lang w:val="bg-BG"/>
        </w:rPr>
        <w:t xml:space="preserve">, R., </w:t>
      </w:r>
      <w:proofErr w:type="spellStart"/>
      <w:r w:rsidRPr="00DD06F3">
        <w:rPr>
          <w:sz w:val="24"/>
          <w:lang w:val="bg-BG"/>
        </w:rPr>
        <w:t>Latasa</w:t>
      </w:r>
      <w:proofErr w:type="spellEnd"/>
      <w:r w:rsidRPr="00DD06F3">
        <w:rPr>
          <w:sz w:val="24"/>
          <w:lang w:val="bg-BG"/>
        </w:rPr>
        <w:t xml:space="preserve">, M. J., </w:t>
      </w:r>
      <w:proofErr w:type="spellStart"/>
      <w:r w:rsidRPr="00DD06F3">
        <w:rPr>
          <w:sz w:val="24"/>
          <w:lang w:val="bg-BG"/>
        </w:rPr>
        <w:t>Laparra</w:t>
      </w:r>
      <w:proofErr w:type="spellEnd"/>
      <w:r w:rsidRPr="00DD06F3">
        <w:rPr>
          <w:sz w:val="24"/>
          <w:lang w:val="bg-BG"/>
        </w:rPr>
        <w:t xml:space="preserve">, M., &amp; </w:t>
      </w:r>
      <w:proofErr w:type="spellStart"/>
      <w:r w:rsidRPr="00DD06F3">
        <w:rPr>
          <w:sz w:val="24"/>
          <w:lang w:val="bg-BG"/>
        </w:rPr>
        <w:t>Coca</w:t>
      </w:r>
      <w:proofErr w:type="spellEnd"/>
      <w:r w:rsidRPr="00DD06F3">
        <w:rPr>
          <w:sz w:val="24"/>
          <w:lang w:val="bg-BG"/>
        </w:rPr>
        <w:t>, M. (2019). „</w:t>
      </w:r>
      <w:proofErr w:type="spellStart"/>
      <w:r w:rsidRPr="00DD06F3">
        <w:rPr>
          <w:sz w:val="24"/>
          <w:lang w:val="bg-BG"/>
        </w:rPr>
        <w:t>Literature</w:t>
      </w:r>
      <w:proofErr w:type="spellEnd"/>
      <w:r w:rsidRPr="00DD06F3">
        <w:rPr>
          <w:sz w:val="24"/>
          <w:lang w:val="bg-BG"/>
        </w:rPr>
        <w:t xml:space="preserve"> </w:t>
      </w:r>
      <w:proofErr w:type="spellStart"/>
      <w:r w:rsidRPr="00DD06F3">
        <w:rPr>
          <w:sz w:val="24"/>
          <w:lang w:val="bg-BG"/>
        </w:rPr>
        <w:t>review</w:t>
      </w:r>
      <w:proofErr w:type="spellEnd"/>
      <w:r w:rsidRPr="00DD06F3">
        <w:rPr>
          <w:sz w:val="24"/>
          <w:lang w:val="bg-BG"/>
        </w:rPr>
        <w:t xml:space="preserve"> </w:t>
      </w:r>
      <w:proofErr w:type="spellStart"/>
      <w:r w:rsidRPr="00DD06F3">
        <w:rPr>
          <w:sz w:val="24"/>
          <w:lang w:val="bg-BG"/>
        </w:rPr>
        <w:t>of</w:t>
      </w:r>
      <w:proofErr w:type="spellEnd"/>
      <w:r w:rsidRPr="00DD06F3">
        <w:rPr>
          <w:sz w:val="24"/>
          <w:lang w:val="bg-BG"/>
        </w:rPr>
        <w:t xml:space="preserve"> </w:t>
      </w:r>
      <w:proofErr w:type="spellStart"/>
      <w:r w:rsidRPr="00DD06F3">
        <w:rPr>
          <w:sz w:val="24"/>
          <w:lang w:val="bg-BG"/>
        </w:rPr>
        <w:t>baseline</w:t>
      </w:r>
      <w:proofErr w:type="spellEnd"/>
      <w:r w:rsidRPr="00DD06F3">
        <w:rPr>
          <w:sz w:val="24"/>
          <w:lang w:val="bg-BG"/>
        </w:rPr>
        <w:t xml:space="preserve"> </w:t>
      </w:r>
      <w:proofErr w:type="spellStart"/>
      <w:r w:rsidRPr="00DD06F3">
        <w:rPr>
          <w:sz w:val="24"/>
          <w:lang w:val="bg-BG"/>
        </w:rPr>
        <w:t>information</w:t>
      </w:r>
      <w:proofErr w:type="spellEnd"/>
      <w:r w:rsidRPr="00DD06F3">
        <w:rPr>
          <w:sz w:val="24"/>
          <w:lang w:val="bg-BG"/>
        </w:rPr>
        <w:t xml:space="preserve"> </w:t>
      </w:r>
      <w:proofErr w:type="spellStart"/>
      <w:r w:rsidRPr="00DD06F3">
        <w:rPr>
          <w:sz w:val="24"/>
          <w:lang w:val="bg-BG"/>
        </w:rPr>
        <w:t>on</w:t>
      </w:r>
      <w:proofErr w:type="spellEnd"/>
      <w:r w:rsidRPr="00DD06F3">
        <w:rPr>
          <w:sz w:val="24"/>
          <w:lang w:val="bg-BG"/>
        </w:rPr>
        <w:t xml:space="preserve"> non-</w:t>
      </w:r>
      <w:proofErr w:type="spellStart"/>
      <w:r w:rsidRPr="00DD06F3">
        <w:rPr>
          <w:sz w:val="24"/>
          <w:lang w:val="bg-BG"/>
        </w:rPr>
        <w:t>coding</w:t>
      </w:r>
      <w:proofErr w:type="spellEnd"/>
      <w:r w:rsidRPr="00DD06F3">
        <w:rPr>
          <w:sz w:val="24"/>
          <w:lang w:val="bg-BG"/>
        </w:rPr>
        <w:t xml:space="preserve"> RNA (</w:t>
      </w:r>
      <w:proofErr w:type="spellStart"/>
      <w:r w:rsidRPr="00DD06F3">
        <w:rPr>
          <w:sz w:val="24"/>
          <w:lang w:val="bg-BG"/>
        </w:rPr>
        <w:t>ncRNA</w:t>
      </w:r>
      <w:proofErr w:type="spellEnd"/>
      <w:r w:rsidRPr="00DD06F3">
        <w:rPr>
          <w:sz w:val="24"/>
          <w:lang w:val="bg-BG"/>
        </w:rPr>
        <w:t xml:space="preserve">) </w:t>
      </w:r>
      <w:proofErr w:type="spellStart"/>
      <w:r w:rsidRPr="00DD06F3">
        <w:rPr>
          <w:sz w:val="24"/>
          <w:lang w:val="bg-BG"/>
        </w:rPr>
        <w:t>to</w:t>
      </w:r>
      <w:proofErr w:type="spellEnd"/>
      <w:r w:rsidRPr="00DD06F3">
        <w:rPr>
          <w:sz w:val="24"/>
          <w:lang w:val="bg-BG"/>
        </w:rPr>
        <w:t xml:space="preserve"> </w:t>
      </w:r>
      <w:proofErr w:type="spellStart"/>
      <w:r w:rsidRPr="00DD06F3">
        <w:rPr>
          <w:sz w:val="24"/>
          <w:lang w:val="bg-BG"/>
        </w:rPr>
        <w:t>support</w:t>
      </w:r>
      <w:proofErr w:type="spellEnd"/>
      <w:r w:rsidRPr="00DD06F3">
        <w:rPr>
          <w:sz w:val="24"/>
          <w:lang w:val="bg-BG"/>
        </w:rPr>
        <w:t xml:space="preserve"> </w:t>
      </w:r>
      <w:proofErr w:type="spellStart"/>
      <w:r w:rsidRPr="00DD06F3">
        <w:rPr>
          <w:sz w:val="24"/>
          <w:lang w:val="bg-BG"/>
        </w:rPr>
        <w:t>the</w:t>
      </w:r>
      <w:proofErr w:type="spellEnd"/>
      <w:r w:rsidRPr="00DD06F3">
        <w:rPr>
          <w:sz w:val="24"/>
          <w:lang w:val="bg-BG"/>
        </w:rPr>
        <w:t xml:space="preserve"> </w:t>
      </w:r>
      <w:proofErr w:type="spellStart"/>
      <w:r w:rsidRPr="00DD06F3">
        <w:rPr>
          <w:sz w:val="24"/>
          <w:lang w:val="bg-BG"/>
        </w:rPr>
        <w:t>risk</w:t>
      </w:r>
      <w:proofErr w:type="spellEnd"/>
      <w:r w:rsidRPr="00DD06F3">
        <w:rPr>
          <w:sz w:val="24"/>
          <w:lang w:val="bg-BG"/>
        </w:rPr>
        <w:t xml:space="preserve"> </w:t>
      </w:r>
      <w:proofErr w:type="spellStart"/>
      <w:r w:rsidRPr="00DD06F3">
        <w:rPr>
          <w:sz w:val="24"/>
          <w:lang w:val="bg-BG"/>
        </w:rPr>
        <w:t>assessment</w:t>
      </w:r>
      <w:proofErr w:type="spellEnd"/>
      <w:r w:rsidRPr="00DD06F3">
        <w:rPr>
          <w:sz w:val="24"/>
          <w:lang w:val="bg-BG"/>
        </w:rPr>
        <w:t xml:space="preserve"> </w:t>
      </w:r>
      <w:proofErr w:type="spellStart"/>
      <w:r w:rsidRPr="00DD06F3">
        <w:rPr>
          <w:sz w:val="24"/>
          <w:lang w:val="bg-BG"/>
        </w:rPr>
        <w:t>of</w:t>
      </w:r>
      <w:proofErr w:type="spellEnd"/>
      <w:r w:rsidRPr="00DD06F3">
        <w:rPr>
          <w:sz w:val="24"/>
          <w:lang w:val="bg-BG"/>
        </w:rPr>
        <w:t xml:space="preserve"> </w:t>
      </w:r>
      <w:proofErr w:type="spellStart"/>
      <w:r w:rsidRPr="00DD06F3">
        <w:rPr>
          <w:sz w:val="24"/>
          <w:lang w:val="bg-BG"/>
        </w:rPr>
        <w:t>ncRNA-based</w:t>
      </w:r>
      <w:proofErr w:type="spellEnd"/>
      <w:r w:rsidRPr="00DD06F3">
        <w:rPr>
          <w:sz w:val="24"/>
          <w:lang w:val="bg-BG"/>
        </w:rPr>
        <w:t xml:space="preserve"> </w:t>
      </w:r>
      <w:proofErr w:type="spellStart"/>
      <w:r w:rsidRPr="00DD06F3">
        <w:rPr>
          <w:sz w:val="24"/>
          <w:lang w:val="bg-BG"/>
        </w:rPr>
        <w:t>genetically</w:t>
      </w:r>
      <w:proofErr w:type="spellEnd"/>
      <w:r w:rsidRPr="00DD06F3">
        <w:rPr>
          <w:sz w:val="24"/>
          <w:lang w:val="bg-BG"/>
        </w:rPr>
        <w:t xml:space="preserve"> </w:t>
      </w:r>
      <w:proofErr w:type="spellStart"/>
      <w:r w:rsidRPr="00DD06F3">
        <w:rPr>
          <w:sz w:val="24"/>
          <w:lang w:val="bg-BG"/>
        </w:rPr>
        <w:t>modified</w:t>
      </w:r>
      <w:proofErr w:type="spellEnd"/>
      <w:r w:rsidRPr="00DD06F3">
        <w:rPr>
          <w:sz w:val="24"/>
          <w:lang w:val="bg-BG"/>
        </w:rPr>
        <w:t xml:space="preserve"> </w:t>
      </w:r>
      <w:proofErr w:type="spellStart"/>
      <w:r w:rsidRPr="00DD06F3">
        <w:rPr>
          <w:sz w:val="24"/>
          <w:lang w:val="bg-BG"/>
        </w:rPr>
        <w:t>plants</w:t>
      </w:r>
      <w:proofErr w:type="spellEnd"/>
      <w:r w:rsidRPr="00DD06F3">
        <w:rPr>
          <w:sz w:val="24"/>
          <w:lang w:val="bg-BG"/>
        </w:rPr>
        <w:t xml:space="preserve"> </w:t>
      </w:r>
      <w:proofErr w:type="spellStart"/>
      <w:r w:rsidRPr="00DD06F3">
        <w:rPr>
          <w:sz w:val="24"/>
          <w:lang w:val="bg-BG"/>
        </w:rPr>
        <w:t>for</w:t>
      </w:r>
      <w:proofErr w:type="spellEnd"/>
      <w:r w:rsidRPr="00DD06F3">
        <w:rPr>
          <w:sz w:val="24"/>
          <w:lang w:val="bg-BG"/>
        </w:rPr>
        <w:t xml:space="preserve"> </w:t>
      </w:r>
      <w:proofErr w:type="spellStart"/>
      <w:r w:rsidRPr="00DD06F3">
        <w:rPr>
          <w:sz w:val="24"/>
          <w:lang w:val="bg-BG"/>
        </w:rPr>
        <w:t>food</w:t>
      </w:r>
      <w:proofErr w:type="spellEnd"/>
      <w:r w:rsidRPr="00DD06F3">
        <w:rPr>
          <w:sz w:val="24"/>
          <w:lang w:val="bg-BG"/>
        </w:rPr>
        <w:t xml:space="preserve"> </w:t>
      </w:r>
      <w:proofErr w:type="spellStart"/>
      <w:r w:rsidRPr="00DD06F3">
        <w:rPr>
          <w:sz w:val="24"/>
          <w:lang w:val="bg-BG"/>
        </w:rPr>
        <w:t>and</w:t>
      </w:r>
      <w:proofErr w:type="spellEnd"/>
      <w:r w:rsidRPr="00DD06F3">
        <w:rPr>
          <w:sz w:val="24"/>
          <w:lang w:val="bg-BG"/>
        </w:rPr>
        <w:t xml:space="preserve"> </w:t>
      </w:r>
      <w:proofErr w:type="spellStart"/>
      <w:r w:rsidRPr="00DD06F3">
        <w:rPr>
          <w:sz w:val="24"/>
          <w:lang w:val="bg-BG"/>
        </w:rPr>
        <w:t>feed</w:t>
      </w:r>
      <w:proofErr w:type="spellEnd"/>
      <w:r w:rsidRPr="00DD06F3">
        <w:rPr>
          <w:sz w:val="24"/>
          <w:lang w:val="bg-BG"/>
        </w:rPr>
        <w:t xml:space="preserve">“ (Преглед на литературата за базовата информация за </w:t>
      </w:r>
      <w:proofErr w:type="spellStart"/>
      <w:r w:rsidRPr="00DD06F3">
        <w:rPr>
          <w:sz w:val="24"/>
          <w:lang w:val="bg-BG"/>
        </w:rPr>
        <w:t>некодиращи</w:t>
      </w:r>
      <w:proofErr w:type="spellEnd"/>
      <w:r w:rsidRPr="00DD06F3">
        <w:rPr>
          <w:sz w:val="24"/>
          <w:lang w:val="bg-BG"/>
        </w:rPr>
        <w:t xml:space="preserve"> РНК (</w:t>
      </w:r>
      <w:proofErr w:type="spellStart"/>
      <w:r w:rsidRPr="00DD06F3">
        <w:rPr>
          <w:sz w:val="24"/>
          <w:lang w:val="bg-BG"/>
        </w:rPr>
        <w:t>нкРНК</w:t>
      </w:r>
      <w:proofErr w:type="spellEnd"/>
      <w:r w:rsidRPr="00DD06F3">
        <w:rPr>
          <w:sz w:val="24"/>
          <w:lang w:val="bg-BG"/>
        </w:rPr>
        <w:t xml:space="preserve">) в подкрепа на оценката на риска от генетично модифицирани растения на основата на </w:t>
      </w:r>
      <w:proofErr w:type="spellStart"/>
      <w:r w:rsidRPr="00DD06F3">
        <w:rPr>
          <w:sz w:val="24"/>
          <w:lang w:val="bg-BG"/>
        </w:rPr>
        <w:t>нкРНК</w:t>
      </w:r>
      <w:proofErr w:type="spellEnd"/>
      <w:r w:rsidRPr="00DD06F3">
        <w:rPr>
          <w:sz w:val="24"/>
          <w:lang w:val="bg-BG"/>
        </w:rPr>
        <w:t xml:space="preserve"> за храни и фуражи). Допълнителни публикации на ЕОБХ, 16(8), EN-1688. </w:t>
      </w:r>
      <w:hyperlink r:id="rId4" w:history="1">
        <w:r w:rsidRPr="00DD06F3">
          <w:rPr>
            <w:rStyle w:val="Hyperlink"/>
            <w:sz w:val="24"/>
            <w:lang w:val="bg-BG"/>
          </w:rPr>
          <w:t>https://doi.org/10.2903/sp.efsa.2019.EN-1688</w:t>
        </w:r>
      </w:hyperlink>
      <w:r w:rsidRPr="00DD06F3">
        <w:rPr>
          <w:rStyle w:val="Hyperlink"/>
          <w:sz w:val="24"/>
          <w:lang w:val="bg-BG"/>
        </w:rPr>
        <w:t>.</w:t>
      </w:r>
    </w:p>
  </w:footnote>
  <w:footnote w:id="6">
    <w:p w:rsidR="00BC5410" w:rsidRPr="00DD06F3" w:rsidRDefault="00BC5410" w:rsidP="00DD06F3">
      <w:pPr>
        <w:pStyle w:val="FootnoteText"/>
        <w:ind w:left="567" w:hanging="567"/>
        <w:rPr>
          <w:sz w:val="24"/>
          <w:szCs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 xml:space="preserve">Приложение 8 към научното становище на Експертната група по генетично модифицирани организми на ЕОБХ във връзка с оценката на генетично модифицирана царевица MON 94804 за употреба като храни и фуражи в съответствие с Регламент (ЕО) № 1829/2003 (заявление GMFF-2022-10651), Бюлетин на ЕОБХ, 2024 г.; 22(4):8714, </w:t>
      </w:r>
      <w:hyperlink r:id="rId5" w:history="1">
        <w:r w:rsidRPr="00DD06F3">
          <w:rPr>
            <w:rStyle w:val="Hyperlink"/>
            <w:sz w:val="24"/>
            <w:lang w:val="bg-BG"/>
          </w:rPr>
          <w:t>https://doi.org/10.2903/j.efsa.2024.8714</w:t>
        </w:r>
      </w:hyperlink>
      <w:r w:rsidRPr="00DD06F3">
        <w:rPr>
          <w:sz w:val="24"/>
          <w:lang w:val="bg-BG"/>
        </w:rPr>
        <w:t>.</w:t>
      </w:r>
    </w:p>
  </w:footnote>
  <w:footnote w:id="7">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hyperlink r:id="rId6" w:history="1">
        <w:r w:rsidRPr="00DD06F3">
          <w:rPr>
            <w:rStyle w:val="Hyperlink"/>
            <w:sz w:val="24"/>
            <w:lang w:val="bg-BG"/>
          </w:rPr>
          <w:t>https://commission.europa.eu/document/2c64e540-c07a-4376-a1da-368d289f4afe_en</w:t>
        </w:r>
      </w:hyperlink>
    </w:p>
  </w:footnote>
  <w:footnote w:id="8">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hyperlink r:id="rId7" w:history="1">
        <w:r w:rsidRPr="00DD06F3">
          <w:rPr>
            <w:rStyle w:val="Hyperlink"/>
            <w:sz w:val="24"/>
            <w:lang w:val="bg-BG"/>
          </w:rPr>
          <w:t>https://efsa.onlinelibrary.wiley.com/action/downloadSupplement?doi=10.2903%2Fj.‌efsa.2024.8714&amp;file=efs28714-sup-0008-Annex8.pdf</w:t>
        </w:r>
      </w:hyperlink>
      <w:r w:rsidRPr="00DD06F3">
        <w:rPr>
          <w:rStyle w:val="Hyperlink"/>
          <w:sz w:val="24"/>
          <w:lang w:val="bg-BG"/>
        </w:rPr>
        <w:t>.</w:t>
      </w:r>
    </w:p>
  </w:footnote>
  <w:footnote w:id="9">
    <w:p w:rsidR="00BC5410" w:rsidRPr="00DD06F3" w:rsidRDefault="00BC5410" w:rsidP="00DD06F3">
      <w:pPr>
        <w:pStyle w:val="sdfootnote-western"/>
        <w:spacing w:before="0" w:beforeAutospacing="0"/>
        <w:ind w:left="567" w:hanging="567"/>
        <w:rPr>
          <w:rFonts w:ascii="Times New Roman" w:hAnsi="Times New Roman"/>
          <w:color w:val="auto"/>
          <w:sz w:val="24"/>
        </w:rPr>
      </w:pPr>
      <w:r w:rsidRPr="00DD06F3">
        <w:rPr>
          <w:rStyle w:val="FootnoteReference"/>
          <w:rFonts w:ascii="Times New Roman" w:hAnsi="Times New Roman"/>
          <w:sz w:val="24"/>
        </w:rPr>
        <w:footnoteRef/>
      </w:r>
      <w:r w:rsidR="00DD06F3" w:rsidRPr="00DD06F3">
        <w:rPr>
          <w:rFonts w:ascii="Times New Roman" w:hAnsi="Times New Roman"/>
          <w:color w:val="auto"/>
          <w:sz w:val="24"/>
        </w:rPr>
        <w:t xml:space="preserve"> </w:t>
      </w:r>
      <w:r w:rsidR="00DD06F3" w:rsidRPr="00DD06F3">
        <w:rPr>
          <w:rFonts w:ascii="Times New Roman" w:hAnsi="Times New Roman"/>
          <w:color w:val="auto"/>
          <w:sz w:val="24"/>
        </w:rPr>
        <w:tab/>
      </w:r>
      <w:r w:rsidRPr="00DD06F3">
        <w:rPr>
          <w:rFonts w:ascii="Times New Roman" w:hAnsi="Times New Roman"/>
          <w:color w:val="auto"/>
          <w:sz w:val="24"/>
        </w:rPr>
        <w:t xml:space="preserve">Комисията „може“, а не „трябва“ да предоставя разрешение, когато държавите членки не са изразили подкрепа с квалифицирано мнозинство в апелативния комитет, в съответствие с член 6, параграф 3 от Регламент (ЕС) № 182/2011. </w:t>
      </w:r>
    </w:p>
  </w:footnote>
  <w:footnote w:id="10">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D06F3">
          <w:rPr>
            <w:rStyle w:val="Hyperlink"/>
            <w:sz w:val="24"/>
            <w:lang w:val="bg-BG"/>
          </w:rPr>
          <w:t>http://data.europa.eu/eli/reg/2002/178/oj</w:t>
        </w:r>
      </w:hyperlink>
      <w:r w:rsidRPr="00DD06F3">
        <w:rPr>
          <w:sz w:val="24"/>
          <w:lang w:val="bg-BG"/>
        </w:rPr>
        <w:t>).</w:t>
      </w:r>
    </w:p>
  </w:footnote>
  <w:footnote w:id="11">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hyperlink r:id="rId9" w:history="1">
        <w:r w:rsidRPr="00DD06F3">
          <w:rPr>
            <w:rStyle w:val="Hyperlink"/>
            <w:sz w:val="24"/>
            <w:lang w:val="bg-BG"/>
          </w:rPr>
          <w:t>https://tillymetz.lu/wp-content/uploads/2020/09/Co-signed-letter-MEP-Metz.pdf</w:t>
        </w:r>
      </w:hyperlink>
      <w:r w:rsidRPr="00DD06F3">
        <w:rPr>
          <w:rStyle w:val="Hyperlink"/>
          <w:sz w:val="24"/>
          <w:lang w:val="bg-BG"/>
        </w:rPr>
        <w:t xml:space="preserve">. </w:t>
      </w:r>
    </w:p>
  </w:footnote>
  <w:footnote w:id="12">
    <w:p w:rsidR="00BC5410" w:rsidRPr="00DD06F3" w:rsidRDefault="00BC5410" w:rsidP="00DD06F3">
      <w:pPr>
        <w:pStyle w:val="FootnoteText"/>
        <w:ind w:left="567" w:hanging="567"/>
        <w:rPr>
          <w:sz w:val="24"/>
          <w:lang w:val="bg-BG"/>
        </w:rPr>
      </w:pPr>
      <w:r w:rsidRPr="00DD06F3">
        <w:rPr>
          <w:rStyle w:val="FootnoteReference"/>
          <w:sz w:val="24"/>
          <w:lang w:val="bg-BG"/>
        </w:rPr>
        <w:footnoteRef/>
      </w:r>
      <w:r w:rsidR="00DD06F3" w:rsidRPr="00DD06F3">
        <w:rPr>
          <w:sz w:val="24"/>
          <w:lang w:val="bg-BG"/>
        </w:rPr>
        <w:t xml:space="preserve"> </w:t>
      </w:r>
      <w:r w:rsidR="00DD06F3" w:rsidRPr="00DD06F3">
        <w:rPr>
          <w:sz w:val="24"/>
          <w:lang w:val="bg-BG"/>
        </w:rPr>
        <w:tab/>
      </w:r>
      <w:r w:rsidRPr="00DD06F3">
        <w:rPr>
          <w:sz w:val="24"/>
          <w:lang w:val="bg-BG"/>
        </w:rPr>
        <w:t>Резолюция на Европейския парламент от 15 януари 2020 г. относно Европейския зелен пакт (ОВ C 270, 7.7.2021 г., стр. 2), параграф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06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BG"/>
    <w:docVar w:name="dvnumam" w:val="0"/>
    <w:docVar w:name="dvpe" w:val="763.294"/>
    <w:docVar w:name="dvtitre" w:val="Резолюция на Европейския парламент от ...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D099729/02 – 2024/2841(RSP))"/>
  </w:docVars>
  <w:rsids>
    <w:rsidRoot w:val="00A945E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6DD"/>
    <w:rsid w:val="004117F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5E4"/>
    <w:rsid w:val="00AB441E"/>
    <w:rsid w:val="00AB6293"/>
    <w:rsid w:val="00AE0928"/>
    <w:rsid w:val="00AF3B82"/>
    <w:rsid w:val="00B12E95"/>
    <w:rsid w:val="00B22876"/>
    <w:rsid w:val="00B558F0"/>
    <w:rsid w:val="00BC541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6F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5893E"/>
  <w15:chartTrackingRefBased/>
  <w15:docId w15:val="{0BB61208-FB09-456B-87BA-4A254E87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5410"/>
    <w:pPr>
      <w:spacing w:before="480" w:after="240"/>
    </w:pPr>
  </w:style>
  <w:style w:type="paragraph" w:customStyle="1" w:styleId="NormalHanging12a">
    <w:name w:val="NormalHanging12a"/>
    <w:basedOn w:val="Normal"/>
    <w:rsid w:val="00BC5410"/>
    <w:pPr>
      <w:spacing w:after="240"/>
      <w:ind w:left="567" w:hanging="567"/>
    </w:pPr>
  </w:style>
  <w:style w:type="character" w:styleId="Hyperlink">
    <w:name w:val="Hyperlink"/>
    <w:basedOn w:val="DefaultParagraphFont"/>
    <w:uiPriority w:val="99"/>
    <w:rsid w:val="00BC5410"/>
    <w:rPr>
      <w:color w:val="0563C1" w:themeColor="hyperlink"/>
      <w:u w:val="single"/>
    </w:rPr>
  </w:style>
  <w:style w:type="paragraph" w:customStyle="1" w:styleId="sdfootnote-western">
    <w:name w:val="sdfootnote-western"/>
    <w:basedOn w:val="Normal"/>
    <w:rsid w:val="00BC5410"/>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4056DD"/>
    <w:rPr>
      <w:rFonts w:ascii="Segoe UI" w:hAnsi="Segoe UI" w:cs="Segoe UI"/>
      <w:sz w:val="18"/>
      <w:szCs w:val="18"/>
    </w:rPr>
  </w:style>
  <w:style w:type="character" w:customStyle="1" w:styleId="BalloonTextChar">
    <w:name w:val="Balloon Text Char"/>
    <w:basedOn w:val="DefaultParagraphFont"/>
    <w:link w:val="BalloonText"/>
    <w:rsid w:val="004056D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B13E-D169-4D47-A252-628B38F72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1623</Words>
  <Characters>9196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2024-11-26T11:31:00Z</dcterms:created>
  <dcterms:modified xsi:type="dcterms:W3CDTF">2024-11-26T11:31:00Z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B10-0153/2024</vt:lpwstr>
  </property>
  <property fmtid="{D5CDD505-2E9C-101B-9397-08002B2CF9AE}" pid="4" name="&lt;Type&gt;">
    <vt:lpwstr>RR</vt:lpwstr>
  </property>
</Properties>
</file>