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092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1092A" w:rsidRDefault="00415FA0" w:rsidP="0010095E">
            <w:pPr>
              <w:pStyle w:val="EPName"/>
            </w:pPr>
            <w:r w:rsidRPr="0031092A">
              <w:t>Evropský parlament</w:t>
            </w:r>
          </w:p>
          <w:p w:rsidR="00751A4A" w:rsidRPr="003109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092A">
              <w:t>2024</w:t>
            </w:r>
            <w:r w:rsidR="00817416" w:rsidRPr="0031092A">
              <w:t>-202</w:t>
            </w:r>
            <w:r w:rsidRPr="0031092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1092A" w:rsidRDefault="00187494" w:rsidP="0010095E">
            <w:pPr>
              <w:pStyle w:val="EPLogo"/>
            </w:pPr>
            <w:r w:rsidRPr="0031092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1092A" w:rsidRDefault="00D058B8" w:rsidP="004C5D52">
      <w:pPr>
        <w:pStyle w:val="LineTop"/>
      </w:pPr>
    </w:p>
    <w:p w:rsidR="00680577" w:rsidRPr="0031092A" w:rsidRDefault="00415FA0" w:rsidP="00680577">
      <w:pPr>
        <w:pStyle w:val="EPBodyTA1"/>
      </w:pPr>
      <w:r w:rsidRPr="0031092A">
        <w:t>PŘIJATÉ TEXTY</w:t>
      </w:r>
    </w:p>
    <w:p w:rsidR="00D058B8" w:rsidRPr="0031092A" w:rsidRDefault="00D058B8" w:rsidP="00D058B8">
      <w:pPr>
        <w:pStyle w:val="LineBottom"/>
      </w:pPr>
    </w:p>
    <w:p w:rsidR="00415FA0" w:rsidRPr="00C80E93" w:rsidRDefault="00415FA0" w:rsidP="00415FA0">
      <w:pPr>
        <w:pStyle w:val="ATHeading1"/>
      </w:pPr>
      <w:bookmarkStart w:id="0" w:name="TANumber"/>
      <w:r w:rsidRPr="00C80E93">
        <w:t>P10_TA(2024)00</w:t>
      </w:r>
      <w:r w:rsidR="00435E6F">
        <w:t>45</w:t>
      </w:r>
      <w:bookmarkEnd w:id="0"/>
    </w:p>
    <w:p w:rsidR="00415FA0" w:rsidRPr="00C80E93" w:rsidRDefault="00A70DAA" w:rsidP="00415FA0">
      <w:pPr>
        <w:pStyle w:val="ATHeading2"/>
      </w:pPr>
      <w:bookmarkStart w:id="1" w:name="title"/>
      <w:r>
        <w:t>G</w:t>
      </w:r>
      <w:r w:rsidR="00415FA0" w:rsidRPr="00C80E93">
        <w:t>eneticky modifikovaná kukuřice MON 94804</w:t>
      </w:r>
      <w:bookmarkEnd w:id="1"/>
    </w:p>
    <w:p w:rsidR="00415FA0" w:rsidRPr="0031092A" w:rsidRDefault="00415FA0" w:rsidP="00415FA0">
      <w:pPr>
        <w:rPr>
          <w:i/>
          <w:vanish/>
        </w:rPr>
      </w:pPr>
      <w:r w:rsidRPr="0031092A">
        <w:rPr>
          <w:i/>
        </w:rPr>
        <w:fldChar w:fldCharType="begin"/>
      </w:r>
      <w:r w:rsidRPr="0031092A">
        <w:rPr>
          <w:i/>
        </w:rPr>
        <w:instrText xml:space="preserve"> </w:instrText>
      </w:r>
      <w:r w:rsidRPr="000210AC">
        <w:rPr>
          <w:i/>
        </w:rPr>
        <w:instrText>TC"(</w:instrText>
      </w:r>
      <w:bookmarkStart w:id="2" w:name="DocNumber"/>
      <w:r w:rsidRPr="000210AC">
        <w:rPr>
          <w:i/>
        </w:rPr>
        <w:instrText>B10-0153/2024</w:instrText>
      </w:r>
      <w:bookmarkEnd w:id="2"/>
      <w:r w:rsidRPr="000210AC">
        <w:rPr>
          <w:i/>
        </w:rPr>
        <w:instrText xml:space="preserve">)"\l3 \n&gt; \* MERGEFORMAT </w:instrText>
      </w:r>
      <w:r w:rsidRPr="0031092A">
        <w:rPr>
          <w:i/>
        </w:rPr>
        <w:fldChar w:fldCharType="end"/>
      </w:r>
    </w:p>
    <w:p w:rsidR="00415FA0" w:rsidRPr="000210AC" w:rsidRDefault="00415FA0" w:rsidP="00415FA0">
      <w:pPr>
        <w:rPr>
          <w:vanish/>
        </w:rPr>
      </w:pPr>
      <w:bookmarkStart w:id="3" w:name="PE"/>
      <w:r w:rsidRPr="000210AC">
        <w:rPr>
          <w:vanish/>
        </w:rPr>
        <w:t>PE763.294</w:t>
      </w:r>
      <w:bookmarkEnd w:id="3"/>
    </w:p>
    <w:p w:rsidR="00415FA0" w:rsidRPr="00C80E93" w:rsidRDefault="00415FA0" w:rsidP="00415FA0">
      <w:pPr>
        <w:pStyle w:val="ATHeading3"/>
      </w:pPr>
      <w:bookmarkStart w:id="4" w:name="Sujet"/>
      <w:r w:rsidRPr="00C80E93">
        <w:t>Usnesení Evropského parlamentu ze dne 26. listopadu 2024 o návrhu prováděcího rozhodnutí Komise o povolení uvedení produktů, které obsahují geneticky modifikovanou kukuřici MON 94804, sestávají z ní nebo jsou z ní vyrobeny, na trh podle nařízení Evropského parlamentu a Rady (ES) č. 1829/2003</w:t>
      </w:r>
      <w:bookmarkEnd w:id="4"/>
      <w:r w:rsidRPr="00C80E93">
        <w:t xml:space="preserve"> </w:t>
      </w:r>
      <w:bookmarkStart w:id="5" w:name="References"/>
      <w:r w:rsidRPr="00C80E93">
        <w:t>(D099729/02 – 2024/2841(RSP))</w:t>
      </w:r>
      <w:bookmarkEnd w:id="5"/>
    </w:p>
    <w:p w:rsidR="009E280F" w:rsidRPr="000210AC" w:rsidRDefault="009E280F" w:rsidP="009E280F">
      <w:pPr>
        <w:pStyle w:val="EPComma"/>
      </w:pPr>
      <w:bookmarkStart w:id="6" w:name="TextBodyBegin"/>
      <w:bookmarkEnd w:id="6"/>
      <w:r w:rsidRPr="0031092A">
        <w:rPr>
          <w:i/>
        </w:rPr>
        <w:t>Evropský parlament</w:t>
      </w:r>
      <w:r w:rsidRPr="000210AC">
        <w:t>,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–</w:t>
      </w:r>
      <w:r w:rsidRPr="0031092A">
        <w:tab/>
        <w:t>s ohledem na návrh prováděcího rozhodnutí Komise o povolení uvedení produktů, které obsahují geneticky modifikovanou kukuřici MON 94804, sestávají z ní nebo jsou z ní vyrobeny, na trh podle nařízení Evropského parlamentu a Rady (ES) č. 1829/2003 (D099729/02),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–</w:t>
      </w:r>
      <w:r w:rsidRPr="0031092A">
        <w:tab/>
        <w:t>s ohledem na nařízení Evropského parlamentu a Rady (ES) č. 1829/2003 ze dne 22. září 2003 o geneticky modifikovaných potravinách a krmivech</w:t>
      </w:r>
      <w:r w:rsidRPr="0031092A">
        <w:rPr>
          <w:rStyle w:val="FootnoteReference"/>
          <w:szCs w:val="24"/>
        </w:rPr>
        <w:footnoteReference w:id="1"/>
      </w:r>
      <w:r w:rsidRPr="0031092A">
        <w:t>,</w:t>
      </w:r>
      <w:r w:rsidRPr="000210AC">
        <w:t xml:space="preserve"> a zejména na čl. 7 odst. 3 a čl. 19 odst. 3 uvedeného nařízení,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–</w:t>
      </w:r>
      <w:r w:rsidRPr="0031092A">
        <w:tab/>
        <w:t>s ohledem na hlasování Stálého výboru pro rostliny, zvířata, potraviny a krmiva podle článku 35 nařízení (ES) č. 1829/2003, které proběhlo dne 17. září 2024 a na němž nebylo přijato žádné stanovisko,</w:t>
      </w:r>
    </w:p>
    <w:p w:rsidR="009E280F" w:rsidRPr="000210AC" w:rsidRDefault="009E280F" w:rsidP="00BC6606">
      <w:pPr>
        <w:pStyle w:val="NormalHanging12a"/>
        <w:rPr>
          <w:szCs w:val="24"/>
        </w:rPr>
      </w:pPr>
      <w:r w:rsidRPr="0031092A">
        <w:t>–</w:t>
      </w:r>
      <w:r w:rsidRPr="0031092A">
        <w:tab/>
        <w:t>s ohledem na článek 11 nařízení Evropského parlamentu a Rady (EU) č. 182/2011 ze dne 16. února 2011, kterým se stanoví pravidla a obecné zásady způsobu, jakým členské státy kontrolují Komisi při výkonu prováděcích pravomocí</w:t>
      </w:r>
      <w:r w:rsidRPr="0031092A">
        <w:rPr>
          <w:rStyle w:val="FootnoteReference"/>
          <w:szCs w:val="24"/>
        </w:rPr>
        <w:footnoteReference w:id="2"/>
      </w:r>
      <w:r w:rsidRPr="0031092A">
        <w:t>,</w:t>
      </w:r>
    </w:p>
    <w:p w:rsidR="009E280F" w:rsidRPr="000210AC" w:rsidRDefault="009E280F" w:rsidP="00BC6606">
      <w:pPr>
        <w:pStyle w:val="NormalHanging12a"/>
        <w:rPr>
          <w:szCs w:val="24"/>
        </w:rPr>
      </w:pPr>
      <w:r w:rsidRPr="000210AC">
        <w:t>–</w:t>
      </w:r>
      <w:r w:rsidRPr="000210AC">
        <w:tab/>
        <w:t>s ohledem na stanovisko Evropského úřadu pro bezpečnost potravin (EFSA) ze dne 13. března 2024, které bylo zveřejněno dne 26. dubna 2024</w:t>
      </w:r>
      <w:r w:rsidRPr="0031092A">
        <w:rPr>
          <w:rStyle w:val="FootnoteReference"/>
          <w:szCs w:val="24"/>
        </w:rPr>
        <w:footnoteReference w:id="3"/>
      </w:r>
      <w:r w:rsidRPr="0031092A">
        <w:t>,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0210AC">
        <w:rPr>
          <w:rFonts w:ascii="Symbol" w:hAnsi="Symbol"/>
        </w:rPr>
        <w:t></w:t>
      </w:r>
      <w:r w:rsidRPr="000210AC">
        <w:rPr>
          <w:rFonts w:ascii="Symbol" w:hAnsi="Symbol"/>
        </w:rPr>
        <w:tab/>
      </w:r>
      <w:r w:rsidRPr="000210AC">
        <w:rPr>
          <w:shd w:val="clear" w:color="auto" w:fill="FFFFFF"/>
        </w:rPr>
        <w:t xml:space="preserve">s ohledem na svá předchozí usnesení, kterými vyslovil námitku vůči povolení geneticky </w:t>
      </w:r>
      <w:r w:rsidRPr="000210AC">
        <w:rPr>
          <w:shd w:val="clear" w:color="auto" w:fill="FFFFFF"/>
        </w:rPr>
        <w:lastRenderedPageBreak/>
        <w:t>modifikovaných organismů (dále jen „GMO“)</w:t>
      </w:r>
      <w:r w:rsidRPr="0031092A">
        <w:rPr>
          <w:szCs w:val="24"/>
          <w:shd w:val="clear" w:color="auto" w:fill="FFFFFF"/>
          <w:vertAlign w:val="superscript"/>
        </w:rPr>
        <w:footnoteReference w:id="4"/>
      </w:r>
      <w:r w:rsidRPr="0031092A">
        <w:rPr>
          <w:shd w:val="clear" w:color="auto" w:fill="FFFFFF"/>
        </w:rPr>
        <w:t>,</w:t>
      </w:r>
    </w:p>
    <w:p w:rsidR="009E280F" w:rsidRPr="000210AC" w:rsidRDefault="009E280F" w:rsidP="00BC6606">
      <w:pPr>
        <w:pStyle w:val="NormalHanging12a"/>
        <w:rPr>
          <w:szCs w:val="24"/>
        </w:rPr>
      </w:pPr>
      <w:r w:rsidRPr="000210AC">
        <w:t>–</w:t>
      </w:r>
      <w:r w:rsidRPr="000210AC">
        <w:tab/>
        <w:t>s ohledem na čl. 115 odst. 2 a 3 jednacího řádu,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–</w:t>
      </w:r>
      <w:r w:rsidRPr="0031092A">
        <w:tab/>
        <w:t>s ohledem na návrh usnesení Výboru pro životní prostředí, veřejné zdraví a bezpečnost potravin,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A.</w:t>
      </w:r>
      <w:r w:rsidRPr="0031092A">
        <w:tab/>
        <w:t xml:space="preserve">vzhledem k tomu, že dne 14. února 2023 podala společnost Bayer </w:t>
      </w:r>
      <w:proofErr w:type="spellStart"/>
      <w:r w:rsidRPr="0031092A">
        <w:t>Agriculture</w:t>
      </w:r>
      <w:proofErr w:type="spellEnd"/>
      <w:r w:rsidRPr="0031092A">
        <w:t xml:space="preserve"> BV se sídlem v Belgii jménem společnosti Bayer </w:t>
      </w:r>
      <w:proofErr w:type="spellStart"/>
      <w:r w:rsidRPr="0031092A">
        <w:t>CropScience</w:t>
      </w:r>
      <w:proofErr w:type="spellEnd"/>
      <w:r w:rsidRPr="0031092A">
        <w:t xml:space="preserve"> LP se sídlem ve Spojených státech amerických žádost příslušnému vnitrostátnímu orgánu Nizozemska o uvedení potravin, složek potravin a krmiv, které obsahují geneticky modifikovanou kukuřici MON 94804, sestávají z ní nebo jsou z ní vyrobeny, na trh v souladu s články 5 a 17 nařízení (ES) č. 1829/2003 (dále jen „žádost“).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B.</w:t>
      </w:r>
      <w:r w:rsidRPr="0031092A">
        <w:tab/>
        <w:t>vzhledem k tomu, že žádost se rovněž vztahovala na uvádění produktů, které obsahují geneticky modifikovanou kukuřici nebo z ní sestávají, na trh pro jiná použití než v potravinách a krmivech, s výjimkou pěstování;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C.</w:t>
      </w:r>
      <w:r w:rsidRPr="0031092A">
        <w:tab/>
        <w:t>vzhledem k tomu, že dne 13. března 2024 přijal úřad EFSA kladné stanovisko, které bylo zveřejněno dne 26. dubna 2024 a v němž dospěl k závěru, že geneticky modifikovaná kukuřice je stejně bezpečná jako odpovídající konvenční produkt a testované geneticky nemodifikované odrůdy kukuřice, pokud jde o možné účinky na lidské zdraví, zdraví zvířat a životní prostředí;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D.</w:t>
      </w:r>
      <w:r w:rsidRPr="0031092A">
        <w:tab/>
        <w:t xml:space="preserve">vzhledem, že tato geneticky modifikovaná odrůda kukuřice produkuje umělou </w:t>
      </w:r>
      <w:proofErr w:type="spellStart"/>
      <w:r w:rsidRPr="0031092A">
        <w:t>miRNA</w:t>
      </w:r>
      <w:proofErr w:type="spellEnd"/>
      <w:r w:rsidRPr="0031092A">
        <w:t>, která selektivně potlačuje expresi dvou genů ze širší genové rodiny podílející se na biosyntetické dráze kyseliny giberelinové, a tím omezuje růst rostliny do výšky;</w:t>
      </w:r>
    </w:p>
    <w:p w:rsidR="009E280F" w:rsidRPr="0031092A" w:rsidRDefault="009E280F" w:rsidP="00BC6606">
      <w:pPr>
        <w:pStyle w:val="NormalHanging12a"/>
        <w:rPr>
          <w:b/>
          <w:i/>
          <w:szCs w:val="24"/>
        </w:rPr>
      </w:pPr>
      <w:r w:rsidRPr="0031092A">
        <w:rPr>
          <w:b/>
          <w:i/>
        </w:rPr>
        <w:t xml:space="preserve">Nevyřešené otázky týkající se účinků umělé </w:t>
      </w:r>
      <w:proofErr w:type="spellStart"/>
      <w:r w:rsidRPr="0031092A">
        <w:rPr>
          <w:b/>
          <w:i/>
        </w:rPr>
        <w:t>miRNA</w:t>
      </w:r>
      <w:proofErr w:type="spellEnd"/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E.</w:t>
      </w:r>
      <w:r w:rsidRPr="0031092A">
        <w:tab/>
        <w:t xml:space="preserve">vzhledem k tomu, že umělá </w:t>
      </w:r>
      <w:proofErr w:type="spellStart"/>
      <w:r w:rsidRPr="0031092A">
        <w:t>miRNA</w:t>
      </w:r>
      <w:proofErr w:type="spellEnd"/>
      <w:r w:rsidRPr="0031092A">
        <w:t xml:space="preserve"> působí nejen na geny, jejichž expresi má potlačovat, nýbrž má i jiné regulační funkce; vzhledem k tomu, že </w:t>
      </w:r>
      <w:proofErr w:type="spellStart"/>
      <w:r w:rsidRPr="0031092A">
        <w:t>miRNA</w:t>
      </w:r>
      <w:proofErr w:type="spellEnd"/>
      <w:r w:rsidRPr="0031092A">
        <w:t xml:space="preserve"> prochází v rostlině dalšími procesy, čímž dochází k interakci se specifickými rostlinnými enzymy; vzhledem k tomu, že její účinky se v mnoha případech neomezují pouze na cílový gen, ale často zahrnují metabolické kaskády několika stovek jiných genových funkcí;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F.</w:t>
      </w:r>
      <w:r w:rsidRPr="0031092A">
        <w:tab/>
        <w:t xml:space="preserve">vzhledem k tomu, že žadatel předložil pouze nedostatečné a neúplné údaje o interakcích mezi umělou </w:t>
      </w:r>
      <w:proofErr w:type="spellStart"/>
      <w:r w:rsidRPr="0031092A">
        <w:t>miRNA</w:t>
      </w:r>
      <w:proofErr w:type="spellEnd"/>
      <w:r w:rsidRPr="0031092A">
        <w:t>, produktech dalších buněčných procesů, perzistenci těchto molekul v buňkách a jejich interferencích v dalších regulačních systémech;</w:t>
      </w:r>
    </w:p>
    <w:p w:rsidR="009E280F" w:rsidRPr="000210AC" w:rsidRDefault="009E280F" w:rsidP="00BC6606">
      <w:pPr>
        <w:pStyle w:val="NormalHanging12a"/>
        <w:rPr>
          <w:szCs w:val="24"/>
        </w:rPr>
      </w:pPr>
      <w:r w:rsidRPr="0031092A">
        <w:t>G.</w:t>
      </w:r>
      <w:r w:rsidRPr="0031092A">
        <w:tab/>
        <w:t xml:space="preserve">vzhledem k tomu, že svůj závěr, že </w:t>
      </w:r>
      <w:proofErr w:type="spellStart"/>
      <w:r w:rsidRPr="0031092A">
        <w:t>miRNA</w:t>
      </w:r>
      <w:proofErr w:type="spellEnd"/>
      <w:r w:rsidRPr="0031092A">
        <w:t xml:space="preserve"> nepředstavují riziko toxicity pro člověka a zvířata, vyvodil úřad EFSA na základě předpokladu, že umělá </w:t>
      </w:r>
      <w:proofErr w:type="spellStart"/>
      <w:r w:rsidRPr="0031092A">
        <w:t>miRNA</w:t>
      </w:r>
      <w:proofErr w:type="spellEnd"/>
      <w:r w:rsidRPr="0031092A">
        <w:t xml:space="preserve"> se bude rychle rozkládat; existuje však několik studií, z nichž jednu dokonce úřad EFSA cituje na </w:t>
      </w:r>
      <w:r w:rsidRPr="0031092A">
        <w:lastRenderedPageBreak/>
        <w:t>podporu svého tvrzení</w:t>
      </w:r>
      <w:r w:rsidRPr="0031092A">
        <w:rPr>
          <w:rStyle w:val="FootnoteReference"/>
          <w:szCs w:val="24"/>
        </w:rPr>
        <w:footnoteReference w:id="5"/>
      </w:r>
      <w:r w:rsidRPr="0031092A">
        <w:t xml:space="preserve">, podle kterých lze </w:t>
      </w:r>
      <w:proofErr w:type="spellStart"/>
      <w:r w:rsidRPr="0031092A">
        <w:t>miRNA</w:t>
      </w:r>
      <w:proofErr w:type="spellEnd"/>
      <w:r w:rsidRPr="0031092A">
        <w:t xml:space="preserve"> za přítomnosti určitých mechanismů nalézt v </w:t>
      </w:r>
      <w:r w:rsidRPr="000210AC">
        <w:t>zažívacích traktech lidí a zvířat;</w:t>
      </w:r>
    </w:p>
    <w:p w:rsidR="009E280F" w:rsidRPr="0031092A" w:rsidRDefault="009E280F" w:rsidP="00BC6606">
      <w:pPr>
        <w:pStyle w:val="NormalHanging12a"/>
        <w:rPr>
          <w:b/>
          <w:i/>
          <w:szCs w:val="24"/>
        </w:rPr>
      </w:pPr>
      <w:r w:rsidRPr="0031092A">
        <w:rPr>
          <w:b/>
          <w:i/>
        </w:rPr>
        <w:t>Nevyřešené otázky týkající se účinků snížené hladiny giberelinů</w:t>
      </w:r>
    </w:p>
    <w:p w:rsidR="009E280F" w:rsidRPr="000210AC" w:rsidRDefault="009E280F" w:rsidP="00BC6606">
      <w:pPr>
        <w:pStyle w:val="NormalHanging12a"/>
        <w:rPr>
          <w:szCs w:val="24"/>
        </w:rPr>
      </w:pPr>
      <w:r w:rsidRPr="0031092A">
        <w:t>H.</w:t>
      </w:r>
      <w:r w:rsidRPr="0031092A">
        <w:tab/>
        <w:t>vzhledem k tomu, že – jak zdůrazňují odborníci z členských států</w:t>
      </w:r>
      <w:r w:rsidRPr="0031092A">
        <w:rPr>
          <w:rStyle w:val="FootnoteReference"/>
          <w:szCs w:val="24"/>
        </w:rPr>
        <w:footnoteReference w:id="6"/>
      </w:r>
      <w:r w:rsidRPr="0031092A">
        <w:t xml:space="preserve"> – gibereliny jsou důležitými regulátory různých fyziologických procesů v </w:t>
      </w:r>
      <w:r w:rsidRPr="000210AC">
        <w:t xml:space="preserve">rostlinách; 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I.</w:t>
      </w:r>
      <w:r w:rsidRPr="0031092A">
        <w:tab/>
        <w:t xml:space="preserve">vzhledem k tomu, že gibereliny neregulují pouze výšku rostlin, ale také klíčení a kvetení, podílejí se na regulaci tolerance stresu a jsou součástí komplexního regulačního propojení s jinými rostlinnými hormony v různých signalizačních drahách, např. fyziologických procesů ovlivňujících složení rostlin; vzhledem k tomu, že gibereliny se podílejí také na imunitní reakci rostlin na patogeny; 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J.</w:t>
      </w:r>
      <w:r w:rsidRPr="0031092A">
        <w:tab/>
        <w:t>vzhledem k tomu, že žadatel většinu z vlivů na tyto různé procesy nezkoumal a věnoval se pouze potenciálním účinkům na klíčení, kvetení a hmotnost zrn;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K.</w:t>
      </w:r>
      <w:r w:rsidRPr="0031092A">
        <w:tab/>
        <w:t>vzhledem k tomu, že genová exprese a její dopad na produkci bioaktivních giberelinů a metabolismu byla zkoumána pouze v terénních podmínkách, které neobsahovaly zvláštní stresové faktory, přestože je známo, že kyselina giberelinová se podílí na mnoha biotických a abiotických reakcích na stres;</w:t>
      </w:r>
    </w:p>
    <w:p w:rsidR="009E280F" w:rsidRPr="0031092A" w:rsidRDefault="009E280F" w:rsidP="00BC6606">
      <w:pPr>
        <w:pStyle w:val="NormalHanging12a"/>
        <w:rPr>
          <w:b/>
          <w:i/>
          <w:szCs w:val="24"/>
        </w:rPr>
      </w:pPr>
      <w:r w:rsidRPr="0031092A">
        <w:rPr>
          <w:b/>
          <w:i/>
        </w:rPr>
        <w:t>Snížení závislosti na dovážených krmivech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L.</w:t>
      </w:r>
      <w:r w:rsidRPr="0031092A">
        <w:tab/>
        <w:t xml:space="preserve">vzhledem k tomu, že z krize </w:t>
      </w:r>
      <w:r w:rsidR="000210AC">
        <w:t xml:space="preserve">způsobená onemocněním </w:t>
      </w:r>
      <w:r w:rsidRPr="000210AC">
        <w:t xml:space="preserve">COVID-19 a stále probíhající války na Ukrajině jsme si mimo jiné odnesli ponaučení, že Unie musí ukončit závislost na některých kritických materiálech; vzhledem k tomu, že předsedkyně Komise Ursula von der </w:t>
      </w:r>
      <w:proofErr w:type="spellStart"/>
      <w:r w:rsidRPr="000210AC">
        <w:t>Leyenová</w:t>
      </w:r>
      <w:proofErr w:type="spellEnd"/>
      <w:r w:rsidRPr="000210AC">
        <w:t xml:space="preserve"> v pověřovacím dopise žádá kandidáta na komisaře Christopha </w:t>
      </w:r>
      <w:proofErr w:type="spellStart"/>
      <w:r w:rsidRPr="000210AC">
        <w:t>Hansena</w:t>
      </w:r>
      <w:proofErr w:type="spellEnd"/>
      <w:r w:rsidRPr="000210AC">
        <w:t>, aby prozkoumal způsoby, jak snížit dovoz kritických komodit</w:t>
      </w:r>
      <w:r w:rsidRPr="0031092A">
        <w:rPr>
          <w:rStyle w:val="FootnoteReference"/>
          <w:szCs w:val="24"/>
        </w:rPr>
        <w:footnoteReference w:id="7"/>
      </w:r>
      <w:r w:rsidRPr="0031092A">
        <w:t xml:space="preserve">; </w:t>
      </w:r>
    </w:p>
    <w:p w:rsidR="009E280F" w:rsidRPr="0031092A" w:rsidRDefault="009E280F" w:rsidP="00BC6606">
      <w:pPr>
        <w:pStyle w:val="NormalHanging12a"/>
        <w:rPr>
          <w:b/>
          <w:i/>
          <w:szCs w:val="24"/>
        </w:rPr>
      </w:pPr>
      <w:r w:rsidRPr="0031092A">
        <w:rPr>
          <w:b/>
          <w:i/>
        </w:rPr>
        <w:t>Připomínky příslušných orgánů členských států a zúčastněných stran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M.</w:t>
      </w:r>
      <w:r w:rsidRPr="0031092A">
        <w:tab/>
        <w:t>vzhledem k tomu, že členské státy předložily úřadu EFSA během tříměsíčního období konzultací</w:t>
      </w:r>
      <w:r w:rsidRPr="0031092A">
        <w:rPr>
          <w:rStyle w:val="FootnoteReference"/>
          <w:szCs w:val="24"/>
        </w:rPr>
        <w:footnoteReference w:id="8"/>
      </w:r>
      <w:r w:rsidRPr="0031092A">
        <w:t xml:space="preserve"> mnoho kritických připomínek, týkajících se mimo jiné toho, že gibereliny jsou důležitými regulátory různých fyziologických procesů v </w:t>
      </w:r>
      <w:r w:rsidRPr="000210AC">
        <w:t>rostlinách, zejména ve vztahu</w:t>
      </w:r>
      <w:r w:rsidRPr="0031092A">
        <w:t xml:space="preserve"> k biotickým a abiotickým stresorům, že data poskytnutá žadatelem jsou neúplná, pokud jde o posouzení potenciálního vlivu snížené hladiny giberelinů na tyto procesy, a že pokusy v terénních podmínkách nebyly dostatečně rozmanité; vzhledem k tomu, že </w:t>
      </w:r>
      <w:r w:rsidRPr="0031092A">
        <w:lastRenderedPageBreak/>
        <w:t xml:space="preserve">členské státy rovněž kritizovaly nedostatek údajů o rizicích, která jsou spojena s možnou dlouhodobou stabilitou umělých </w:t>
      </w:r>
      <w:proofErr w:type="spellStart"/>
      <w:r w:rsidRPr="0031092A">
        <w:t>miRNA</w:t>
      </w:r>
      <w:proofErr w:type="spellEnd"/>
      <w:r w:rsidRPr="0031092A">
        <w:t xml:space="preserve"> v rostlině a s tím, že nikoli nevýznamnou část modifikované DNA lze nalézt v zažívacích traktech zvířat a lidí a že poskytnuté údaje neprokazují, že genový transfer z rostlin na baktérie je nepravděpodobný; 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N.</w:t>
      </w:r>
      <w:r w:rsidRPr="0031092A">
        <w:tab/>
        <w:t>vzhledem k tomu, že nařízení (ES) č. 1829/2003 stanoví, že geneticky modifikované potraviny a krmiva nesmí mít nepříznivé účinky na zdraví lidí a zvířat či na životní prostředí, a požaduje, aby Komise při přípravě návrhu rozhodnutí vzala v úvahu všechny související právní předpisy Unie a jiné oprávněné faktory významné pro projednávanou záležitost;</w:t>
      </w:r>
    </w:p>
    <w:p w:rsidR="009E280F" w:rsidRPr="0031092A" w:rsidRDefault="009E280F" w:rsidP="00BC6606">
      <w:pPr>
        <w:pStyle w:val="NormalHanging12a"/>
        <w:rPr>
          <w:b/>
          <w:i/>
          <w:szCs w:val="24"/>
        </w:rPr>
      </w:pPr>
      <w:r w:rsidRPr="0031092A">
        <w:rPr>
          <w:b/>
          <w:i/>
        </w:rPr>
        <w:t>Nedemokratické rozhodování</w:t>
      </w:r>
    </w:p>
    <w:p w:rsidR="009E280F" w:rsidRPr="0031092A" w:rsidRDefault="009E280F" w:rsidP="00BC6606">
      <w:pPr>
        <w:pStyle w:val="NormalHanging12a"/>
        <w:rPr>
          <w:b/>
          <w:i/>
          <w:szCs w:val="24"/>
        </w:rPr>
      </w:pPr>
      <w:r w:rsidRPr="0031092A">
        <w:t>O.</w:t>
      </w:r>
      <w:r w:rsidRPr="0031092A">
        <w:tab/>
        <w:t>vzhledem k tomu, že v osmém volebním období přijal Parlament celkem 36 usnesení o námitkách týkajících se geneticky modifikovaných organismů: z toho 33 usnesení ve věci uvedení potravin a krmiv vyrobených z geneticky modifikovaných organismů na trh a 3 usnesení ve věci pěstování geneticky modifikovaných plodin v Unii; vzhledem k tomu, že v devátém volebním období přijal Parlament 38 usnesení, v nichž se vyslovil proti uvedení geneticky modifikovaných organismů na trh;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P.</w:t>
      </w:r>
      <w:r w:rsidRPr="0031092A">
        <w:tab/>
        <w:t>vzhledem k tomu, že Komise geneticky modifikované organismy nadále povoluje, ačkoli sama uznává, že v této oblasti existuje demokratický deficit, členské státy s udělením povolení nesouhlasí a Parlament proti tomu vyslovuje námitky;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Q.</w:t>
      </w:r>
      <w:r w:rsidRPr="0031092A">
        <w:tab/>
        <w:t>vzhledem k tomu, že pokud v odvolacím výboru nehlasuje pro udělení povolení kvalifikovaná většina členských států, má Komise podle platných předpisů možnost rozhodnout, že povolení neudělí, takže není nutné provádět žádné legislativní změny</w:t>
      </w:r>
      <w:r w:rsidRPr="0031092A">
        <w:rPr>
          <w:rStyle w:val="FootnoteReference"/>
          <w:szCs w:val="24"/>
        </w:rPr>
        <w:footnoteReference w:id="9"/>
      </w:r>
      <w:r w:rsidRPr="0031092A">
        <w:t>;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R.</w:t>
      </w:r>
      <w:r w:rsidRPr="0031092A">
        <w:tab/>
      </w:r>
      <w:r w:rsidRPr="0031092A">
        <w:rPr>
          <w:shd w:val="clear" w:color="auto" w:fill="FFFFFF"/>
        </w:rPr>
        <w:t xml:space="preserve">vzhledem k tomu, že hlasování Stálého výboru pro rostliny, zvířata, potraviny a krmiva dne 17. září 2024 podle článku 35 nařízení (ES) č. 1829/2003 nevedlo k vydání žádného stanoviska, což znamená, že povolení nepodpořila kvalifikovaná většina členských států; 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1.</w:t>
      </w:r>
      <w:r w:rsidRPr="0031092A">
        <w:tab/>
        <w:t>domnívá se, že návrh prováděcího rozhodnutí Komise překračuje prováděcí pravomoci stanovené v nařízení (ES) č. 1829/2003;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2.</w:t>
      </w:r>
      <w:r w:rsidRPr="0031092A">
        <w:tab/>
        <w:t>domnívá se, že návrh prováděcího rozhodnutí Komise není v souladu s právními předpisy Unie, neboť není slučitelný s cílem nařízení (ES) č. 1829/2003, který podle obecných zásad stanovených v nařízení Evropského parlamentu a Rady (ES) č. 178/2002</w:t>
      </w:r>
      <w:r w:rsidRPr="0031092A">
        <w:rPr>
          <w:rStyle w:val="FootnoteReference"/>
          <w:szCs w:val="24"/>
        </w:rPr>
        <w:footnoteReference w:id="10"/>
      </w:r>
      <w:r w:rsidRPr="0031092A">
        <w:t xml:space="preserve"> spočívá ve vytvoření základních předpokladů, které by umožnily zajistit vysokou úroveň ochrany lidského života a </w:t>
      </w:r>
      <w:r w:rsidRPr="000210AC">
        <w:t>zdraví, jakož i zdraví a dobrých životních podmínek zvířat,</w:t>
      </w:r>
      <w:r w:rsidRPr="0031092A">
        <w:t xml:space="preserve"> a ochrany zájmů v oblasti životního prostředí a zájmů spotřebitelů v souvislosti s geneticky modifikovanými potravinami a krmivy a současně zajistit </w:t>
      </w:r>
      <w:r w:rsidRPr="0031092A">
        <w:lastRenderedPageBreak/>
        <w:t>účinné fungování vnitřního trhu;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3.</w:t>
      </w:r>
      <w:r w:rsidRPr="0031092A">
        <w:tab/>
        <w:t>vyzývá Komisi, aby vzala návrh prováděcího rozhodnutí zpět a předložila výboru nový návrh;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4.</w:t>
      </w:r>
      <w:r w:rsidRPr="0031092A">
        <w:tab/>
        <w:t>považuje za pozitivní, že Komise v dopise poslancům ze dne 11. září 2020 konečně uznala, že při rozhodování o povolení geneticky modifikovaných organismů je třeba zohledňovat otázku udržitelnosti</w:t>
      </w:r>
      <w:r w:rsidRPr="0031092A">
        <w:rPr>
          <w:rStyle w:val="FootnoteReference"/>
          <w:szCs w:val="24"/>
        </w:rPr>
        <w:footnoteReference w:id="11"/>
      </w:r>
      <w:r w:rsidRPr="0031092A">
        <w:t>; vyjadřuje však hluboké zklamání nad tím, že Komise dovoz geneticky modifikovaných organismů do Unie nadále povoluje,</w:t>
      </w:r>
      <w:r w:rsidRPr="000210AC">
        <w:t xml:space="preserve"> a to navzdory námitkám Parlamentu</w:t>
      </w:r>
      <w:r w:rsidRPr="0031092A">
        <w:t xml:space="preserve"> a navzdory tomu, že většina členských států hlasuje proti;</w:t>
      </w:r>
    </w:p>
    <w:p w:rsidR="009E280F" w:rsidRPr="0031092A" w:rsidRDefault="009E280F" w:rsidP="00BC6606">
      <w:pPr>
        <w:pStyle w:val="NormalHanging12a"/>
        <w:rPr>
          <w:szCs w:val="24"/>
        </w:rPr>
      </w:pPr>
      <w:r w:rsidRPr="0031092A">
        <w:t>5.</w:t>
      </w:r>
      <w:r w:rsidRPr="0031092A">
        <w:tab/>
        <w:t>znovu naléhavě vyzývá Komisi, aby zohlednila závazky Unie podle mezinárodních dohod, jako je Pařížská dohoda o klimatu, Úmluva OSN o biologické rozmanitosti a cíle OSN v oblasti udržitelného rozvoje; opětovně žádá, aby byla k návrhům prováděcích aktů vždy připojena důvodová zpráva uvádějící, jakým způsobem v nich bude naplněna zásada „neškodit“</w:t>
      </w:r>
      <w:r w:rsidRPr="0031092A">
        <w:rPr>
          <w:rStyle w:val="FootnoteReference"/>
          <w:szCs w:val="24"/>
        </w:rPr>
        <w:footnoteReference w:id="12"/>
      </w:r>
      <w:r w:rsidRPr="0031092A">
        <w:t xml:space="preserve">; </w:t>
      </w:r>
    </w:p>
    <w:p w:rsidR="00E365E1" w:rsidRPr="0031092A" w:rsidRDefault="009E280F" w:rsidP="00BC6606">
      <w:pPr>
        <w:pStyle w:val="NormalHanging12a"/>
      </w:pPr>
      <w:r w:rsidRPr="000210AC">
        <w:t>6.</w:t>
      </w:r>
      <w:r w:rsidRPr="000210AC">
        <w:tab/>
        <w:t>pověřuje svou předsedkyni, aby předala toto usnesení Radě</w:t>
      </w:r>
      <w:r w:rsidR="000210AC">
        <w:t xml:space="preserve"> a</w:t>
      </w:r>
      <w:r w:rsidRPr="000210AC">
        <w:t xml:space="preserve"> Komisi, jakož i vládám</w:t>
      </w:r>
      <w:r w:rsidRPr="0031092A">
        <w:t xml:space="preserve"> a parlamentům členských států.</w:t>
      </w:r>
    </w:p>
    <w:sectPr w:rsidR="00E365E1" w:rsidRPr="0031092A" w:rsidSect="00413A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FA0" w:rsidRPr="00413A69" w:rsidRDefault="00415FA0">
      <w:r w:rsidRPr="00413A69">
        <w:separator/>
      </w:r>
    </w:p>
  </w:endnote>
  <w:endnote w:type="continuationSeparator" w:id="0">
    <w:p w:rsidR="00415FA0" w:rsidRPr="00413A69" w:rsidRDefault="00415FA0">
      <w:r w:rsidRPr="00413A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3A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3A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3A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FA0" w:rsidRPr="00413A69" w:rsidRDefault="00415FA0">
      <w:r w:rsidRPr="00413A69">
        <w:separator/>
      </w:r>
    </w:p>
  </w:footnote>
  <w:footnote w:type="continuationSeparator" w:id="0">
    <w:p w:rsidR="00415FA0" w:rsidRPr="00413A69" w:rsidRDefault="00415FA0">
      <w:r w:rsidRPr="00413A69">
        <w:continuationSeparator/>
      </w:r>
    </w:p>
  </w:footnote>
  <w:footnote w:id="1">
    <w:p w:rsidR="009E280F" w:rsidRPr="00413A69" w:rsidRDefault="009E280F" w:rsidP="00413A69">
      <w:pPr>
        <w:pStyle w:val="FootnoteText"/>
        <w:ind w:left="567" w:hanging="567"/>
        <w:rPr>
          <w:sz w:val="24"/>
          <w:lang w:val="cs-CZ"/>
        </w:rPr>
      </w:pPr>
      <w:r w:rsidRPr="00413A69">
        <w:rPr>
          <w:rStyle w:val="FootnoteReference"/>
          <w:sz w:val="24"/>
          <w:lang w:val="cs-CZ"/>
        </w:rPr>
        <w:footnoteRef/>
      </w:r>
      <w:r w:rsidR="00413A69" w:rsidRPr="00413A69">
        <w:rPr>
          <w:sz w:val="24"/>
          <w:lang w:val="cs-CZ"/>
        </w:rPr>
        <w:t xml:space="preserve"> </w:t>
      </w:r>
      <w:r w:rsidR="00413A69" w:rsidRPr="00413A69">
        <w:rPr>
          <w:sz w:val="24"/>
          <w:lang w:val="cs-CZ"/>
        </w:rPr>
        <w:tab/>
      </w:r>
      <w:proofErr w:type="spellStart"/>
      <w:r w:rsidRPr="00413A69">
        <w:rPr>
          <w:sz w:val="24"/>
          <w:lang w:val="cs-CZ"/>
        </w:rPr>
        <w:t>Úř</w:t>
      </w:r>
      <w:proofErr w:type="spellEnd"/>
      <w:r w:rsidRPr="00413A69">
        <w:rPr>
          <w:sz w:val="24"/>
          <w:lang w:val="cs-CZ"/>
        </w:rPr>
        <w:t xml:space="preserve">. </w:t>
      </w:r>
      <w:proofErr w:type="spellStart"/>
      <w:proofErr w:type="gramStart"/>
      <w:r w:rsidRPr="00413A69">
        <w:rPr>
          <w:sz w:val="24"/>
          <w:lang w:val="cs-CZ"/>
        </w:rPr>
        <w:t>věst</w:t>
      </w:r>
      <w:proofErr w:type="spellEnd"/>
      <w:proofErr w:type="gramEnd"/>
      <w:r w:rsidRPr="00413A69">
        <w:rPr>
          <w:sz w:val="24"/>
          <w:lang w:val="cs-CZ"/>
        </w:rPr>
        <w:t xml:space="preserve">. L 268, </w:t>
      </w:r>
      <w:proofErr w:type="gramStart"/>
      <w:r w:rsidRPr="00413A69">
        <w:rPr>
          <w:sz w:val="24"/>
          <w:lang w:val="cs-CZ"/>
        </w:rPr>
        <w:t>18.10.2003</w:t>
      </w:r>
      <w:proofErr w:type="gramEnd"/>
      <w:r w:rsidRPr="00413A69">
        <w:rPr>
          <w:sz w:val="24"/>
          <w:lang w:val="cs-CZ"/>
        </w:rPr>
        <w:t xml:space="preserve">, s. 1, ELI: </w:t>
      </w:r>
      <w:hyperlink r:id="rId1" w:tooltip="Přístup k tomuto dokumentu prostřednictvím webového identifikátoru ELI." w:history="1">
        <w:r w:rsidRPr="00413A69">
          <w:rPr>
            <w:rStyle w:val="Hyperlink"/>
            <w:sz w:val="24"/>
            <w:lang w:val="cs-CZ"/>
          </w:rPr>
          <w:t>http://data.europa.eu/eli/reg/2003/1829/oj</w:t>
        </w:r>
      </w:hyperlink>
      <w:r w:rsidRPr="00413A69">
        <w:rPr>
          <w:sz w:val="24"/>
          <w:lang w:val="cs-CZ"/>
        </w:rPr>
        <w:t xml:space="preserve">. </w:t>
      </w:r>
    </w:p>
  </w:footnote>
  <w:footnote w:id="2">
    <w:p w:rsidR="009E280F" w:rsidRPr="00413A69" w:rsidRDefault="009E280F" w:rsidP="00413A69">
      <w:pPr>
        <w:pStyle w:val="FootnoteText"/>
        <w:ind w:left="567" w:hanging="567"/>
        <w:rPr>
          <w:sz w:val="24"/>
          <w:lang w:val="cs-CZ"/>
        </w:rPr>
      </w:pPr>
      <w:r w:rsidRPr="00413A69">
        <w:rPr>
          <w:rStyle w:val="FootnoteReference"/>
          <w:sz w:val="24"/>
          <w:lang w:val="cs-CZ"/>
        </w:rPr>
        <w:footnoteRef/>
      </w:r>
      <w:r w:rsidR="00413A69" w:rsidRPr="00413A69">
        <w:rPr>
          <w:sz w:val="24"/>
          <w:lang w:val="cs-CZ"/>
        </w:rPr>
        <w:t xml:space="preserve"> </w:t>
      </w:r>
      <w:r w:rsidR="00413A69" w:rsidRPr="00413A69">
        <w:rPr>
          <w:sz w:val="24"/>
          <w:lang w:val="cs-CZ"/>
        </w:rPr>
        <w:tab/>
      </w:r>
      <w:proofErr w:type="spellStart"/>
      <w:r w:rsidRPr="00413A69">
        <w:rPr>
          <w:sz w:val="24"/>
          <w:lang w:val="cs-CZ"/>
        </w:rPr>
        <w:t>Úř</w:t>
      </w:r>
      <w:proofErr w:type="spellEnd"/>
      <w:r w:rsidRPr="00413A69">
        <w:rPr>
          <w:sz w:val="24"/>
          <w:lang w:val="cs-CZ"/>
        </w:rPr>
        <w:t xml:space="preserve">. </w:t>
      </w:r>
      <w:proofErr w:type="spellStart"/>
      <w:proofErr w:type="gramStart"/>
      <w:r w:rsidRPr="00413A69">
        <w:rPr>
          <w:sz w:val="24"/>
          <w:lang w:val="cs-CZ"/>
        </w:rPr>
        <w:t>věst</w:t>
      </w:r>
      <w:proofErr w:type="spellEnd"/>
      <w:proofErr w:type="gramEnd"/>
      <w:r w:rsidRPr="00413A69">
        <w:rPr>
          <w:sz w:val="24"/>
          <w:lang w:val="cs-CZ"/>
        </w:rPr>
        <w:t xml:space="preserve">. L 55, </w:t>
      </w:r>
      <w:proofErr w:type="gramStart"/>
      <w:r w:rsidRPr="00413A69">
        <w:rPr>
          <w:sz w:val="24"/>
          <w:lang w:val="cs-CZ"/>
        </w:rPr>
        <w:t>28.2.2011</w:t>
      </w:r>
      <w:proofErr w:type="gramEnd"/>
      <w:r w:rsidRPr="00413A69">
        <w:rPr>
          <w:sz w:val="24"/>
          <w:lang w:val="cs-CZ"/>
        </w:rPr>
        <w:t xml:space="preserve">, s. 13, ELI: </w:t>
      </w:r>
      <w:hyperlink r:id="rId2" w:tooltip="Přístup k tomuto dokumentu prostřednictvím webového identifikátoru ELI." w:history="1">
        <w:r w:rsidRPr="00413A69">
          <w:rPr>
            <w:rStyle w:val="Hyperlink"/>
            <w:sz w:val="24"/>
            <w:lang w:val="cs-CZ"/>
          </w:rPr>
          <w:t>http://data.europa.eu/eli/reg/2011/182/oj</w:t>
        </w:r>
      </w:hyperlink>
      <w:r w:rsidRPr="00413A69">
        <w:rPr>
          <w:sz w:val="24"/>
          <w:lang w:val="cs-CZ"/>
        </w:rPr>
        <w:t xml:space="preserve">. </w:t>
      </w:r>
    </w:p>
  </w:footnote>
  <w:footnote w:id="3">
    <w:p w:rsidR="009E280F" w:rsidRPr="00413A69" w:rsidRDefault="009E280F" w:rsidP="00413A69">
      <w:pPr>
        <w:pStyle w:val="FootnoteText"/>
        <w:ind w:left="567" w:hanging="567"/>
        <w:rPr>
          <w:sz w:val="24"/>
          <w:lang w:val="cs-CZ"/>
        </w:rPr>
      </w:pPr>
      <w:r w:rsidRPr="00413A69">
        <w:rPr>
          <w:rStyle w:val="FootnoteReference"/>
          <w:sz w:val="24"/>
          <w:lang w:val="cs-CZ"/>
        </w:rPr>
        <w:footnoteRef/>
      </w:r>
      <w:r w:rsidR="00413A69" w:rsidRPr="00413A69">
        <w:rPr>
          <w:sz w:val="24"/>
          <w:lang w:val="cs-CZ"/>
        </w:rPr>
        <w:t xml:space="preserve"> </w:t>
      </w:r>
      <w:r w:rsidR="00413A69" w:rsidRPr="00413A69">
        <w:rPr>
          <w:sz w:val="24"/>
          <w:lang w:val="cs-CZ"/>
        </w:rPr>
        <w:tab/>
      </w:r>
      <w:r w:rsidRPr="00413A69">
        <w:rPr>
          <w:sz w:val="24"/>
          <w:lang w:val="cs-CZ"/>
        </w:rPr>
        <w:t xml:space="preserve">Odborné stanovisko vědecké komise úřadu EFSA pro geneticky modifikované organismy vydané k posouzení geneticky modifikované kukuřice MON 94804 pro použití v potravinách a krmivech podle nařízení (ES) č. 1829/2003 (žádost GMFF-2022-10651), EFSA </w:t>
      </w:r>
      <w:proofErr w:type="spellStart"/>
      <w:r w:rsidRPr="00413A69">
        <w:rPr>
          <w:sz w:val="24"/>
          <w:lang w:val="cs-CZ"/>
        </w:rPr>
        <w:t>Journal</w:t>
      </w:r>
      <w:proofErr w:type="spellEnd"/>
      <w:r w:rsidRPr="00413A69">
        <w:rPr>
          <w:sz w:val="24"/>
          <w:lang w:val="cs-CZ"/>
        </w:rPr>
        <w:t xml:space="preserve"> 2024;22(4):8714, </w:t>
      </w:r>
      <w:hyperlink r:id="rId3" w:history="1">
        <w:r w:rsidRPr="00413A69">
          <w:rPr>
            <w:rStyle w:val="Hyperlink"/>
            <w:sz w:val="24"/>
            <w:lang w:val="cs-CZ"/>
          </w:rPr>
          <w:t>https://doi.org/10.2903/j.efsa.2024.8714</w:t>
        </w:r>
      </w:hyperlink>
      <w:r w:rsidRPr="00413A69">
        <w:rPr>
          <w:sz w:val="24"/>
          <w:lang w:val="cs-CZ"/>
        </w:rPr>
        <w:t>.</w:t>
      </w:r>
    </w:p>
  </w:footnote>
  <w:footnote w:id="4">
    <w:p w:rsidR="009E280F" w:rsidRPr="00413A69" w:rsidRDefault="009E280F" w:rsidP="00413A69">
      <w:pPr>
        <w:pStyle w:val="FootnoteText"/>
        <w:ind w:left="567" w:hanging="567"/>
        <w:rPr>
          <w:sz w:val="24"/>
          <w:lang w:val="cs-CZ"/>
        </w:rPr>
      </w:pPr>
      <w:r w:rsidRPr="00413A69">
        <w:rPr>
          <w:rStyle w:val="FootnoteReference"/>
          <w:sz w:val="24"/>
          <w:lang w:val="cs-CZ"/>
        </w:rPr>
        <w:footnoteRef/>
      </w:r>
      <w:r w:rsidR="00413A69" w:rsidRPr="00413A69">
        <w:rPr>
          <w:color w:val="000000" w:themeColor="text1"/>
          <w:sz w:val="24"/>
          <w:lang w:val="cs-CZ"/>
        </w:rPr>
        <w:t xml:space="preserve"> </w:t>
      </w:r>
      <w:r w:rsidR="00413A69" w:rsidRPr="00413A69">
        <w:rPr>
          <w:color w:val="000000" w:themeColor="text1"/>
          <w:sz w:val="24"/>
          <w:lang w:val="cs-CZ"/>
        </w:rPr>
        <w:tab/>
      </w:r>
      <w:r w:rsidRPr="00413A69">
        <w:rPr>
          <w:color w:val="000000" w:themeColor="text1"/>
          <w:sz w:val="24"/>
          <w:lang w:val="cs-CZ"/>
        </w:rPr>
        <w:t xml:space="preserve">Ve svém osmém volebním období přijal Parlament 36 usnesení a ve svém devátém volebním období přijal 38 usnesení o námitkách proti povolení GMO. </w:t>
      </w:r>
    </w:p>
  </w:footnote>
  <w:footnote w:id="5">
    <w:p w:rsidR="009E280F" w:rsidRPr="00413A69" w:rsidRDefault="009E280F" w:rsidP="00413A69">
      <w:pPr>
        <w:pStyle w:val="FootnoteText"/>
        <w:ind w:left="567" w:hanging="567"/>
        <w:rPr>
          <w:sz w:val="24"/>
          <w:lang w:val="cs-CZ"/>
        </w:rPr>
      </w:pPr>
      <w:r w:rsidRPr="00413A69">
        <w:rPr>
          <w:rStyle w:val="FootnoteReference"/>
          <w:sz w:val="24"/>
          <w:lang w:val="cs-CZ"/>
        </w:rPr>
        <w:footnoteRef/>
      </w:r>
      <w:r w:rsidR="00413A69" w:rsidRPr="00413A69">
        <w:rPr>
          <w:sz w:val="24"/>
          <w:lang w:val="cs-CZ"/>
        </w:rPr>
        <w:t xml:space="preserve"> </w:t>
      </w:r>
      <w:r w:rsidR="00413A69" w:rsidRPr="00413A69">
        <w:rPr>
          <w:sz w:val="24"/>
          <w:lang w:val="cs-CZ"/>
        </w:rPr>
        <w:tab/>
      </w:r>
      <w:r w:rsidRPr="00413A69">
        <w:rPr>
          <w:sz w:val="24"/>
          <w:lang w:val="cs-CZ"/>
        </w:rPr>
        <w:t xml:space="preserve">Dávalos, A., </w:t>
      </w:r>
      <w:proofErr w:type="spellStart"/>
      <w:r w:rsidRPr="00413A69">
        <w:rPr>
          <w:sz w:val="24"/>
          <w:lang w:val="cs-CZ"/>
        </w:rPr>
        <w:t>Henriques</w:t>
      </w:r>
      <w:proofErr w:type="spellEnd"/>
      <w:r w:rsidRPr="00413A69">
        <w:rPr>
          <w:sz w:val="24"/>
          <w:lang w:val="cs-CZ"/>
        </w:rPr>
        <w:t xml:space="preserve">, R., </w:t>
      </w:r>
      <w:proofErr w:type="spellStart"/>
      <w:r w:rsidRPr="00413A69">
        <w:rPr>
          <w:sz w:val="24"/>
          <w:lang w:val="cs-CZ"/>
        </w:rPr>
        <w:t>Latasa</w:t>
      </w:r>
      <w:proofErr w:type="spellEnd"/>
      <w:r w:rsidRPr="00413A69">
        <w:rPr>
          <w:sz w:val="24"/>
          <w:lang w:val="cs-CZ"/>
        </w:rPr>
        <w:t xml:space="preserve">, M. J., </w:t>
      </w:r>
      <w:proofErr w:type="spellStart"/>
      <w:r w:rsidRPr="00413A69">
        <w:rPr>
          <w:sz w:val="24"/>
          <w:lang w:val="cs-CZ"/>
        </w:rPr>
        <w:t>Laparra</w:t>
      </w:r>
      <w:proofErr w:type="spellEnd"/>
      <w:r w:rsidRPr="00413A69">
        <w:rPr>
          <w:sz w:val="24"/>
          <w:lang w:val="cs-CZ"/>
        </w:rPr>
        <w:t xml:space="preserve">, M., &amp; </w:t>
      </w:r>
      <w:proofErr w:type="spellStart"/>
      <w:r w:rsidRPr="00413A69">
        <w:rPr>
          <w:sz w:val="24"/>
          <w:lang w:val="cs-CZ"/>
        </w:rPr>
        <w:t>Coca</w:t>
      </w:r>
      <w:proofErr w:type="spellEnd"/>
      <w:r w:rsidRPr="00413A69">
        <w:rPr>
          <w:sz w:val="24"/>
          <w:lang w:val="cs-CZ"/>
        </w:rPr>
        <w:t xml:space="preserve">, M. (2019). </w:t>
      </w:r>
      <w:proofErr w:type="spellStart"/>
      <w:r w:rsidRPr="00413A69">
        <w:rPr>
          <w:sz w:val="24"/>
          <w:lang w:val="cs-CZ"/>
        </w:rPr>
        <w:t>Literature</w:t>
      </w:r>
      <w:proofErr w:type="spellEnd"/>
      <w:r w:rsidRPr="00413A69">
        <w:rPr>
          <w:sz w:val="24"/>
          <w:lang w:val="cs-CZ"/>
        </w:rPr>
        <w:t xml:space="preserve"> </w:t>
      </w:r>
      <w:proofErr w:type="spellStart"/>
      <w:r w:rsidRPr="00413A69">
        <w:rPr>
          <w:sz w:val="24"/>
          <w:lang w:val="cs-CZ"/>
        </w:rPr>
        <w:t>review</w:t>
      </w:r>
      <w:proofErr w:type="spellEnd"/>
      <w:r w:rsidRPr="00413A69">
        <w:rPr>
          <w:sz w:val="24"/>
          <w:lang w:val="cs-CZ"/>
        </w:rPr>
        <w:t xml:space="preserve"> </w:t>
      </w:r>
      <w:proofErr w:type="spellStart"/>
      <w:r w:rsidRPr="00413A69">
        <w:rPr>
          <w:sz w:val="24"/>
          <w:lang w:val="cs-CZ"/>
        </w:rPr>
        <w:t>of</w:t>
      </w:r>
      <w:proofErr w:type="spellEnd"/>
      <w:r w:rsidRPr="00413A69">
        <w:rPr>
          <w:sz w:val="24"/>
          <w:lang w:val="cs-CZ"/>
        </w:rPr>
        <w:t xml:space="preserve"> </w:t>
      </w:r>
      <w:proofErr w:type="spellStart"/>
      <w:r w:rsidRPr="00413A69">
        <w:rPr>
          <w:sz w:val="24"/>
          <w:lang w:val="cs-CZ"/>
        </w:rPr>
        <w:t>baseline</w:t>
      </w:r>
      <w:proofErr w:type="spellEnd"/>
      <w:r w:rsidRPr="00413A69">
        <w:rPr>
          <w:sz w:val="24"/>
          <w:lang w:val="cs-CZ"/>
        </w:rPr>
        <w:t xml:space="preserve"> </w:t>
      </w:r>
      <w:proofErr w:type="spellStart"/>
      <w:r w:rsidRPr="00413A69">
        <w:rPr>
          <w:sz w:val="24"/>
          <w:lang w:val="cs-CZ"/>
        </w:rPr>
        <w:t>information</w:t>
      </w:r>
      <w:proofErr w:type="spellEnd"/>
      <w:r w:rsidRPr="00413A69">
        <w:rPr>
          <w:sz w:val="24"/>
          <w:lang w:val="cs-CZ"/>
        </w:rPr>
        <w:t xml:space="preserve"> on non-</w:t>
      </w:r>
      <w:proofErr w:type="spellStart"/>
      <w:r w:rsidRPr="00413A69">
        <w:rPr>
          <w:sz w:val="24"/>
          <w:lang w:val="cs-CZ"/>
        </w:rPr>
        <w:t>coding</w:t>
      </w:r>
      <w:proofErr w:type="spellEnd"/>
      <w:r w:rsidRPr="00413A69">
        <w:rPr>
          <w:sz w:val="24"/>
          <w:lang w:val="cs-CZ"/>
        </w:rPr>
        <w:t xml:space="preserve"> RNA (</w:t>
      </w:r>
      <w:proofErr w:type="spellStart"/>
      <w:r w:rsidRPr="00413A69">
        <w:rPr>
          <w:sz w:val="24"/>
          <w:lang w:val="cs-CZ"/>
        </w:rPr>
        <w:t>ncRNA</w:t>
      </w:r>
      <w:proofErr w:type="spellEnd"/>
      <w:r w:rsidRPr="00413A69">
        <w:rPr>
          <w:sz w:val="24"/>
          <w:lang w:val="cs-CZ"/>
        </w:rPr>
        <w:t xml:space="preserve">) to support </w:t>
      </w:r>
      <w:proofErr w:type="spellStart"/>
      <w:r w:rsidRPr="00413A69">
        <w:rPr>
          <w:sz w:val="24"/>
          <w:lang w:val="cs-CZ"/>
        </w:rPr>
        <w:t>the</w:t>
      </w:r>
      <w:proofErr w:type="spellEnd"/>
      <w:r w:rsidRPr="00413A69">
        <w:rPr>
          <w:sz w:val="24"/>
          <w:lang w:val="cs-CZ"/>
        </w:rPr>
        <w:t xml:space="preserve"> risk </w:t>
      </w:r>
      <w:proofErr w:type="spellStart"/>
      <w:r w:rsidRPr="00413A69">
        <w:rPr>
          <w:sz w:val="24"/>
          <w:lang w:val="cs-CZ"/>
        </w:rPr>
        <w:t>assessment</w:t>
      </w:r>
      <w:proofErr w:type="spellEnd"/>
      <w:r w:rsidRPr="00413A69">
        <w:rPr>
          <w:sz w:val="24"/>
          <w:lang w:val="cs-CZ"/>
        </w:rPr>
        <w:t xml:space="preserve"> </w:t>
      </w:r>
      <w:proofErr w:type="spellStart"/>
      <w:r w:rsidRPr="00413A69">
        <w:rPr>
          <w:sz w:val="24"/>
          <w:lang w:val="cs-CZ"/>
        </w:rPr>
        <w:t>of</w:t>
      </w:r>
      <w:proofErr w:type="spellEnd"/>
      <w:r w:rsidRPr="00413A69">
        <w:rPr>
          <w:sz w:val="24"/>
          <w:lang w:val="cs-CZ"/>
        </w:rPr>
        <w:t xml:space="preserve"> </w:t>
      </w:r>
      <w:proofErr w:type="spellStart"/>
      <w:r w:rsidRPr="00413A69">
        <w:rPr>
          <w:sz w:val="24"/>
          <w:lang w:val="cs-CZ"/>
        </w:rPr>
        <w:t>ncRNA-based</w:t>
      </w:r>
      <w:proofErr w:type="spellEnd"/>
      <w:r w:rsidRPr="00413A69">
        <w:rPr>
          <w:sz w:val="24"/>
          <w:lang w:val="cs-CZ"/>
        </w:rPr>
        <w:t xml:space="preserve"> </w:t>
      </w:r>
      <w:proofErr w:type="spellStart"/>
      <w:r w:rsidRPr="00413A69">
        <w:rPr>
          <w:sz w:val="24"/>
          <w:lang w:val="cs-CZ"/>
        </w:rPr>
        <w:t>genetically</w:t>
      </w:r>
      <w:proofErr w:type="spellEnd"/>
      <w:r w:rsidRPr="00413A69">
        <w:rPr>
          <w:sz w:val="24"/>
          <w:lang w:val="cs-CZ"/>
        </w:rPr>
        <w:t xml:space="preserve"> </w:t>
      </w:r>
      <w:proofErr w:type="spellStart"/>
      <w:r w:rsidRPr="00413A69">
        <w:rPr>
          <w:sz w:val="24"/>
          <w:lang w:val="cs-CZ"/>
        </w:rPr>
        <w:t>modified</w:t>
      </w:r>
      <w:proofErr w:type="spellEnd"/>
      <w:r w:rsidRPr="00413A69">
        <w:rPr>
          <w:sz w:val="24"/>
          <w:lang w:val="cs-CZ"/>
        </w:rPr>
        <w:t xml:space="preserve"> </w:t>
      </w:r>
      <w:proofErr w:type="spellStart"/>
      <w:r w:rsidRPr="00413A69">
        <w:rPr>
          <w:sz w:val="24"/>
          <w:lang w:val="cs-CZ"/>
        </w:rPr>
        <w:t>plants</w:t>
      </w:r>
      <w:proofErr w:type="spellEnd"/>
      <w:r w:rsidRPr="00413A69">
        <w:rPr>
          <w:sz w:val="24"/>
          <w:lang w:val="cs-CZ"/>
        </w:rPr>
        <w:t xml:space="preserve"> </w:t>
      </w:r>
      <w:proofErr w:type="spellStart"/>
      <w:r w:rsidRPr="00413A69">
        <w:rPr>
          <w:sz w:val="24"/>
          <w:lang w:val="cs-CZ"/>
        </w:rPr>
        <w:t>for</w:t>
      </w:r>
      <w:proofErr w:type="spellEnd"/>
      <w:r w:rsidRPr="00413A69">
        <w:rPr>
          <w:sz w:val="24"/>
          <w:lang w:val="cs-CZ"/>
        </w:rPr>
        <w:t xml:space="preserve"> food and </w:t>
      </w:r>
      <w:proofErr w:type="spellStart"/>
      <w:r w:rsidRPr="00413A69">
        <w:rPr>
          <w:sz w:val="24"/>
          <w:lang w:val="cs-CZ"/>
        </w:rPr>
        <w:t>feed</w:t>
      </w:r>
      <w:proofErr w:type="spellEnd"/>
      <w:r w:rsidRPr="00413A69">
        <w:rPr>
          <w:sz w:val="24"/>
          <w:lang w:val="cs-CZ"/>
        </w:rPr>
        <w:t xml:space="preserve">. EFSA </w:t>
      </w:r>
      <w:proofErr w:type="spellStart"/>
      <w:r w:rsidRPr="00413A69">
        <w:rPr>
          <w:sz w:val="24"/>
          <w:lang w:val="cs-CZ"/>
        </w:rPr>
        <w:t>Supporting</w:t>
      </w:r>
      <w:proofErr w:type="spellEnd"/>
      <w:r w:rsidRPr="00413A69">
        <w:rPr>
          <w:sz w:val="24"/>
          <w:lang w:val="cs-CZ"/>
        </w:rPr>
        <w:t xml:space="preserve"> </w:t>
      </w:r>
      <w:proofErr w:type="spellStart"/>
      <w:r w:rsidRPr="00413A69">
        <w:rPr>
          <w:sz w:val="24"/>
          <w:lang w:val="cs-CZ"/>
        </w:rPr>
        <w:t>Publications</w:t>
      </w:r>
      <w:proofErr w:type="spellEnd"/>
      <w:r w:rsidRPr="00413A69">
        <w:rPr>
          <w:sz w:val="24"/>
          <w:lang w:val="cs-CZ"/>
        </w:rPr>
        <w:t xml:space="preserve">, 16(8), EN-1688. </w:t>
      </w:r>
      <w:hyperlink r:id="rId4" w:history="1">
        <w:r w:rsidRPr="00413A69">
          <w:rPr>
            <w:rStyle w:val="Hyperlink"/>
            <w:sz w:val="24"/>
            <w:lang w:val="cs-CZ"/>
          </w:rPr>
          <w:t>https://doi.org/10.2903/sp.efsa.2019.EN-1688</w:t>
        </w:r>
      </w:hyperlink>
      <w:r w:rsidR="00FE560C" w:rsidRPr="00413A69">
        <w:rPr>
          <w:sz w:val="24"/>
          <w:lang w:val="cs-CZ"/>
        </w:rPr>
        <w:t>.</w:t>
      </w:r>
    </w:p>
  </w:footnote>
  <w:footnote w:id="6">
    <w:p w:rsidR="009E280F" w:rsidRPr="00413A69" w:rsidRDefault="009E280F" w:rsidP="00413A69">
      <w:pPr>
        <w:pStyle w:val="FootnoteText"/>
        <w:ind w:left="567" w:hanging="567"/>
        <w:rPr>
          <w:sz w:val="24"/>
          <w:szCs w:val="24"/>
          <w:lang w:val="cs-CZ"/>
        </w:rPr>
      </w:pPr>
      <w:r w:rsidRPr="00413A69">
        <w:rPr>
          <w:rStyle w:val="FootnoteReference"/>
          <w:sz w:val="24"/>
          <w:lang w:val="cs-CZ"/>
        </w:rPr>
        <w:footnoteRef/>
      </w:r>
      <w:r w:rsidR="00413A69" w:rsidRPr="00413A69">
        <w:rPr>
          <w:sz w:val="24"/>
          <w:lang w:val="cs-CZ"/>
        </w:rPr>
        <w:t xml:space="preserve"> </w:t>
      </w:r>
      <w:r w:rsidR="00413A69" w:rsidRPr="00413A69">
        <w:rPr>
          <w:sz w:val="24"/>
          <w:lang w:val="cs-CZ"/>
        </w:rPr>
        <w:tab/>
      </w:r>
      <w:r w:rsidRPr="00413A69">
        <w:rPr>
          <w:sz w:val="24"/>
          <w:lang w:val="cs-CZ"/>
        </w:rPr>
        <w:t xml:space="preserve">Příloha 8 odborného stanoviska vědecké komise úřadu EFSA pro geneticky modifikované organismy vydané k posouzení geneticky modifikované kukuřice MON 94804 pro použití v potravinách a krmivech podle nařízení (ES) č. 1829/2003 (žádost GMFF-2022-10651), EFSA </w:t>
      </w:r>
      <w:proofErr w:type="spellStart"/>
      <w:r w:rsidRPr="00413A69">
        <w:rPr>
          <w:sz w:val="24"/>
          <w:lang w:val="cs-CZ"/>
        </w:rPr>
        <w:t>Journal</w:t>
      </w:r>
      <w:proofErr w:type="spellEnd"/>
      <w:r w:rsidRPr="00413A69">
        <w:rPr>
          <w:sz w:val="24"/>
          <w:lang w:val="cs-CZ"/>
        </w:rPr>
        <w:t xml:space="preserve"> 2024;22(4):8714, </w:t>
      </w:r>
      <w:hyperlink r:id="rId5" w:history="1">
        <w:r w:rsidRPr="00413A69">
          <w:rPr>
            <w:rStyle w:val="Hyperlink"/>
            <w:sz w:val="24"/>
            <w:lang w:val="cs-CZ"/>
          </w:rPr>
          <w:t>https://doi.org/10.2903/j.efsa.2024.8714</w:t>
        </w:r>
      </w:hyperlink>
      <w:r w:rsidRPr="00413A69">
        <w:rPr>
          <w:sz w:val="24"/>
          <w:lang w:val="cs-CZ"/>
        </w:rPr>
        <w:t>.</w:t>
      </w:r>
    </w:p>
  </w:footnote>
  <w:footnote w:id="7">
    <w:p w:rsidR="009E280F" w:rsidRPr="00413A69" w:rsidRDefault="009E280F" w:rsidP="00413A69">
      <w:pPr>
        <w:pStyle w:val="FootnoteText"/>
        <w:ind w:left="567" w:hanging="567"/>
        <w:rPr>
          <w:sz w:val="24"/>
          <w:lang w:val="cs-CZ"/>
        </w:rPr>
      </w:pPr>
      <w:r w:rsidRPr="00413A69">
        <w:rPr>
          <w:rStyle w:val="FootnoteReference"/>
          <w:sz w:val="24"/>
          <w:lang w:val="cs-CZ"/>
        </w:rPr>
        <w:footnoteRef/>
      </w:r>
      <w:r w:rsidR="00413A69" w:rsidRPr="00413A69">
        <w:rPr>
          <w:sz w:val="24"/>
          <w:lang w:val="cs-CZ"/>
        </w:rPr>
        <w:t xml:space="preserve"> </w:t>
      </w:r>
      <w:r w:rsidR="00413A69" w:rsidRPr="00413A69">
        <w:rPr>
          <w:sz w:val="24"/>
          <w:lang w:val="cs-CZ"/>
        </w:rPr>
        <w:tab/>
      </w:r>
      <w:hyperlink r:id="rId6" w:history="1">
        <w:r w:rsidRPr="00413A69">
          <w:rPr>
            <w:rStyle w:val="Hyperlink"/>
            <w:sz w:val="24"/>
            <w:lang w:val="cs-CZ"/>
          </w:rPr>
          <w:t>https://commission.europa.eu/document/2c64e540-c07a-4376-a1da-368d289f4afe_en</w:t>
        </w:r>
      </w:hyperlink>
    </w:p>
  </w:footnote>
  <w:footnote w:id="8">
    <w:p w:rsidR="009E280F" w:rsidRPr="00413A69" w:rsidRDefault="009E280F" w:rsidP="00413A69">
      <w:pPr>
        <w:pStyle w:val="FootnoteText"/>
        <w:ind w:left="567" w:hanging="567"/>
        <w:rPr>
          <w:sz w:val="24"/>
          <w:lang w:val="cs-CZ"/>
        </w:rPr>
      </w:pPr>
      <w:r w:rsidRPr="00413A69">
        <w:rPr>
          <w:rStyle w:val="FootnoteReference"/>
          <w:sz w:val="24"/>
          <w:lang w:val="cs-CZ"/>
        </w:rPr>
        <w:footnoteRef/>
      </w:r>
      <w:r w:rsidR="00413A69" w:rsidRPr="00413A69">
        <w:rPr>
          <w:sz w:val="24"/>
          <w:lang w:val="cs-CZ"/>
        </w:rPr>
        <w:t xml:space="preserve"> </w:t>
      </w:r>
      <w:r w:rsidR="000210AC">
        <w:rPr>
          <w:sz w:val="24"/>
          <w:lang w:val="cs-CZ"/>
        </w:rPr>
        <w:tab/>
      </w:r>
      <w:hyperlink r:id="rId7" w:history="1">
        <w:r w:rsidR="000210AC" w:rsidRPr="000210AC">
          <w:rPr>
            <w:rStyle w:val="Hyperlink"/>
            <w:sz w:val="24"/>
            <w:lang w:val="cs-CZ"/>
          </w:rPr>
          <w:t>https://efsa.onlinelibrary.wiley.com/action/downloadSupplement?doi=10.2903%2Fj.</w:t>
        </w:r>
        <w:r w:rsidR="000210AC" w:rsidRPr="000210AC">
          <w:rPr>
            <w:rStyle w:val="Hyperlink"/>
            <w:sz w:val="24"/>
            <w:lang w:val="cs-CZ"/>
          </w:rPr>
          <w:br/>
        </w:r>
        <w:r w:rsidR="000210AC" w:rsidRPr="00866D88">
          <w:rPr>
            <w:rStyle w:val="Hyperlink"/>
            <w:sz w:val="24"/>
            <w:lang w:val="cs-CZ"/>
          </w:rPr>
          <w:t>efsa.2024.8714&amp;file=efs28714-sup-0008-Annex8.pdf</w:t>
        </w:r>
      </w:hyperlink>
      <w:r w:rsidRPr="00413A69">
        <w:rPr>
          <w:rStyle w:val="Hyperlink"/>
          <w:sz w:val="24"/>
          <w:lang w:val="cs-CZ"/>
        </w:rPr>
        <w:t>.</w:t>
      </w:r>
    </w:p>
  </w:footnote>
  <w:footnote w:id="9">
    <w:p w:rsidR="009E280F" w:rsidRPr="00413A69" w:rsidRDefault="009E280F" w:rsidP="00413A69">
      <w:pPr>
        <w:pStyle w:val="sdfootnote-western"/>
        <w:spacing w:before="0" w:beforeAutospacing="0"/>
        <w:ind w:left="567" w:hanging="567"/>
        <w:rPr>
          <w:rFonts w:ascii="Times New Roman" w:hAnsi="Times New Roman"/>
          <w:color w:val="auto"/>
          <w:sz w:val="24"/>
        </w:rPr>
      </w:pPr>
      <w:r w:rsidRPr="00413A69">
        <w:rPr>
          <w:rStyle w:val="FootnoteReference"/>
          <w:rFonts w:ascii="Times New Roman" w:hAnsi="Times New Roman"/>
          <w:sz w:val="24"/>
        </w:rPr>
        <w:footnoteRef/>
      </w:r>
      <w:r w:rsidR="00413A69" w:rsidRPr="00413A69">
        <w:rPr>
          <w:rFonts w:ascii="Times New Roman" w:hAnsi="Times New Roman"/>
          <w:sz w:val="24"/>
        </w:rPr>
        <w:t xml:space="preserve"> </w:t>
      </w:r>
      <w:r w:rsidR="00413A69" w:rsidRPr="00413A69">
        <w:rPr>
          <w:rFonts w:ascii="Times New Roman" w:hAnsi="Times New Roman"/>
          <w:sz w:val="24"/>
        </w:rPr>
        <w:tab/>
      </w:r>
      <w:r w:rsidRPr="00413A69">
        <w:rPr>
          <w:rFonts w:ascii="Times New Roman" w:hAnsi="Times New Roman"/>
          <w:sz w:val="24"/>
        </w:rPr>
        <w:t>Podle čl. 6 odst. 3 nařízení (EU) č. 182/2011 Komise „může“, nikoli „musí“ přistoupit k vydání povolení, pokud se v odvolacím výboru kladně nevysloví kvalifikovaná většina členských států.</w:t>
      </w:r>
      <w:r w:rsidRPr="00413A69">
        <w:rPr>
          <w:rFonts w:ascii="Times New Roman" w:hAnsi="Times New Roman"/>
          <w:color w:val="auto"/>
          <w:sz w:val="24"/>
        </w:rPr>
        <w:t xml:space="preserve"> </w:t>
      </w:r>
    </w:p>
  </w:footnote>
  <w:footnote w:id="10">
    <w:p w:rsidR="009E280F" w:rsidRPr="00413A69" w:rsidRDefault="009E280F" w:rsidP="00413A69">
      <w:pPr>
        <w:pStyle w:val="FootnoteText"/>
        <w:ind w:left="567" w:hanging="567"/>
        <w:rPr>
          <w:sz w:val="24"/>
          <w:lang w:val="cs-CZ"/>
        </w:rPr>
      </w:pPr>
      <w:r w:rsidRPr="00413A69">
        <w:rPr>
          <w:rStyle w:val="FootnoteReference"/>
          <w:sz w:val="24"/>
          <w:lang w:val="cs-CZ"/>
        </w:rPr>
        <w:footnoteRef/>
      </w:r>
      <w:r w:rsidR="00413A69" w:rsidRPr="00413A69">
        <w:rPr>
          <w:sz w:val="24"/>
          <w:lang w:val="cs-CZ"/>
        </w:rPr>
        <w:t xml:space="preserve"> </w:t>
      </w:r>
      <w:r w:rsidR="00413A69" w:rsidRPr="00413A69">
        <w:rPr>
          <w:sz w:val="24"/>
          <w:lang w:val="cs-CZ"/>
        </w:rPr>
        <w:tab/>
      </w:r>
      <w:r w:rsidRPr="00413A69">
        <w:rPr>
          <w:sz w:val="24"/>
          <w:lang w:val="cs-CZ"/>
        </w:rPr>
        <w:t>Nařízení Evropského parlamentu a Rady (ES) č. 178/2002 ze dne 28. ledna 2002, kterým se stanoví obecné zásady a požadavky potravinového práva, zřizuje se Evropský úřad pro bezpečnost potravin a stanoví postupy týkající se bezpečnosti potravin (</w:t>
      </w:r>
      <w:proofErr w:type="spellStart"/>
      <w:r w:rsidRPr="00413A69">
        <w:rPr>
          <w:sz w:val="24"/>
          <w:lang w:val="cs-CZ"/>
        </w:rPr>
        <w:t>Úř</w:t>
      </w:r>
      <w:proofErr w:type="spellEnd"/>
      <w:r w:rsidRPr="00413A69">
        <w:rPr>
          <w:sz w:val="24"/>
          <w:lang w:val="cs-CZ"/>
        </w:rPr>
        <w:t>. </w:t>
      </w:r>
      <w:proofErr w:type="spellStart"/>
      <w:proofErr w:type="gramStart"/>
      <w:r w:rsidRPr="00413A69">
        <w:rPr>
          <w:sz w:val="24"/>
          <w:lang w:val="cs-CZ"/>
        </w:rPr>
        <w:t>věst</w:t>
      </w:r>
      <w:proofErr w:type="spellEnd"/>
      <w:proofErr w:type="gramEnd"/>
      <w:r w:rsidRPr="00413A69">
        <w:rPr>
          <w:sz w:val="24"/>
          <w:lang w:val="cs-CZ"/>
        </w:rPr>
        <w:t xml:space="preserve">. L 31, </w:t>
      </w:r>
      <w:proofErr w:type="gramStart"/>
      <w:r w:rsidRPr="00413A69">
        <w:rPr>
          <w:sz w:val="24"/>
          <w:lang w:val="cs-CZ"/>
        </w:rPr>
        <w:t>1.2.2002</w:t>
      </w:r>
      <w:proofErr w:type="gramEnd"/>
      <w:r w:rsidRPr="00413A69">
        <w:rPr>
          <w:sz w:val="24"/>
          <w:lang w:val="cs-CZ"/>
        </w:rPr>
        <w:t xml:space="preserve">, s. 1, ELI: </w:t>
      </w:r>
      <w:hyperlink r:id="rId8" w:tooltip="Přístup k tomuto dokumentu prostřednictvím webového identifikátoru ELI." w:history="1">
        <w:r w:rsidRPr="00413A69">
          <w:rPr>
            <w:rStyle w:val="Hyperlink"/>
            <w:sz w:val="24"/>
            <w:lang w:val="cs-CZ"/>
          </w:rPr>
          <w:t>http://data.europa.eu/eli/reg/2002/178/oj</w:t>
        </w:r>
      </w:hyperlink>
      <w:r w:rsidRPr="00413A69">
        <w:rPr>
          <w:sz w:val="24"/>
          <w:lang w:val="cs-CZ"/>
        </w:rPr>
        <w:t>).</w:t>
      </w:r>
    </w:p>
  </w:footnote>
  <w:footnote w:id="11">
    <w:p w:rsidR="009E280F" w:rsidRPr="00413A69" w:rsidRDefault="009E280F" w:rsidP="00413A69">
      <w:pPr>
        <w:pStyle w:val="FootnoteText"/>
        <w:ind w:left="567" w:hanging="567"/>
        <w:rPr>
          <w:sz w:val="24"/>
          <w:lang w:val="cs-CZ"/>
        </w:rPr>
      </w:pPr>
      <w:r w:rsidRPr="00413A69">
        <w:rPr>
          <w:rStyle w:val="FootnoteReference"/>
          <w:sz w:val="24"/>
          <w:lang w:val="cs-CZ"/>
        </w:rPr>
        <w:footnoteRef/>
      </w:r>
      <w:r w:rsidR="00413A69" w:rsidRPr="00413A69">
        <w:rPr>
          <w:sz w:val="24"/>
          <w:lang w:val="cs-CZ"/>
        </w:rPr>
        <w:t xml:space="preserve"> </w:t>
      </w:r>
      <w:r w:rsidR="00413A69" w:rsidRPr="00413A69">
        <w:rPr>
          <w:sz w:val="24"/>
          <w:lang w:val="cs-CZ"/>
        </w:rPr>
        <w:tab/>
      </w:r>
      <w:r w:rsidR="00B54EFB">
        <w:fldChar w:fldCharType="begin"/>
      </w:r>
      <w:r w:rsidR="00B54EFB" w:rsidRPr="00FE560C">
        <w:rPr>
          <w:lang w:val="cs-CZ"/>
        </w:rPr>
        <w:instrText xml:space="preserve"> HYPERLI</w:instrText>
      </w:r>
      <w:r w:rsidR="00B54EFB" w:rsidRPr="00FE560C">
        <w:rPr>
          <w:lang w:val="cs-CZ"/>
        </w:rPr>
        <w:instrText xml:space="preserve">NK "https://tillymetz.lu/wp-content/uploads/2020/09/Co-signed-letter-MEP-Metz.pdf" </w:instrText>
      </w:r>
      <w:r w:rsidR="00B54EFB">
        <w:fldChar w:fldCharType="separate"/>
      </w:r>
      <w:r w:rsidRPr="00413A69">
        <w:rPr>
          <w:rStyle w:val="Hyperlink"/>
          <w:sz w:val="24"/>
          <w:lang w:val="cs-CZ"/>
        </w:rPr>
        <w:t>https://tillymetz.lu/wp-content/uploads/2020/09/Co-signed-letter-MEP-Metz.pdf</w:t>
      </w:r>
      <w:r w:rsidR="00B54EFB">
        <w:rPr>
          <w:rStyle w:val="Hyperlink"/>
          <w:sz w:val="24"/>
          <w:lang w:val="cs-CZ"/>
        </w:rPr>
        <w:fldChar w:fldCharType="end"/>
      </w:r>
      <w:r w:rsidR="00B54EFB" w:rsidRPr="00413A69">
        <w:rPr>
          <w:sz w:val="24"/>
          <w:lang w:val="cs-CZ"/>
        </w:rPr>
        <w:t>.</w:t>
      </w:r>
      <w:bookmarkStart w:id="7" w:name="_GoBack"/>
      <w:bookmarkEnd w:id="7"/>
    </w:p>
  </w:footnote>
  <w:footnote w:id="12">
    <w:p w:rsidR="009E280F" w:rsidRPr="00413A69" w:rsidRDefault="009E280F" w:rsidP="00413A69">
      <w:pPr>
        <w:pStyle w:val="FootnoteText"/>
        <w:ind w:left="567" w:hanging="567"/>
        <w:rPr>
          <w:sz w:val="24"/>
          <w:lang w:val="cs-CZ"/>
        </w:rPr>
      </w:pPr>
      <w:r w:rsidRPr="00413A69">
        <w:rPr>
          <w:rStyle w:val="FootnoteReference"/>
          <w:sz w:val="24"/>
          <w:lang w:val="cs-CZ"/>
        </w:rPr>
        <w:footnoteRef/>
      </w:r>
      <w:r w:rsidR="00413A69" w:rsidRPr="00413A69">
        <w:rPr>
          <w:sz w:val="24"/>
          <w:lang w:val="cs-CZ"/>
        </w:rPr>
        <w:t xml:space="preserve"> </w:t>
      </w:r>
      <w:r w:rsidR="00413A69" w:rsidRPr="00413A69">
        <w:rPr>
          <w:sz w:val="24"/>
          <w:lang w:val="cs-CZ"/>
        </w:rPr>
        <w:tab/>
      </w:r>
      <w:r w:rsidRPr="00413A69">
        <w:rPr>
          <w:sz w:val="24"/>
          <w:lang w:val="cs-CZ"/>
        </w:rPr>
        <w:t>Usnesení Evropského parlamentu ze dne 15. ledna 2020 o Zelené dohodě pro Evropu (</w:t>
      </w:r>
      <w:proofErr w:type="spellStart"/>
      <w:r w:rsidRPr="00413A69">
        <w:rPr>
          <w:sz w:val="24"/>
          <w:lang w:val="cs-CZ"/>
        </w:rPr>
        <w:t>Úř</w:t>
      </w:r>
      <w:proofErr w:type="spellEnd"/>
      <w:r w:rsidRPr="00413A69">
        <w:rPr>
          <w:sz w:val="24"/>
          <w:lang w:val="cs-CZ"/>
        </w:rPr>
        <w:t xml:space="preserve">. </w:t>
      </w:r>
      <w:proofErr w:type="spellStart"/>
      <w:proofErr w:type="gramStart"/>
      <w:r w:rsidRPr="00413A69">
        <w:rPr>
          <w:sz w:val="24"/>
          <w:lang w:val="cs-CZ"/>
        </w:rPr>
        <w:t>věst</w:t>
      </w:r>
      <w:proofErr w:type="spellEnd"/>
      <w:proofErr w:type="gramEnd"/>
      <w:r w:rsidRPr="00413A69">
        <w:rPr>
          <w:sz w:val="24"/>
          <w:lang w:val="cs-CZ"/>
        </w:rPr>
        <w:t xml:space="preserve">. C 270, </w:t>
      </w:r>
      <w:proofErr w:type="gramStart"/>
      <w:r w:rsidRPr="00413A69">
        <w:rPr>
          <w:sz w:val="24"/>
          <w:lang w:val="cs-CZ"/>
        </w:rPr>
        <w:t>7.7.2021</w:t>
      </w:r>
      <w:proofErr w:type="gramEnd"/>
      <w:r w:rsidRPr="00413A69">
        <w:rPr>
          <w:sz w:val="24"/>
          <w:lang w:val="cs-CZ"/>
        </w:rPr>
        <w:t>, s. 2), bod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3A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3A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13A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53/2024"/>
    <w:docVar w:name="dvlangue" w:val="CS"/>
    <w:docVar w:name="dvnumam" w:val="0"/>
    <w:docVar w:name="dvpe" w:val="763.294"/>
    <w:docVar w:name="dvtitre" w:val="Usnesení Evropského parlamentu ze dne 26. listopadu 2024 o návrhu prováděcího rozhodnutí Komise o povolení uvedení produktů, které obsahují geneticky modifikovanou kukuřici MON 94804, sestávají z ní nebo jsou z ní vyrobeny, na trh podle nařízení Evropského parlamentu a Rady (ES) č. 1829/2003(D099729/02 – 2024/2841(RSP))"/>
  </w:docVars>
  <w:rsids>
    <w:rsidRoot w:val="00415FA0"/>
    <w:rsid w:val="00002272"/>
    <w:rsid w:val="000210AC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092A"/>
    <w:rsid w:val="00343214"/>
    <w:rsid w:val="00361C00"/>
    <w:rsid w:val="00395FA1"/>
    <w:rsid w:val="003E15D4"/>
    <w:rsid w:val="00411CCE"/>
    <w:rsid w:val="00413A69"/>
    <w:rsid w:val="00415FA0"/>
    <w:rsid w:val="0041666E"/>
    <w:rsid w:val="00421060"/>
    <w:rsid w:val="00435E6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80F"/>
    <w:rsid w:val="00A1687D"/>
    <w:rsid w:val="00A43E52"/>
    <w:rsid w:val="00A4678D"/>
    <w:rsid w:val="00A70DAA"/>
    <w:rsid w:val="00A778C7"/>
    <w:rsid w:val="00AB441E"/>
    <w:rsid w:val="00AB6293"/>
    <w:rsid w:val="00AE0928"/>
    <w:rsid w:val="00AF3B82"/>
    <w:rsid w:val="00B12E95"/>
    <w:rsid w:val="00B22876"/>
    <w:rsid w:val="00B54EFB"/>
    <w:rsid w:val="00B558F0"/>
    <w:rsid w:val="00BC6606"/>
    <w:rsid w:val="00BD48FE"/>
    <w:rsid w:val="00BD7BD8"/>
    <w:rsid w:val="00BE6ADC"/>
    <w:rsid w:val="00C05BFE"/>
    <w:rsid w:val="00C23CD4"/>
    <w:rsid w:val="00C61C0C"/>
    <w:rsid w:val="00C80E9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0BCFCF-C9B2-48BF-B3C5-2A5BB232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E280F"/>
    <w:pPr>
      <w:spacing w:before="480" w:after="240"/>
    </w:pPr>
  </w:style>
  <w:style w:type="paragraph" w:customStyle="1" w:styleId="NormalHanging12a">
    <w:name w:val="NormalHanging12a"/>
    <w:basedOn w:val="Normal"/>
    <w:rsid w:val="009E280F"/>
    <w:pPr>
      <w:spacing w:after="240"/>
      <w:ind w:left="567" w:hanging="567"/>
    </w:pPr>
  </w:style>
  <w:style w:type="paragraph" w:customStyle="1" w:styleId="NormalBold">
    <w:name w:val="NormalBold"/>
    <w:basedOn w:val="Normal"/>
    <w:rsid w:val="009E280F"/>
    <w:rPr>
      <w:b/>
    </w:rPr>
  </w:style>
  <w:style w:type="character" w:styleId="Hyperlink">
    <w:name w:val="Hyperlink"/>
    <w:basedOn w:val="DefaultParagraphFont"/>
    <w:uiPriority w:val="99"/>
    <w:rsid w:val="009E280F"/>
    <w:rPr>
      <w:color w:val="0563C1" w:themeColor="hyperlink"/>
      <w:u w:val="single"/>
    </w:rPr>
  </w:style>
  <w:style w:type="paragraph" w:customStyle="1" w:styleId="sdfootnote-western">
    <w:name w:val="sdfootnote-western"/>
    <w:basedOn w:val="Normal"/>
    <w:rsid w:val="009E280F"/>
    <w:pPr>
      <w:widowControl/>
      <w:spacing w:before="100" w:beforeAutospacing="1"/>
      <w:ind w:left="346" w:hanging="346"/>
    </w:pPr>
    <w:rPr>
      <w:rFonts w:ascii="Calibri" w:hAnsi="Calibri"/>
      <w:color w:val="000000"/>
      <w:sz w:val="20"/>
    </w:rPr>
  </w:style>
  <w:style w:type="paragraph" w:styleId="BalloonText">
    <w:name w:val="Balloon Text"/>
    <w:basedOn w:val="Normal"/>
    <w:link w:val="BalloonTextChar"/>
    <w:rsid w:val="003109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092A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02/178/oj" TargetMode="External"/><Relationship Id="rId3" Type="http://schemas.openxmlformats.org/officeDocument/2006/relationships/hyperlink" Target="https://doi.org/10.2903/j.efsa.2024.8714" TargetMode="External"/><Relationship Id="rId7" Type="http://schemas.openxmlformats.org/officeDocument/2006/relationships/hyperlink" Target="https://efsa.onlinelibrary.wiley.com/action/downloadSupplement?doi=10.2903%2Fj.efsa.2024.8714&amp;file=efs28714-sup-0008-Annex8.pdf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s://commission.europa.eu/document/2c64e540-c07a-4376-a1da-368d289f4afe_en" TargetMode="External"/><Relationship Id="rId5" Type="http://schemas.openxmlformats.org/officeDocument/2006/relationships/hyperlink" Target="https://doi.org/10.2903/j.efsa.2024.8714" TargetMode="External"/><Relationship Id="rId4" Type="http://schemas.openxmlformats.org/officeDocument/2006/relationships/hyperlink" Target="https://doi.org/10.2903/sp.efsa.2019.EN-16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9AB14-9671-41C2-A759-60DEC4E13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1464</Words>
  <Characters>8466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2024-11-26T12:41:00Z</dcterms:created>
  <dcterms:modified xsi:type="dcterms:W3CDTF">2024-11-26T12:41:00Z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B10-0153/2024</vt:lpwstr>
  </property>
  <property fmtid="{D5CDD505-2E9C-101B-9397-08002B2CF9AE}" pid="4" name="&lt;Type&gt;">
    <vt:lpwstr>RR</vt:lpwstr>
  </property>
</Properties>
</file>