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4A4F" w:rsidTr="0010095E">
        <w:trPr>
          <w:trHeight w:hRule="exact" w:val="1418"/>
        </w:trPr>
        <w:tc>
          <w:tcPr>
            <w:tcW w:w="6804" w:type="dxa"/>
            <w:shd w:val="clear" w:color="auto" w:fill="auto"/>
            <w:vAlign w:val="center"/>
          </w:tcPr>
          <w:p w:rsidR="00751A4A" w:rsidRPr="00A74A4F" w:rsidRDefault="00000E88" w:rsidP="0010095E">
            <w:pPr>
              <w:pStyle w:val="EPName"/>
            </w:pPr>
            <w:r w:rsidRPr="00A74A4F">
              <w:t>Euroopa Parlament</w:t>
            </w:r>
          </w:p>
          <w:p w:rsidR="00751A4A" w:rsidRPr="00A74A4F" w:rsidRDefault="005F1B17" w:rsidP="005F1B17">
            <w:pPr>
              <w:pStyle w:val="EPTerm"/>
              <w:rPr>
                <w:rStyle w:val="HideTWBExt"/>
                <w:noProof w:val="0"/>
                <w:vanish w:val="0"/>
                <w:color w:val="auto"/>
              </w:rPr>
            </w:pPr>
            <w:r w:rsidRPr="00A74A4F">
              <w:t>2024</w:t>
            </w:r>
            <w:r w:rsidR="00817416" w:rsidRPr="00A74A4F">
              <w:t>-202</w:t>
            </w:r>
            <w:r w:rsidRPr="00A74A4F">
              <w:t>9</w:t>
            </w:r>
          </w:p>
        </w:tc>
        <w:tc>
          <w:tcPr>
            <w:tcW w:w="2268" w:type="dxa"/>
            <w:shd w:val="clear" w:color="auto" w:fill="auto"/>
          </w:tcPr>
          <w:p w:rsidR="00751A4A" w:rsidRPr="00A74A4F" w:rsidRDefault="00187494" w:rsidP="0010095E">
            <w:pPr>
              <w:pStyle w:val="EPLogo"/>
            </w:pPr>
            <w:r w:rsidRPr="00A74A4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4A4F" w:rsidRDefault="00D058B8" w:rsidP="004C5D52">
      <w:pPr>
        <w:pStyle w:val="LineTop"/>
      </w:pPr>
    </w:p>
    <w:p w:rsidR="00680577" w:rsidRPr="00A74A4F" w:rsidRDefault="00000E88" w:rsidP="00680577">
      <w:pPr>
        <w:pStyle w:val="EPBodyTA1"/>
      </w:pPr>
      <w:r w:rsidRPr="00A74A4F">
        <w:t>VASTUVÕETUD TEKSTID</w:t>
      </w:r>
    </w:p>
    <w:p w:rsidR="00D058B8" w:rsidRPr="00A74A4F" w:rsidRDefault="00D058B8" w:rsidP="00D058B8">
      <w:pPr>
        <w:pStyle w:val="LineBottom"/>
      </w:pPr>
    </w:p>
    <w:p w:rsidR="00000E88" w:rsidRPr="00A74A4F" w:rsidRDefault="00000E88" w:rsidP="00000E88">
      <w:pPr>
        <w:pStyle w:val="ATHeading1"/>
      </w:pPr>
      <w:bookmarkStart w:id="0" w:name="TANumber"/>
      <w:r w:rsidRPr="00A74A4F">
        <w:t>P10_TA(2024)00</w:t>
      </w:r>
      <w:r w:rsidR="00FF7412" w:rsidRPr="00A74A4F">
        <w:t>45</w:t>
      </w:r>
      <w:bookmarkEnd w:id="0"/>
    </w:p>
    <w:p w:rsidR="00000E88" w:rsidRPr="00A74A4F" w:rsidRDefault="00FA2F1A" w:rsidP="00000E88">
      <w:pPr>
        <w:pStyle w:val="ATHeading2"/>
      </w:pPr>
      <w:bookmarkStart w:id="1" w:name="title"/>
      <w:r w:rsidRPr="00A74A4F">
        <w:t>G</w:t>
      </w:r>
      <w:r w:rsidR="00000E88" w:rsidRPr="00A74A4F">
        <w:t>eneetiliselt muundatud mais MON 94804</w:t>
      </w:r>
      <w:bookmarkEnd w:id="1"/>
    </w:p>
    <w:p w:rsidR="00000E88" w:rsidRPr="00A74A4F" w:rsidRDefault="00000E88" w:rsidP="00000E88">
      <w:pPr>
        <w:rPr>
          <w:i/>
          <w:vanish/>
        </w:rPr>
      </w:pPr>
      <w:r w:rsidRPr="00A74A4F">
        <w:rPr>
          <w:i/>
        </w:rPr>
        <w:fldChar w:fldCharType="begin"/>
      </w:r>
      <w:r w:rsidRPr="00A74A4F">
        <w:rPr>
          <w:i/>
        </w:rPr>
        <w:instrText xml:space="preserve"> TC"(</w:instrText>
      </w:r>
      <w:bookmarkStart w:id="2" w:name="DocNumber"/>
      <w:r w:rsidRPr="00A74A4F">
        <w:rPr>
          <w:i/>
        </w:rPr>
        <w:instrText>B10-0153/2024</w:instrText>
      </w:r>
      <w:bookmarkEnd w:id="2"/>
      <w:r w:rsidRPr="00A74A4F">
        <w:rPr>
          <w:i/>
        </w:rPr>
        <w:instrText xml:space="preserve">)"\l3 \n&gt; \* MERGEFORMAT </w:instrText>
      </w:r>
      <w:r w:rsidRPr="00A74A4F">
        <w:rPr>
          <w:i/>
        </w:rPr>
        <w:fldChar w:fldCharType="end"/>
      </w:r>
    </w:p>
    <w:p w:rsidR="00000E88" w:rsidRPr="00A74A4F" w:rsidRDefault="00000E88" w:rsidP="00000E88">
      <w:pPr>
        <w:rPr>
          <w:vanish/>
        </w:rPr>
      </w:pPr>
      <w:bookmarkStart w:id="3" w:name="PE"/>
      <w:r w:rsidRPr="00A74A4F">
        <w:rPr>
          <w:vanish/>
        </w:rPr>
        <w:t>PE763.294</w:t>
      </w:r>
      <w:bookmarkEnd w:id="3"/>
    </w:p>
    <w:p w:rsidR="00000E88" w:rsidRPr="00A74A4F" w:rsidRDefault="00FA2F1A" w:rsidP="00FA2F1A">
      <w:pPr>
        <w:pStyle w:val="ATHeading3"/>
      </w:pPr>
      <w:bookmarkStart w:id="4" w:name="Sujet"/>
      <w:r w:rsidRPr="00A74A4F">
        <w:t>Euroopa Parlamendi 26</w:t>
      </w:r>
      <w:r w:rsidR="00000E88" w:rsidRPr="00A74A4F">
        <w:t>.</w:t>
      </w:r>
      <w:r w:rsidRPr="00A74A4F">
        <w:t> novembri 2024. </w:t>
      </w:r>
      <w:r w:rsidR="00000E88" w:rsidRPr="00A74A4F">
        <w:t>aasta resolutsioon komisjoni rakendusotsuse eelnõu kohta, millega lubatakse viia turule geneetiliselt muundatud</w:t>
      </w:r>
      <w:r w:rsidRPr="00A74A4F">
        <w:t xml:space="preserve"> maisi</w:t>
      </w:r>
      <w:r w:rsidR="00000E88" w:rsidRPr="00A74A4F">
        <w:t xml:space="preserve"> MON 94804 sisaldavaid, sellest koosnevaid või sellest toodetud tooteid vastavalt Euroopa Parlamendi ja nõukogu mää</w:t>
      </w:r>
      <w:r w:rsidRPr="00A74A4F">
        <w:t>rusele (EÜ) nr </w:t>
      </w:r>
      <w:r w:rsidR="00000E88" w:rsidRPr="00A74A4F">
        <w:t>1829/2003</w:t>
      </w:r>
      <w:bookmarkEnd w:id="4"/>
      <w:r w:rsidR="00000E88" w:rsidRPr="00A74A4F">
        <w:t xml:space="preserve"> </w:t>
      </w:r>
      <w:bookmarkStart w:id="5" w:name="References"/>
      <w:r w:rsidR="00000E88" w:rsidRPr="00A74A4F">
        <w:t>(D099729/02 – 2024/2841(RSP))</w:t>
      </w:r>
      <w:bookmarkEnd w:id="5"/>
    </w:p>
    <w:p w:rsidR="00701E37" w:rsidRPr="00A74A4F" w:rsidRDefault="00701E37" w:rsidP="00701E37">
      <w:pPr>
        <w:pStyle w:val="EPComma"/>
      </w:pPr>
      <w:bookmarkStart w:id="6" w:name="TextBodyBegin"/>
      <w:bookmarkEnd w:id="6"/>
      <w:r w:rsidRPr="00A74A4F">
        <w:rPr>
          <w:i/>
        </w:rPr>
        <w:t>Euroopa Parlament</w:t>
      </w:r>
      <w:r w:rsidRPr="00A74A4F">
        <w:t>,</w:t>
      </w:r>
    </w:p>
    <w:p w:rsidR="00701E37" w:rsidRPr="00A74A4F" w:rsidRDefault="00701E37" w:rsidP="00701E37">
      <w:pPr>
        <w:pStyle w:val="NormalHanging12a"/>
        <w:rPr>
          <w:szCs w:val="24"/>
        </w:rPr>
      </w:pPr>
      <w:r w:rsidRPr="00A74A4F">
        <w:t>–</w:t>
      </w:r>
      <w:r w:rsidRPr="00A74A4F">
        <w:tab/>
        <w:t xml:space="preserve">võttes arvesse komisjoni rakendusotsuse eelnõu, millega lubatakse geneetiliselt muundatud </w:t>
      </w:r>
      <w:r w:rsidR="00FA2F1A" w:rsidRPr="00A74A4F">
        <w:t>maisi MON </w:t>
      </w:r>
      <w:r w:rsidRPr="00A74A4F">
        <w:t>94804 sisaldavate, sellest koosnevate või sellest toodetud kaupade turule laskmist vastavalt Euroopa Parlamendi ja nõukogu määruse</w:t>
      </w:r>
      <w:r w:rsidR="00FA2F1A" w:rsidRPr="00A74A4F">
        <w:t>le (EÜ) </w:t>
      </w:r>
      <w:r w:rsidRPr="00A74A4F">
        <w:t>nr 1829/2003 (D099729/02),</w:t>
      </w:r>
    </w:p>
    <w:p w:rsidR="00701E37" w:rsidRPr="00A74A4F" w:rsidRDefault="00701E37" w:rsidP="00701E37">
      <w:pPr>
        <w:pStyle w:val="NormalHanging12a"/>
        <w:rPr>
          <w:szCs w:val="24"/>
        </w:rPr>
      </w:pPr>
      <w:r w:rsidRPr="00A74A4F">
        <w:t>–</w:t>
      </w:r>
      <w:r w:rsidRPr="00A74A4F">
        <w:tab/>
        <w:t>võttes arvesse Euroopa Parlamendi ja nõukogu 22. sep</w:t>
      </w:r>
      <w:r w:rsidR="00FA2F1A" w:rsidRPr="00A74A4F">
        <w:t>tembri 2003. aasta määrust (EÜ) </w:t>
      </w:r>
      <w:r w:rsidRPr="00A74A4F">
        <w:t>nr 1829/2003 geneetiliselt muundatud toidu ja sööda</w:t>
      </w:r>
      <w:r w:rsidRPr="00A74A4F">
        <w:rPr>
          <w:rStyle w:val="FootnoteReference"/>
          <w:szCs w:val="24"/>
        </w:rPr>
        <w:footnoteReference w:id="1"/>
      </w:r>
      <w:r w:rsidRPr="00A74A4F">
        <w:t xml:space="preserve"> kohta, eriti selle artikli 7 lõiget 3 ja artikli 19 lõiget 3,</w:t>
      </w:r>
    </w:p>
    <w:p w:rsidR="00701E37" w:rsidRPr="00A74A4F" w:rsidRDefault="00701E37" w:rsidP="00701E37">
      <w:pPr>
        <w:pStyle w:val="NormalHanging12a"/>
        <w:rPr>
          <w:szCs w:val="24"/>
        </w:rPr>
      </w:pPr>
      <w:r w:rsidRPr="00A74A4F">
        <w:t>–</w:t>
      </w:r>
      <w:r w:rsidRPr="00A74A4F">
        <w:tab/>
        <w:t xml:space="preserve">võttes arvesse </w:t>
      </w:r>
      <w:r w:rsidRPr="00A74A4F">
        <w:rPr>
          <w:shd w:val="clear" w:color="auto" w:fill="FFFFFF"/>
        </w:rPr>
        <w:t>mää</w:t>
      </w:r>
      <w:r w:rsidR="00FA2F1A" w:rsidRPr="00A74A4F">
        <w:rPr>
          <w:shd w:val="clear" w:color="auto" w:fill="FFFFFF"/>
        </w:rPr>
        <w:t>ruse (EÜ) </w:t>
      </w:r>
      <w:r w:rsidRPr="00A74A4F">
        <w:rPr>
          <w:shd w:val="clear" w:color="auto" w:fill="FFFFFF"/>
        </w:rPr>
        <w:t xml:space="preserve">nr 1829/2003 artiklis 35 osutatud alalises taime-, looma-, toidu- ja söödakomitees </w:t>
      </w:r>
      <w:r w:rsidR="00ED492C" w:rsidRPr="00A74A4F">
        <w:rPr>
          <w:shd w:val="clear" w:color="auto" w:fill="FFFFFF"/>
        </w:rPr>
        <w:t>1</w:t>
      </w:r>
      <w:r w:rsidRPr="00A74A4F">
        <w:rPr>
          <w:shd w:val="clear" w:color="auto" w:fill="FFFFFF"/>
        </w:rPr>
        <w:t>7. </w:t>
      </w:r>
      <w:r w:rsidR="00ED492C" w:rsidRPr="00A74A4F">
        <w:rPr>
          <w:shd w:val="clear" w:color="auto" w:fill="FFFFFF"/>
        </w:rPr>
        <w:t>septem</w:t>
      </w:r>
      <w:r w:rsidRPr="00A74A4F">
        <w:rPr>
          <w:shd w:val="clear" w:color="auto" w:fill="FFFFFF"/>
        </w:rPr>
        <w:t>bril 202</w:t>
      </w:r>
      <w:r w:rsidR="00ED492C" w:rsidRPr="00A74A4F">
        <w:rPr>
          <w:shd w:val="clear" w:color="auto" w:fill="FFFFFF"/>
        </w:rPr>
        <w:t>4</w:t>
      </w:r>
      <w:r w:rsidRPr="00A74A4F">
        <w:rPr>
          <w:shd w:val="clear" w:color="auto" w:fill="FFFFFF"/>
        </w:rPr>
        <w:t xml:space="preserve"> toimunud hääletust, mille tulemusel arvamust ei esitatud</w:t>
      </w:r>
      <w:r w:rsidRPr="00A74A4F">
        <w:t>,</w:t>
      </w:r>
    </w:p>
    <w:p w:rsidR="00701E37" w:rsidRPr="00A74A4F" w:rsidRDefault="00701E37" w:rsidP="00701E37">
      <w:pPr>
        <w:pStyle w:val="NormalHanging12a"/>
        <w:rPr>
          <w:szCs w:val="24"/>
        </w:rPr>
      </w:pPr>
      <w:r w:rsidRPr="00A74A4F">
        <w:t>–</w:t>
      </w:r>
      <w:r w:rsidRPr="00A74A4F">
        <w:tab/>
        <w:t>võttes arvesse Eu</w:t>
      </w:r>
      <w:r w:rsidR="00FA2F1A" w:rsidRPr="00A74A4F">
        <w:t>roopa Parlamendi ja nõukogu 16. </w:t>
      </w:r>
      <w:r w:rsidR="00E85A5B" w:rsidRPr="00A74A4F">
        <w:t>veebruari 2011. aasta määruse (EL) nr </w:t>
      </w:r>
      <w:r w:rsidRPr="00A74A4F">
        <w:t>182/2011 (millega kehtestatakse eeskirjad ja üldpõhimõtted, mis käsitlevad liikmesriikide läbiviidava kontrolli mehhanisme, mida kohaldatakse komisjoni rakendamisvolitu</w:t>
      </w:r>
      <w:r w:rsidR="00E85A5B" w:rsidRPr="00A74A4F">
        <w:t>ste teostamise suhtes) artiklit </w:t>
      </w:r>
      <w:r w:rsidRPr="00A74A4F">
        <w:t>11</w:t>
      </w:r>
      <w:r w:rsidRPr="00A74A4F">
        <w:rPr>
          <w:rStyle w:val="FootnoteReference"/>
          <w:szCs w:val="24"/>
        </w:rPr>
        <w:footnoteReference w:id="2"/>
      </w:r>
      <w:r w:rsidRPr="00A74A4F">
        <w:t>,</w:t>
      </w:r>
    </w:p>
    <w:p w:rsidR="00701E37" w:rsidRPr="00A74A4F" w:rsidRDefault="00701E37" w:rsidP="00701E37">
      <w:pPr>
        <w:pStyle w:val="NormalHanging12a"/>
        <w:rPr>
          <w:szCs w:val="24"/>
        </w:rPr>
      </w:pPr>
      <w:r w:rsidRPr="00A74A4F">
        <w:t>–</w:t>
      </w:r>
      <w:r w:rsidRPr="00A74A4F">
        <w:tab/>
        <w:t>võttes arvesse Euroopa Toiduohutusameti (EFSA)</w:t>
      </w:r>
      <w:r w:rsidR="00E85A5B" w:rsidRPr="00A74A4F">
        <w:t xml:space="preserve"> 13. märtsil </w:t>
      </w:r>
      <w:r w:rsidRPr="00A74A4F">
        <w:t>20</w:t>
      </w:r>
      <w:r w:rsidR="00E85A5B" w:rsidRPr="00A74A4F">
        <w:t>24 vastu võetud ja 26. aprillil </w:t>
      </w:r>
      <w:r w:rsidRPr="00A74A4F">
        <w:t>2024 avaldatud arvamust</w:t>
      </w:r>
      <w:r w:rsidRPr="00A74A4F">
        <w:rPr>
          <w:rStyle w:val="FootnoteReference"/>
          <w:szCs w:val="24"/>
        </w:rPr>
        <w:footnoteReference w:id="3"/>
      </w:r>
      <w:r w:rsidRPr="00A74A4F">
        <w:t>,</w:t>
      </w:r>
    </w:p>
    <w:p w:rsidR="00701E37" w:rsidRPr="00A74A4F" w:rsidRDefault="00701E37" w:rsidP="00701E37">
      <w:pPr>
        <w:pStyle w:val="NormalHanging12a"/>
        <w:rPr>
          <w:szCs w:val="24"/>
        </w:rPr>
      </w:pPr>
      <w:r w:rsidRPr="00A74A4F">
        <w:rPr>
          <w:rFonts w:ascii="Symbol" w:hAnsi="Symbol"/>
        </w:rPr>
        <w:sym w:font="Symbol" w:char="F02D"/>
      </w:r>
      <w:r w:rsidRPr="00A74A4F">
        <w:rPr>
          <w:rFonts w:ascii="Symbol" w:hAnsi="Symbol"/>
        </w:rPr>
        <w:tab/>
      </w:r>
      <w:r w:rsidRPr="00A74A4F">
        <w:rPr>
          <w:shd w:val="clear" w:color="auto" w:fill="FFFFFF"/>
        </w:rPr>
        <w:t>võttes arvesse oma varasemaid resolutsioone, milles väljendatakse</w:t>
      </w:r>
      <w:r w:rsidR="00E85A5B" w:rsidRPr="00A74A4F">
        <w:rPr>
          <w:shd w:val="clear" w:color="auto" w:fill="FFFFFF"/>
        </w:rPr>
        <w:t xml:space="preserve"> vastuseisu</w:t>
      </w:r>
      <w:r w:rsidRPr="00A74A4F">
        <w:rPr>
          <w:shd w:val="clear" w:color="auto" w:fill="FFFFFF"/>
        </w:rPr>
        <w:t xml:space="preserve"> </w:t>
      </w:r>
      <w:r w:rsidRPr="00A74A4F">
        <w:rPr>
          <w:shd w:val="clear" w:color="auto" w:fill="FFFFFF"/>
        </w:rPr>
        <w:lastRenderedPageBreak/>
        <w:t>geneetiliselt muundatud organismide (edaspidi „</w:t>
      </w:r>
      <w:proofErr w:type="spellStart"/>
      <w:r w:rsidRPr="00A74A4F">
        <w:rPr>
          <w:shd w:val="clear" w:color="auto" w:fill="FFFFFF"/>
        </w:rPr>
        <w:t>GMOd</w:t>
      </w:r>
      <w:proofErr w:type="spellEnd"/>
      <w:r w:rsidRPr="00A74A4F">
        <w:rPr>
          <w:shd w:val="clear" w:color="auto" w:fill="FFFFFF"/>
        </w:rPr>
        <w:t>“) lubamisele</w:t>
      </w:r>
      <w:r w:rsidRPr="00A74A4F">
        <w:rPr>
          <w:szCs w:val="24"/>
          <w:shd w:val="clear" w:color="auto" w:fill="FFFFFF"/>
          <w:vertAlign w:val="superscript"/>
        </w:rPr>
        <w:footnoteReference w:id="4"/>
      </w:r>
      <w:r w:rsidRPr="00A74A4F">
        <w:rPr>
          <w:shd w:val="clear" w:color="auto" w:fill="FFFFFF"/>
        </w:rPr>
        <w:t>,</w:t>
      </w:r>
    </w:p>
    <w:p w:rsidR="00701E37" w:rsidRPr="00A74A4F" w:rsidRDefault="00701E37" w:rsidP="00701E37">
      <w:pPr>
        <w:pStyle w:val="NormalHanging12a"/>
        <w:rPr>
          <w:szCs w:val="24"/>
        </w:rPr>
      </w:pPr>
      <w:r w:rsidRPr="00A74A4F">
        <w:t>–</w:t>
      </w:r>
      <w:r w:rsidRPr="00A74A4F">
        <w:tab/>
        <w:t>v</w:t>
      </w:r>
      <w:r w:rsidR="00E85A5B" w:rsidRPr="00A74A4F">
        <w:t>õttes arvesse kodukorra artikli </w:t>
      </w:r>
      <w:r w:rsidRPr="00A74A4F">
        <w:t>11</w:t>
      </w:r>
      <w:r w:rsidR="00E85A5B" w:rsidRPr="00A74A4F">
        <w:t>5 lõikeid 2 ja </w:t>
      </w:r>
      <w:r w:rsidRPr="00A74A4F">
        <w:t>3,</w:t>
      </w:r>
    </w:p>
    <w:p w:rsidR="00701E37" w:rsidRPr="00A74A4F" w:rsidRDefault="00701E37" w:rsidP="00701E37">
      <w:pPr>
        <w:pStyle w:val="NormalHanging12a"/>
        <w:rPr>
          <w:szCs w:val="24"/>
        </w:rPr>
      </w:pPr>
      <w:r w:rsidRPr="00A74A4F">
        <w:t>–</w:t>
      </w:r>
      <w:r w:rsidRPr="00A74A4F">
        <w:tab/>
        <w:t>võttes arvesse keskkonna-, rahvatervise ja toiduohutuse komisjoni resolutsiooni ettepanekut,</w:t>
      </w:r>
    </w:p>
    <w:p w:rsidR="00701E37" w:rsidRPr="00A74A4F" w:rsidRDefault="00701E37" w:rsidP="00701E37">
      <w:pPr>
        <w:pStyle w:val="NormalHanging12a"/>
        <w:rPr>
          <w:szCs w:val="24"/>
        </w:rPr>
      </w:pPr>
      <w:r w:rsidRPr="00A74A4F">
        <w:t>A.</w:t>
      </w:r>
      <w:r w:rsidRPr="00A74A4F">
        <w:tab/>
        <w:t xml:space="preserve">arvestades, et Belgias asuv äriühing </w:t>
      </w:r>
      <w:proofErr w:type="spellStart"/>
      <w:r w:rsidR="00E85A5B" w:rsidRPr="00A74A4F">
        <w:t>Bayer</w:t>
      </w:r>
      <w:proofErr w:type="spellEnd"/>
      <w:r w:rsidR="00E85A5B" w:rsidRPr="00A74A4F">
        <w:t xml:space="preserve"> </w:t>
      </w:r>
      <w:proofErr w:type="spellStart"/>
      <w:r w:rsidR="00E85A5B" w:rsidRPr="00A74A4F">
        <w:t>Agriculture</w:t>
      </w:r>
      <w:proofErr w:type="spellEnd"/>
      <w:r w:rsidR="00E85A5B" w:rsidRPr="00A74A4F">
        <w:t xml:space="preserve"> BV esitas 14. veebruaril 2023. </w:t>
      </w:r>
      <w:r w:rsidRPr="00A74A4F">
        <w:t xml:space="preserve">aastal äriühingu </w:t>
      </w:r>
      <w:proofErr w:type="spellStart"/>
      <w:r w:rsidRPr="00A74A4F">
        <w:t>Bayer</w:t>
      </w:r>
      <w:proofErr w:type="spellEnd"/>
      <w:r w:rsidRPr="00A74A4F">
        <w:t xml:space="preserve"> </w:t>
      </w:r>
      <w:proofErr w:type="spellStart"/>
      <w:r w:rsidRPr="00A74A4F">
        <w:t>CropScience</w:t>
      </w:r>
      <w:proofErr w:type="spellEnd"/>
      <w:r w:rsidRPr="00A74A4F">
        <w:t xml:space="preserve"> LP (Ameerika Ühendriigi</w:t>
      </w:r>
      <w:r w:rsidR="00E85A5B" w:rsidRPr="00A74A4F">
        <w:t xml:space="preserve">d) nimel kooskõlas määruse (EÜ) nr 1829/2003 artiklitega 5 </w:t>
      </w:r>
      <w:r w:rsidRPr="00A74A4F">
        <w:t>ja 17 Madalmaade pädevale asutusele taotluse ge</w:t>
      </w:r>
      <w:r w:rsidR="00E85A5B" w:rsidRPr="00A74A4F">
        <w:t>neetiliselt muundatud maisi MON </w:t>
      </w:r>
      <w:r w:rsidRPr="00A74A4F">
        <w:t>94804 (</w:t>
      </w:r>
      <w:r w:rsidR="00E85A5B" w:rsidRPr="00A74A4F">
        <w:t>edaspidi „</w:t>
      </w:r>
      <w:r w:rsidRPr="00A74A4F">
        <w:t>geneetiliselt muundatud mais</w:t>
      </w:r>
      <w:r w:rsidR="00E85A5B" w:rsidRPr="00A74A4F">
        <w:t>“</w:t>
      </w:r>
      <w:r w:rsidRPr="00A74A4F">
        <w:t>) sisaldavate, sellest koosnevate või sellest valmistatud toidu, toidu koostisosade ja sööda turule laskmiseks (edaspidi „taotlus“);</w:t>
      </w:r>
    </w:p>
    <w:p w:rsidR="00701E37" w:rsidRPr="00A74A4F" w:rsidRDefault="00701E37" w:rsidP="00701E37">
      <w:pPr>
        <w:pStyle w:val="NormalHanging12a"/>
        <w:rPr>
          <w:szCs w:val="24"/>
        </w:rPr>
      </w:pPr>
      <w:r w:rsidRPr="00A74A4F">
        <w:t>B.</w:t>
      </w:r>
      <w:r w:rsidRPr="00A74A4F">
        <w:tab/>
        <w:t xml:space="preserve">arvestades, et taotlus hõlmas ka selliste toodete </w:t>
      </w:r>
      <w:proofErr w:type="spellStart"/>
      <w:r w:rsidRPr="00A74A4F">
        <w:t>turuleviimist</w:t>
      </w:r>
      <w:proofErr w:type="spellEnd"/>
      <w:r w:rsidRPr="00A74A4F">
        <w:t>, mis sisaldavad geneetiliselt muundatud maisi või koosnevad sellest ning mida kasutatakse muuks kui toiduks või söödaks, kuid ei kasutata viljelemiseks;</w:t>
      </w:r>
    </w:p>
    <w:p w:rsidR="00701E37" w:rsidRPr="00A74A4F" w:rsidRDefault="00E85A5B" w:rsidP="00701E37">
      <w:pPr>
        <w:pStyle w:val="NormalHanging12a"/>
        <w:rPr>
          <w:szCs w:val="24"/>
        </w:rPr>
      </w:pPr>
      <w:r w:rsidRPr="00A74A4F">
        <w:t>C.</w:t>
      </w:r>
      <w:r w:rsidRPr="00A74A4F">
        <w:tab/>
        <w:t>arvestades, et 13. märtsil </w:t>
      </w:r>
      <w:r w:rsidR="00701E37" w:rsidRPr="00A74A4F">
        <w:t>2024 võttis EFSA vastu heakski</w:t>
      </w:r>
      <w:r w:rsidRPr="00A74A4F">
        <w:t>itva arvamuse, mis avaldati 26. aprillil </w:t>
      </w:r>
      <w:r w:rsidR="00701E37" w:rsidRPr="00A74A4F">
        <w:t>2024 ning milles järeldati, et geneetiliselt muundatud mais on inimeste ja loomade tervisele ning keskkonnale avalduva võimaliku mõju seisukohast sama ohutu kui selle tavapärane vaste ja uuritud geneetiliselt muundamata maisisordid;</w:t>
      </w:r>
    </w:p>
    <w:p w:rsidR="00701E37" w:rsidRPr="00A74A4F" w:rsidRDefault="00701E37" w:rsidP="00701E37">
      <w:pPr>
        <w:pStyle w:val="NormalHanging12a"/>
        <w:rPr>
          <w:szCs w:val="24"/>
        </w:rPr>
      </w:pPr>
      <w:r w:rsidRPr="00A74A4F">
        <w:t>D.</w:t>
      </w:r>
      <w:r w:rsidRPr="00A74A4F">
        <w:tab/>
        <w:t xml:space="preserve">arvestades, et geneetiliselt muundatud maisi on valmistatud geneetiliselt muundatud kunstliku </w:t>
      </w:r>
      <w:proofErr w:type="spellStart"/>
      <w:r w:rsidRPr="00A74A4F">
        <w:t>miRNA</w:t>
      </w:r>
      <w:proofErr w:type="spellEnd"/>
      <w:r w:rsidRPr="00A74A4F">
        <w:t xml:space="preserve"> tootmiseks, mille eesmärk on valikuliselt maha suruda kaks geeni suuremas geeniperekonnas, mis on seotud </w:t>
      </w:r>
      <w:proofErr w:type="spellStart"/>
      <w:r w:rsidRPr="00A74A4F">
        <w:t>giberelüülhappe</w:t>
      </w:r>
      <w:proofErr w:type="spellEnd"/>
      <w:r w:rsidRPr="00A74A4F">
        <w:t xml:space="preserve"> (GA) </w:t>
      </w:r>
      <w:proofErr w:type="spellStart"/>
      <w:r w:rsidRPr="00A74A4F">
        <w:t>biosünteesiga</w:t>
      </w:r>
      <w:proofErr w:type="spellEnd"/>
      <w:r w:rsidRPr="00A74A4F">
        <w:t>, vähendades seeläbi taime kõrgust;</w:t>
      </w:r>
    </w:p>
    <w:p w:rsidR="00701E37" w:rsidRPr="00A74A4F" w:rsidRDefault="00701E37" w:rsidP="00701E37">
      <w:pPr>
        <w:pStyle w:val="NormalHanging12a"/>
        <w:rPr>
          <w:b/>
          <w:i/>
          <w:szCs w:val="24"/>
        </w:rPr>
      </w:pPr>
      <w:r w:rsidRPr="00A74A4F">
        <w:rPr>
          <w:b/>
          <w:i/>
        </w:rPr>
        <w:t xml:space="preserve">Lahendamata küsimused kunstliku </w:t>
      </w:r>
      <w:proofErr w:type="spellStart"/>
      <w:r w:rsidRPr="00A74A4F">
        <w:rPr>
          <w:b/>
          <w:i/>
        </w:rPr>
        <w:t>miRNA</w:t>
      </w:r>
      <w:proofErr w:type="spellEnd"/>
      <w:r w:rsidRPr="00A74A4F">
        <w:rPr>
          <w:b/>
          <w:i/>
        </w:rPr>
        <w:t xml:space="preserve"> mõju kohta</w:t>
      </w:r>
    </w:p>
    <w:p w:rsidR="00701E37" w:rsidRPr="00A74A4F" w:rsidRDefault="00701E37" w:rsidP="00701E37">
      <w:pPr>
        <w:pStyle w:val="NormalHanging12a"/>
        <w:rPr>
          <w:szCs w:val="24"/>
        </w:rPr>
      </w:pPr>
      <w:r w:rsidRPr="00A74A4F">
        <w:t>E.</w:t>
      </w:r>
      <w:r w:rsidRPr="00A74A4F">
        <w:tab/>
        <w:t xml:space="preserve">arvestades, et kunstliku </w:t>
      </w:r>
      <w:proofErr w:type="spellStart"/>
      <w:r w:rsidRPr="00A74A4F">
        <w:t>miRNA</w:t>
      </w:r>
      <w:proofErr w:type="spellEnd"/>
      <w:r w:rsidRPr="00A74A4F">
        <w:t xml:space="preserve"> kasutuselevõtuga mitte ainult ei sekkuta sihtgeenidesse, vaid see hõlmab ka muid regulatiivseid funktsioone; arvestades, et </w:t>
      </w:r>
      <w:proofErr w:type="spellStart"/>
      <w:r w:rsidRPr="00A74A4F">
        <w:t>miRNA</w:t>
      </w:r>
      <w:r w:rsidR="00E85A5B" w:rsidRPr="00A74A4F">
        <w:t>d</w:t>
      </w:r>
      <w:proofErr w:type="spellEnd"/>
      <w:r w:rsidRPr="00A74A4F">
        <w:t xml:space="preserve"> töödeldakse ettevõttes täiendavalt ja koos sellega mõjutatakse konkreetseid taimeensüüme; arvestades, et paljudel juhtudel ei piirdu selle mõju sihtgeeniga, vaid hõlmab sageli </w:t>
      </w:r>
      <w:proofErr w:type="spellStart"/>
      <w:r w:rsidRPr="00A74A4F">
        <w:t>metaboolseid</w:t>
      </w:r>
      <w:proofErr w:type="spellEnd"/>
      <w:r w:rsidRPr="00A74A4F">
        <w:t xml:space="preserve"> astmeid, millel on mitusada muud geenifunktsiooni;</w:t>
      </w:r>
    </w:p>
    <w:p w:rsidR="00701E37" w:rsidRPr="00A74A4F" w:rsidRDefault="00701E37" w:rsidP="00701E37">
      <w:pPr>
        <w:pStyle w:val="NormalHanging12a"/>
        <w:rPr>
          <w:szCs w:val="24"/>
        </w:rPr>
      </w:pPr>
      <w:r w:rsidRPr="00A74A4F">
        <w:t>F.</w:t>
      </w:r>
      <w:r w:rsidRPr="00A74A4F">
        <w:tab/>
        <w:t xml:space="preserve">arvestades, et taotleja esitab ebapiisavaid ja mittetäielikke andmeid kunstliku </w:t>
      </w:r>
      <w:proofErr w:type="spellStart"/>
      <w:r w:rsidRPr="00A74A4F">
        <w:t>miRNA</w:t>
      </w:r>
      <w:proofErr w:type="spellEnd"/>
      <w:r w:rsidRPr="00A74A4F">
        <w:t>, rakkude edasistest protsessidest tekkivate toodete, nende molekulide püsivuse kohta rakkudes ja nende sekkumise kohta teistesse reguleerivatesse võrgustikesse;</w:t>
      </w:r>
    </w:p>
    <w:p w:rsidR="00701E37" w:rsidRPr="00A74A4F" w:rsidRDefault="00701E37" w:rsidP="00701E37">
      <w:pPr>
        <w:pStyle w:val="NormalHanging12a"/>
        <w:rPr>
          <w:szCs w:val="24"/>
        </w:rPr>
      </w:pPr>
      <w:r w:rsidRPr="00A74A4F">
        <w:t>G.</w:t>
      </w:r>
      <w:r w:rsidRPr="00A74A4F">
        <w:tab/>
        <w:t xml:space="preserve">arvestades, et järeldamaks, et </w:t>
      </w:r>
      <w:proofErr w:type="spellStart"/>
      <w:r w:rsidRPr="00A74A4F">
        <w:t>miRNAd</w:t>
      </w:r>
      <w:proofErr w:type="spellEnd"/>
      <w:r w:rsidRPr="00A74A4F">
        <w:t xml:space="preserve"> ei kujuta endast inimestele ja loomadele mürgisuse ohtu, eeldab EFSA, et kunstlik </w:t>
      </w:r>
      <w:proofErr w:type="spellStart"/>
      <w:r w:rsidRPr="00A74A4F">
        <w:t>miRNA</w:t>
      </w:r>
      <w:proofErr w:type="spellEnd"/>
      <w:r w:rsidRPr="00A74A4F">
        <w:t xml:space="preserve"> laguneb kiiresti; arvestades siiski, et </w:t>
      </w:r>
      <w:r w:rsidRPr="00A74A4F">
        <w:lastRenderedPageBreak/>
        <w:t>mitmes uuringus, sealhulgas selles, mida nad selle väite toetuseks tsiteerivad</w:t>
      </w:r>
      <w:r w:rsidRPr="00A74A4F">
        <w:rPr>
          <w:rStyle w:val="FootnoteReference"/>
          <w:szCs w:val="24"/>
        </w:rPr>
        <w:footnoteReference w:id="5"/>
      </w:r>
      <w:r w:rsidRPr="00A74A4F">
        <w:t xml:space="preserve">, märgitakse, et konkreetsete mehhanismide toel saab </w:t>
      </w:r>
      <w:proofErr w:type="spellStart"/>
      <w:r w:rsidRPr="00A74A4F">
        <w:t>miRNAd</w:t>
      </w:r>
      <w:proofErr w:type="spellEnd"/>
      <w:r w:rsidRPr="00A74A4F">
        <w:t xml:space="preserve"> võtta soolestikust;</w:t>
      </w:r>
    </w:p>
    <w:p w:rsidR="00701E37" w:rsidRPr="00A74A4F" w:rsidRDefault="00701E37" w:rsidP="00701E37">
      <w:pPr>
        <w:pStyle w:val="NormalHanging12a"/>
        <w:rPr>
          <w:b/>
          <w:i/>
          <w:szCs w:val="24"/>
        </w:rPr>
      </w:pPr>
      <w:r w:rsidRPr="00A74A4F">
        <w:rPr>
          <w:b/>
          <w:i/>
        </w:rPr>
        <w:t xml:space="preserve">Lahendamata küsimused vähendatud </w:t>
      </w:r>
      <w:proofErr w:type="spellStart"/>
      <w:r w:rsidRPr="00A74A4F">
        <w:rPr>
          <w:b/>
          <w:i/>
        </w:rPr>
        <w:t>giberelliinide</w:t>
      </w:r>
      <w:proofErr w:type="spellEnd"/>
      <w:r w:rsidRPr="00A74A4F">
        <w:rPr>
          <w:b/>
          <w:i/>
        </w:rPr>
        <w:t xml:space="preserve"> taseme mõju kohta</w:t>
      </w:r>
    </w:p>
    <w:p w:rsidR="00701E37" w:rsidRPr="00A74A4F" w:rsidRDefault="00701E37" w:rsidP="00701E37">
      <w:pPr>
        <w:pStyle w:val="NormalHanging12a"/>
        <w:rPr>
          <w:szCs w:val="24"/>
        </w:rPr>
      </w:pPr>
      <w:r w:rsidRPr="00A74A4F">
        <w:t>H.</w:t>
      </w:r>
      <w:r w:rsidRPr="00A74A4F">
        <w:tab/>
        <w:t>arvestades, et liikmesriikide eksperdid</w:t>
      </w:r>
      <w:r w:rsidR="00E85A5B" w:rsidRPr="00A74A4F">
        <w:rPr>
          <w:rStyle w:val="FootnoteReference"/>
          <w:szCs w:val="24"/>
        </w:rPr>
        <w:footnoteReference w:id="6"/>
      </w:r>
      <w:r w:rsidRPr="00A74A4F">
        <w:t xml:space="preserve"> on rõhutanud, et giberelliinid on taimede erinevate füsioloogiliste pro</w:t>
      </w:r>
      <w:r w:rsidR="00FA2F1A" w:rsidRPr="00A74A4F">
        <w:t xml:space="preserve">tsesside peamised </w:t>
      </w:r>
      <w:proofErr w:type="spellStart"/>
      <w:r w:rsidR="00FA2F1A" w:rsidRPr="00A74A4F">
        <w:t>reguleerijad</w:t>
      </w:r>
      <w:proofErr w:type="spellEnd"/>
      <w:r w:rsidR="00FA2F1A" w:rsidRPr="00A74A4F">
        <w:t>;</w:t>
      </w:r>
    </w:p>
    <w:p w:rsidR="00701E37" w:rsidRPr="00A74A4F" w:rsidRDefault="00701E37" w:rsidP="00701E37">
      <w:pPr>
        <w:pStyle w:val="NormalHanging12a"/>
        <w:rPr>
          <w:szCs w:val="24"/>
        </w:rPr>
      </w:pPr>
      <w:r w:rsidRPr="00A74A4F">
        <w:t>I.</w:t>
      </w:r>
      <w:r w:rsidRPr="00A74A4F">
        <w:tab/>
        <w:t>arvestades, et lisaks taimekasvule reguleerivad giberelliinid ka idanemist ja õitsemist, neil on oluline osa stressitaluvuse reguleerimisel ning nad võtavad osa keerukast regulatiivsest ristumisest teiste taimehormoonidega mitmesugustel signaaliülekandeviisidel, nt taime koostist mõjutavates füsioloogilistes protsessides; arvestades, et giberelliinid on seotud ka taimede</w:t>
      </w:r>
      <w:r w:rsidR="00FA2F1A" w:rsidRPr="00A74A4F">
        <w:t xml:space="preserve"> immuunvastusega patogeenidele;</w:t>
      </w:r>
    </w:p>
    <w:p w:rsidR="00701E37" w:rsidRPr="00A74A4F" w:rsidRDefault="00701E37" w:rsidP="00701E37">
      <w:pPr>
        <w:pStyle w:val="NormalHanging12a"/>
        <w:rPr>
          <w:szCs w:val="24"/>
        </w:rPr>
      </w:pPr>
      <w:r w:rsidRPr="00A74A4F">
        <w:t>J.</w:t>
      </w:r>
      <w:r w:rsidRPr="00A74A4F">
        <w:tab/>
        <w:t>arvestades, et taotleja ei ole uurinud suuremat osa mõjudest nendele erinevatele protsessidele, välja arvatud võimalikku mõju idanevusele, õitsemisele ja teravilja kaalule;</w:t>
      </w:r>
    </w:p>
    <w:p w:rsidR="00701E37" w:rsidRPr="00A74A4F" w:rsidRDefault="00701E37" w:rsidP="00701E37">
      <w:pPr>
        <w:pStyle w:val="NormalHanging12a"/>
        <w:rPr>
          <w:szCs w:val="24"/>
        </w:rPr>
      </w:pPr>
      <w:r w:rsidRPr="00A74A4F">
        <w:t>K.</w:t>
      </w:r>
      <w:r w:rsidRPr="00A74A4F">
        <w:tab/>
        <w:t xml:space="preserve">arvestades, et geeniekspressiooni ja selle mõju </w:t>
      </w:r>
      <w:proofErr w:type="spellStart"/>
      <w:r w:rsidRPr="00A74A4F">
        <w:t>bioaktiivsete</w:t>
      </w:r>
      <w:proofErr w:type="spellEnd"/>
      <w:r w:rsidRPr="00A74A4F">
        <w:t xml:space="preserve"> </w:t>
      </w:r>
      <w:proofErr w:type="spellStart"/>
      <w:r w:rsidRPr="00A74A4F">
        <w:t>giberelliinide</w:t>
      </w:r>
      <w:proofErr w:type="spellEnd"/>
      <w:r w:rsidRPr="00A74A4F">
        <w:t xml:space="preserve"> tootmisele ning </w:t>
      </w:r>
      <w:proofErr w:type="spellStart"/>
      <w:r w:rsidRPr="00A74A4F">
        <w:t>metaboolset</w:t>
      </w:r>
      <w:proofErr w:type="spellEnd"/>
      <w:r w:rsidRPr="00A74A4F">
        <w:t xml:space="preserve"> mõju uuriti ainult välitingimustes, kus puuduvad erilised stressitegurid, samas kui G</w:t>
      </w:r>
      <w:r w:rsidR="00E85A5B" w:rsidRPr="00A74A4F">
        <w:t>A</w:t>
      </w:r>
      <w:r w:rsidRPr="00A74A4F">
        <w:t xml:space="preserve"> on teadaolevalt seotud paljude biootiliste ja </w:t>
      </w:r>
      <w:proofErr w:type="spellStart"/>
      <w:r w:rsidRPr="00A74A4F">
        <w:t>abiootiliste</w:t>
      </w:r>
      <w:proofErr w:type="spellEnd"/>
      <w:r w:rsidRPr="00A74A4F">
        <w:t xml:space="preserve"> stressireaktsioonidega;</w:t>
      </w:r>
    </w:p>
    <w:p w:rsidR="00701E37" w:rsidRPr="00A74A4F" w:rsidRDefault="00701E37" w:rsidP="00701E37">
      <w:pPr>
        <w:pStyle w:val="NormalHanging12a"/>
        <w:rPr>
          <w:b/>
          <w:i/>
          <w:szCs w:val="24"/>
        </w:rPr>
      </w:pPr>
      <w:r w:rsidRPr="00A74A4F">
        <w:rPr>
          <w:b/>
          <w:i/>
        </w:rPr>
        <w:t>Imporditud söödast sõltuvuse vähendamine</w:t>
      </w:r>
    </w:p>
    <w:p w:rsidR="00701E37" w:rsidRPr="00A74A4F" w:rsidRDefault="00701E37" w:rsidP="00701E37">
      <w:pPr>
        <w:pStyle w:val="NormalHanging12a"/>
        <w:rPr>
          <w:szCs w:val="24"/>
        </w:rPr>
      </w:pPr>
      <w:r w:rsidRPr="00A74A4F">
        <w:t>L.</w:t>
      </w:r>
      <w:r w:rsidRPr="00A74A4F">
        <w:tab/>
        <w:t xml:space="preserve">arvestades, et üks COVID-19 kriisist ja Ukrainas ikka veel jätkuvast sõjast saadud õppetundidest on, et liit peab lõpetama sõltuvuse mõnest kriitilisest toormest; arvestades, et komisjoni president Ursula von </w:t>
      </w:r>
      <w:proofErr w:type="spellStart"/>
      <w:r w:rsidRPr="00A74A4F">
        <w:t>der</w:t>
      </w:r>
      <w:proofErr w:type="spellEnd"/>
      <w:r w:rsidRPr="00A74A4F">
        <w:t xml:space="preserve"> </w:t>
      </w:r>
      <w:proofErr w:type="spellStart"/>
      <w:r w:rsidRPr="00A74A4F">
        <w:t>Leyen</w:t>
      </w:r>
      <w:proofErr w:type="spellEnd"/>
      <w:r w:rsidRPr="00A74A4F">
        <w:t xml:space="preserve"> palub volinikukandidaat Christophe Hansenile saadetud missioonikirjas tal uurida võimalusi kriitilise tähtsusega kaupade impordi vähendamiseks</w:t>
      </w:r>
      <w:r w:rsidRPr="00A74A4F">
        <w:rPr>
          <w:rStyle w:val="FootnoteReference"/>
          <w:szCs w:val="24"/>
        </w:rPr>
        <w:footnoteReference w:id="7"/>
      </w:r>
      <w:r w:rsidR="00FA2F1A" w:rsidRPr="00A74A4F">
        <w:t>;</w:t>
      </w:r>
    </w:p>
    <w:p w:rsidR="00701E37" w:rsidRPr="00A74A4F" w:rsidRDefault="00701E37" w:rsidP="00701E37">
      <w:pPr>
        <w:pStyle w:val="NormalHanging12a"/>
        <w:rPr>
          <w:b/>
          <w:i/>
          <w:szCs w:val="24"/>
        </w:rPr>
      </w:pPr>
      <w:r w:rsidRPr="00A74A4F">
        <w:rPr>
          <w:b/>
          <w:i/>
        </w:rPr>
        <w:t>Liikmesriikide pädevate asutuste ja sidusrühmade kommentaarid</w:t>
      </w:r>
    </w:p>
    <w:p w:rsidR="00701E37" w:rsidRPr="00A74A4F" w:rsidRDefault="00701E37" w:rsidP="00701E37">
      <w:pPr>
        <w:pStyle w:val="NormalHanging12a"/>
        <w:rPr>
          <w:szCs w:val="24"/>
        </w:rPr>
      </w:pPr>
      <w:r w:rsidRPr="00A74A4F">
        <w:t>M.</w:t>
      </w:r>
      <w:r w:rsidRPr="00A74A4F">
        <w:tab/>
        <w:t>arvestades, et liikmesriigid esitasid EFSA-</w:t>
      </w:r>
      <w:proofErr w:type="spellStart"/>
      <w:r w:rsidRPr="00A74A4F">
        <w:t>le</w:t>
      </w:r>
      <w:proofErr w:type="spellEnd"/>
      <w:r w:rsidRPr="00A74A4F">
        <w:t xml:space="preserve"> kolmekuulise konsultatsiooniperioodi jooksul</w:t>
      </w:r>
      <w:r w:rsidRPr="00A74A4F">
        <w:rPr>
          <w:rStyle w:val="FootnoteReference"/>
          <w:szCs w:val="24"/>
        </w:rPr>
        <w:footnoteReference w:id="8"/>
      </w:r>
      <w:r w:rsidRPr="00A74A4F">
        <w:t xml:space="preserve"> mitmeid kriitilisi märkusi, sealhulgas seoses asjaoluga, et giberelliinid on taimede erinevate füsioloogiliste protsesside peamised </w:t>
      </w:r>
      <w:proofErr w:type="spellStart"/>
      <w:r w:rsidRPr="00A74A4F">
        <w:t>reguleerijad</w:t>
      </w:r>
      <w:proofErr w:type="spellEnd"/>
      <w:r w:rsidRPr="00A74A4F">
        <w:t xml:space="preserve">, eelkõige seoses biootiliste ja </w:t>
      </w:r>
      <w:proofErr w:type="spellStart"/>
      <w:r w:rsidRPr="00A74A4F">
        <w:t>abiootiliste</w:t>
      </w:r>
      <w:proofErr w:type="spellEnd"/>
      <w:r w:rsidRPr="00A74A4F">
        <w:t xml:space="preserve"> stressiteguritega, ning et taotleja esitatud andmed ei ole </w:t>
      </w:r>
      <w:r w:rsidRPr="00A74A4F">
        <w:lastRenderedPageBreak/>
        <w:t xml:space="preserve">täielikud, et hinnata </w:t>
      </w:r>
      <w:proofErr w:type="spellStart"/>
      <w:r w:rsidRPr="00A74A4F">
        <w:t>giberelliinisisalduse</w:t>
      </w:r>
      <w:proofErr w:type="spellEnd"/>
      <w:r w:rsidRPr="00A74A4F">
        <w:t xml:space="preserve"> vähendamise võimalikku mõju kõigile nendele protsessidele, ning et valik välikatsetes ei ole piisav; arvestades, et liikmesriigid kritiseerisid ka andmete puudumist ohtude kohta, mis tulenevad kunstliku </w:t>
      </w:r>
      <w:proofErr w:type="spellStart"/>
      <w:r w:rsidRPr="00A74A4F">
        <w:t>miRNA</w:t>
      </w:r>
      <w:proofErr w:type="spellEnd"/>
      <w:r w:rsidRPr="00A74A4F">
        <w:t xml:space="preserve"> võimalikust pikaajalisest püsivusest taimes, või asjaolu, et olulist osa modifitseeritud DNAst saab võtta loomade või inimeste sooltest, samuti asjaolu, et esitatud andmed ei tõenda, et geeni kandumine taimedel</w:t>
      </w:r>
      <w:r w:rsidR="00BB7592" w:rsidRPr="00A74A4F">
        <w:t>t bakteritele on ebatõenäoline;</w:t>
      </w:r>
    </w:p>
    <w:p w:rsidR="00701E37" w:rsidRPr="00A74A4F" w:rsidRDefault="00701E37" w:rsidP="00701E37">
      <w:pPr>
        <w:pStyle w:val="NormalHanging12a"/>
        <w:rPr>
          <w:szCs w:val="24"/>
        </w:rPr>
      </w:pPr>
      <w:r w:rsidRPr="00A74A4F">
        <w:t>N.</w:t>
      </w:r>
      <w:r w:rsidRPr="00A74A4F">
        <w:tab/>
        <w:t>arvestades, et määruses (E</w:t>
      </w:r>
      <w:r w:rsidR="00BB7592" w:rsidRPr="00A74A4F">
        <w:t>Ü) </w:t>
      </w:r>
      <w:r w:rsidRPr="00A74A4F">
        <w:t>nr 1829/2003 on sätestatud, et geneetiliselt muundatud toit ja sööt ei tohi avaldada inimeste ja loomade tervisele ega keskkonnale kahjulikku mõju, ning nõutakse, et komisjon võtaks oma otsuse koostamisel arvesse kõiki liidu õigusaktide asjakohaseid sätteid ja teisi selle küsimusega seotud õiguspäraseid tegureid;</w:t>
      </w:r>
    </w:p>
    <w:p w:rsidR="00701E37" w:rsidRPr="00A74A4F" w:rsidRDefault="00701E37" w:rsidP="00701E37">
      <w:pPr>
        <w:pStyle w:val="NormalHanging12a"/>
        <w:rPr>
          <w:b/>
          <w:i/>
          <w:szCs w:val="24"/>
        </w:rPr>
      </w:pPr>
      <w:r w:rsidRPr="00A74A4F">
        <w:rPr>
          <w:b/>
          <w:i/>
        </w:rPr>
        <w:t>Ebademokraatlik otsustamine</w:t>
      </w:r>
    </w:p>
    <w:p w:rsidR="00701E37" w:rsidRPr="00A74A4F" w:rsidRDefault="00701E37" w:rsidP="00701E37">
      <w:pPr>
        <w:pStyle w:val="NormalHanging12a"/>
        <w:rPr>
          <w:b/>
          <w:i/>
          <w:szCs w:val="24"/>
        </w:rPr>
      </w:pPr>
      <w:r w:rsidRPr="00A74A4F">
        <w:t>O.</w:t>
      </w:r>
      <w:r w:rsidRPr="00A74A4F">
        <w:tab/>
        <w:t xml:space="preserve">arvestades, et Euroopa Parlament võttis oma kaheksandal ametiajal vastu 36 resolutsiooni, milles väljendatakse vastuseisu toiduks ja söödaks mõeldud GMOde turule laskmisele (33 resolutsiooni) ning GMOde kasvatamisele liidus (kolm resolutsiooni); arvestades, et üheksandal ametiajal väljendas Euroopa Parlament </w:t>
      </w:r>
      <w:r w:rsidR="00BB7592" w:rsidRPr="00A74A4F">
        <w:t xml:space="preserve">vastuseisu </w:t>
      </w:r>
      <w:proofErr w:type="spellStart"/>
      <w:r w:rsidRPr="00A74A4F">
        <w:t>GMOde</w:t>
      </w:r>
      <w:proofErr w:type="spellEnd"/>
      <w:r w:rsidRPr="00A74A4F">
        <w:t xml:space="preserve"> turule laskmisele 38 korral;</w:t>
      </w:r>
    </w:p>
    <w:p w:rsidR="00701E37" w:rsidRPr="00A74A4F" w:rsidRDefault="00701E37" w:rsidP="00701E37">
      <w:pPr>
        <w:pStyle w:val="NormalHanging12a"/>
        <w:rPr>
          <w:szCs w:val="24"/>
        </w:rPr>
      </w:pPr>
      <w:r w:rsidRPr="00A74A4F">
        <w:t>P.</w:t>
      </w:r>
      <w:r w:rsidRPr="00A74A4F">
        <w:tab/>
        <w:t>arvestades, et kuigi komisjon tunnistab puudujääke demokraatlikus protsessis, liikmesriikide toetuse puudumist ja Euroopa Parlamendi vastuväiteid, jätkab ta siiski GMOdele lubade andmist;</w:t>
      </w:r>
    </w:p>
    <w:p w:rsidR="00701E37" w:rsidRPr="00A74A4F" w:rsidRDefault="00701E37" w:rsidP="00701E37">
      <w:pPr>
        <w:pStyle w:val="NormalHanging12a"/>
        <w:rPr>
          <w:szCs w:val="24"/>
        </w:rPr>
      </w:pPr>
      <w:r w:rsidRPr="00A74A4F">
        <w:t>Q.</w:t>
      </w:r>
      <w:r w:rsidRPr="00A74A4F">
        <w:tab/>
        <w:t>arvestades, et selleks, et komisjon saaks keelduda GMOdele loa andmisest, kui apellatsioonikomitees ei ole saavutatud selle toetuseks liikmesriikide kvalifitseeritud häälteenamust, ei ole vaja õigusakte muuta</w:t>
      </w:r>
      <w:r w:rsidRPr="00A74A4F">
        <w:rPr>
          <w:rStyle w:val="FootnoteReference"/>
          <w:szCs w:val="24"/>
        </w:rPr>
        <w:footnoteReference w:id="9"/>
      </w:r>
      <w:r w:rsidRPr="00A74A4F">
        <w:t>;</w:t>
      </w:r>
    </w:p>
    <w:p w:rsidR="00701E37" w:rsidRPr="00A74A4F" w:rsidRDefault="00701E37" w:rsidP="00701E37">
      <w:pPr>
        <w:pStyle w:val="NormalHanging12a"/>
        <w:rPr>
          <w:szCs w:val="24"/>
        </w:rPr>
      </w:pPr>
      <w:r w:rsidRPr="00A74A4F">
        <w:t>R.</w:t>
      </w:r>
      <w:r w:rsidRPr="00A74A4F">
        <w:tab/>
      </w:r>
      <w:r w:rsidR="00BB7592" w:rsidRPr="00A74A4F">
        <w:rPr>
          <w:shd w:val="clear" w:color="auto" w:fill="FFFFFF"/>
        </w:rPr>
        <w:t>arvestades, et määruse (EÜ) </w:t>
      </w:r>
      <w:r w:rsidRPr="00A74A4F">
        <w:rPr>
          <w:shd w:val="clear" w:color="auto" w:fill="FFFFFF"/>
        </w:rPr>
        <w:t>nr 1829/2003 artiklis 35 osutatud alalises taime-, looma-, toidu- ja söödakomitees 17. septembril 2024 toimunud hääletuse tulemusel arvamust ei esitatud, mis tähendab seda, et loa andmise ettepanek ei saanud liikmesriikide kvalifitseeritud häälteenamust;</w:t>
      </w:r>
    </w:p>
    <w:p w:rsidR="00701E37" w:rsidRPr="00A74A4F" w:rsidRDefault="00701E37" w:rsidP="00701E37">
      <w:pPr>
        <w:pStyle w:val="NormalHanging12a"/>
        <w:rPr>
          <w:szCs w:val="24"/>
        </w:rPr>
      </w:pPr>
      <w:r w:rsidRPr="00A74A4F">
        <w:t>1.</w:t>
      </w:r>
      <w:r w:rsidRPr="00A74A4F">
        <w:tab/>
        <w:t>on seisukohal, et komisjoni rakendusots</w:t>
      </w:r>
      <w:r w:rsidR="00BB7592" w:rsidRPr="00A74A4F">
        <w:t>use eelnõu ületab määruses (EÜ) </w:t>
      </w:r>
      <w:r w:rsidRPr="00A74A4F">
        <w:t>nr 1829/2003 sätestatud rakendamisvolitusi;</w:t>
      </w:r>
    </w:p>
    <w:p w:rsidR="00701E37" w:rsidRPr="00A74A4F" w:rsidRDefault="00701E37" w:rsidP="00701E37">
      <w:pPr>
        <w:pStyle w:val="NormalHanging12a"/>
        <w:rPr>
          <w:szCs w:val="24"/>
        </w:rPr>
      </w:pPr>
      <w:r w:rsidRPr="00A74A4F">
        <w:t>2.</w:t>
      </w:r>
      <w:r w:rsidRPr="00A74A4F">
        <w:tab/>
        <w:t>on seisukohal, et komisjoni rakendusotsuse eelnõu on vastuolus liidu õigusega, sest se</w:t>
      </w:r>
      <w:r w:rsidR="00BB7592" w:rsidRPr="00A74A4F">
        <w:t>e ei ole kooskõlas määruse (EÜ) </w:t>
      </w:r>
      <w:r w:rsidRPr="00A74A4F">
        <w:t>nr 1829/2003 eesmärgiga, milleks Euroopa Parl</w:t>
      </w:r>
      <w:r w:rsidR="00BB7592" w:rsidRPr="00A74A4F">
        <w:t>amendi ja nõukogu määruses (EÜ) </w:t>
      </w:r>
      <w:r w:rsidRPr="00A74A4F">
        <w:t>nr 178/2002</w:t>
      </w:r>
      <w:r w:rsidRPr="00A74A4F">
        <w:rPr>
          <w:rStyle w:val="FootnoteReference"/>
          <w:szCs w:val="24"/>
        </w:rPr>
        <w:footnoteReference w:id="10"/>
      </w:r>
      <w:r w:rsidRPr="00A74A4F">
        <w:t xml:space="preserve"> sätestatud üldpõhimõtete kohaselt on luua alus inimeste elu ja tervise, loomade tervise ja heaolu ning keskkonna ja tarbijate huvide kaitse kõrge taseme tagamiseks seoses geneetiliselt muundatud toidu ja sööda kasutamisega ning tagada samal ajal ka siseturu tõhus toimimine;</w:t>
      </w:r>
    </w:p>
    <w:p w:rsidR="00701E37" w:rsidRPr="00A74A4F" w:rsidRDefault="00701E37" w:rsidP="00701E37">
      <w:pPr>
        <w:pStyle w:val="NormalHanging12a"/>
        <w:rPr>
          <w:szCs w:val="24"/>
        </w:rPr>
      </w:pPr>
      <w:r w:rsidRPr="00A74A4F">
        <w:t>3.</w:t>
      </w:r>
      <w:r w:rsidRPr="00A74A4F">
        <w:tab/>
        <w:t>palub komisjonil oma rakendusotsuse eelnõu tagas</w:t>
      </w:r>
      <w:r w:rsidR="00BB7592" w:rsidRPr="00A74A4F">
        <w:t>i võtta ja esitada komiteele uus</w:t>
      </w:r>
      <w:r w:rsidRPr="00A74A4F">
        <w:t xml:space="preserve"> </w:t>
      </w:r>
      <w:r w:rsidRPr="00A74A4F">
        <w:lastRenderedPageBreak/>
        <w:t>eelnõu;</w:t>
      </w:r>
    </w:p>
    <w:p w:rsidR="00701E37" w:rsidRPr="00A74A4F" w:rsidRDefault="00701E37" w:rsidP="00701E37">
      <w:pPr>
        <w:pStyle w:val="NormalHanging12a"/>
        <w:rPr>
          <w:szCs w:val="24"/>
        </w:rPr>
      </w:pPr>
      <w:r w:rsidRPr="00A74A4F">
        <w:t>4.</w:t>
      </w:r>
      <w:r w:rsidRPr="00A74A4F">
        <w:tab/>
        <w:t>väljendab heameelt, et komisjon tunnistas lõpuks oma 11. septembri 2020. aasta kirjas parlamendiliikmetele, et GMOde lubamise otsuste tegemisel on vaja arvesse võtta kestlikkust</w:t>
      </w:r>
      <w:r w:rsidRPr="00A74A4F">
        <w:rPr>
          <w:rStyle w:val="FootnoteReference"/>
          <w:szCs w:val="24"/>
        </w:rPr>
        <w:footnoteReference w:id="11"/>
      </w:r>
      <w:r w:rsidRPr="00A74A4F">
        <w:t>; väljendab siiski sügavat pettumust, et komisjon on sellest ajast saadik jätkanud lubade andmist GMOde liitu importimiseks, hoolimata Euroopa Parlamendi püsivast vastuseisust ja sellest, et enamik liikmesriike hääletab selle vastu;</w:t>
      </w:r>
    </w:p>
    <w:p w:rsidR="00701E37" w:rsidRPr="00A74A4F" w:rsidRDefault="00701E37" w:rsidP="00701E37">
      <w:pPr>
        <w:pStyle w:val="NormalHanging12a"/>
        <w:rPr>
          <w:szCs w:val="24"/>
        </w:rPr>
      </w:pPr>
      <w:r w:rsidRPr="00A74A4F">
        <w:t>5.</w:t>
      </w:r>
      <w:r w:rsidRPr="00A74A4F">
        <w:tab/>
        <w:t xml:space="preserve">nõuab veel kord tungivalt, et komisjon võtaks arvesse liidu kohustusi, mis tulenevad </w:t>
      </w:r>
      <w:r w:rsidR="00BB7592" w:rsidRPr="00A74A4F">
        <w:t xml:space="preserve">sellistest </w:t>
      </w:r>
      <w:r w:rsidRPr="00A74A4F">
        <w:t>rahvusvahelistest kokkulepetest nagu Pariisi kliimakokkulepe, ÜRO bioloogilise mitmekesisuse konventsioon ja ÜRO kestliku arengu eesmärgid; kordab oma nõudmist lisada rakendusaktide eelnõudele seletuskiri, milles selgitatakse, kuidas nendega järgitakse kahju mittetekitamise põhimõtet</w:t>
      </w:r>
      <w:r w:rsidRPr="00A74A4F">
        <w:rPr>
          <w:rStyle w:val="FootnoteReference"/>
          <w:szCs w:val="24"/>
        </w:rPr>
        <w:footnoteReference w:id="12"/>
      </w:r>
      <w:r w:rsidR="00BB7592" w:rsidRPr="00A74A4F">
        <w:t>;</w:t>
      </w:r>
    </w:p>
    <w:p w:rsidR="00E365E1" w:rsidRPr="00A74A4F" w:rsidRDefault="00701E37" w:rsidP="00FA2F1A">
      <w:pPr>
        <w:pStyle w:val="NormalHanging12a"/>
      </w:pPr>
      <w:r w:rsidRPr="00A74A4F">
        <w:t>6.</w:t>
      </w:r>
      <w:r w:rsidRPr="00A74A4F">
        <w:tab/>
        <w:t>teeb presidendile ülesandeks edastada käesolev resolutsioon nõukogule ja komisjonile ning liikmesriikide valitsustele ja parlamentidele.</w:t>
      </w:r>
    </w:p>
    <w:sectPr w:rsidR="00E365E1" w:rsidRPr="00A74A4F" w:rsidSect="002F08B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E88" w:rsidRPr="002F08B3" w:rsidRDefault="00000E88">
      <w:r w:rsidRPr="002F08B3">
        <w:separator/>
      </w:r>
    </w:p>
  </w:endnote>
  <w:endnote w:type="continuationSeparator" w:id="0">
    <w:p w:rsidR="00000E88" w:rsidRPr="002F08B3" w:rsidRDefault="00000E88">
      <w:r w:rsidRPr="002F08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08B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08B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08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E88" w:rsidRPr="002F08B3" w:rsidRDefault="00000E88">
      <w:r w:rsidRPr="002F08B3">
        <w:separator/>
      </w:r>
    </w:p>
  </w:footnote>
  <w:footnote w:type="continuationSeparator" w:id="0">
    <w:p w:rsidR="00000E88" w:rsidRPr="002F08B3" w:rsidRDefault="00000E88">
      <w:r w:rsidRPr="002F08B3">
        <w:continuationSeparator/>
      </w:r>
    </w:p>
  </w:footnote>
  <w:footnote w:id="1">
    <w:p w:rsidR="00701E37" w:rsidRPr="002F08B3" w:rsidRDefault="00701E37" w:rsidP="002F08B3">
      <w:pPr>
        <w:pStyle w:val="FootnoteText"/>
        <w:ind w:left="567" w:hanging="567"/>
        <w:rPr>
          <w:sz w:val="24"/>
          <w:lang w:val="et-EE"/>
        </w:rPr>
      </w:pPr>
      <w:r w:rsidRPr="002F08B3">
        <w:rPr>
          <w:rStyle w:val="FootnoteReference"/>
          <w:sz w:val="24"/>
          <w:lang w:val="et-EE"/>
        </w:rPr>
        <w:footnoteRef/>
      </w:r>
      <w:r w:rsidR="002F08B3" w:rsidRPr="002F08B3">
        <w:rPr>
          <w:sz w:val="24"/>
          <w:lang w:val="et-EE"/>
        </w:rPr>
        <w:tab/>
      </w:r>
      <w:r w:rsidR="00E85A5B">
        <w:rPr>
          <w:sz w:val="24"/>
          <w:lang w:val="et-EE"/>
        </w:rPr>
        <w:t>ELT L 268, 18.10.2003, lk </w:t>
      </w:r>
      <w:r w:rsidRPr="002F08B3">
        <w:rPr>
          <w:sz w:val="24"/>
          <w:lang w:val="et-EE"/>
        </w:rPr>
        <w:t>1, ELI:</w:t>
      </w:r>
      <w:r w:rsidR="00E85A5B">
        <w:rPr>
          <w:sz w:val="24"/>
          <w:lang w:val="et-EE"/>
        </w:rPr>
        <w:t> </w:t>
      </w:r>
      <w:hyperlink r:id="rId1" w:tooltip="Juurdepääs dokumendile ELI URI kaudu." w:history="1">
        <w:r w:rsidRPr="002F08B3">
          <w:rPr>
            <w:rStyle w:val="Hyperlink"/>
            <w:sz w:val="24"/>
            <w:lang w:val="et-EE"/>
          </w:rPr>
          <w:t>http://data.europa.eu/eli/reg/2003/1829/oj</w:t>
        </w:r>
      </w:hyperlink>
      <w:r w:rsidR="00FA2F1A">
        <w:rPr>
          <w:sz w:val="24"/>
          <w:lang w:val="et-EE"/>
        </w:rPr>
        <w:t>.</w:t>
      </w:r>
    </w:p>
  </w:footnote>
  <w:footnote w:id="2">
    <w:p w:rsidR="00701E37" w:rsidRPr="002F08B3" w:rsidRDefault="00701E37" w:rsidP="002F08B3">
      <w:pPr>
        <w:pStyle w:val="FootnoteText"/>
        <w:ind w:left="567" w:hanging="567"/>
        <w:rPr>
          <w:sz w:val="24"/>
          <w:lang w:val="et-EE"/>
        </w:rPr>
      </w:pPr>
      <w:r w:rsidRPr="002F08B3">
        <w:rPr>
          <w:rStyle w:val="FootnoteReference"/>
          <w:sz w:val="24"/>
          <w:lang w:val="et-EE"/>
        </w:rPr>
        <w:footnoteRef/>
      </w:r>
      <w:r w:rsidR="002F08B3" w:rsidRPr="002F08B3">
        <w:rPr>
          <w:sz w:val="24"/>
          <w:lang w:val="et-EE"/>
        </w:rPr>
        <w:tab/>
      </w:r>
      <w:r w:rsidR="00E85A5B">
        <w:rPr>
          <w:sz w:val="24"/>
          <w:lang w:val="et-EE"/>
        </w:rPr>
        <w:t>ELT L 55, 28.2.2011, lk </w:t>
      </w:r>
      <w:r w:rsidRPr="002F08B3">
        <w:rPr>
          <w:sz w:val="24"/>
          <w:lang w:val="et-EE"/>
        </w:rPr>
        <w:t>13, ELI:</w:t>
      </w:r>
      <w:r w:rsidR="00E85A5B">
        <w:rPr>
          <w:sz w:val="24"/>
          <w:lang w:val="et-EE"/>
        </w:rPr>
        <w:t> </w:t>
      </w:r>
      <w:hyperlink r:id="rId2" w:tooltip="Juurdepääs dokumendile ELI URI kaudu." w:history="1">
        <w:r w:rsidRPr="002F08B3">
          <w:rPr>
            <w:rStyle w:val="Hyperlink"/>
            <w:sz w:val="24"/>
            <w:lang w:val="et-EE"/>
          </w:rPr>
          <w:t>http://data.europa.eu/eli/reg/2011/182/oj</w:t>
        </w:r>
      </w:hyperlink>
      <w:r w:rsidR="00FA2F1A">
        <w:rPr>
          <w:sz w:val="24"/>
          <w:lang w:val="et-EE"/>
        </w:rPr>
        <w:t>.</w:t>
      </w:r>
    </w:p>
  </w:footnote>
  <w:footnote w:id="3">
    <w:p w:rsidR="00701E37" w:rsidRPr="002F08B3" w:rsidRDefault="00701E37" w:rsidP="002F08B3">
      <w:pPr>
        <w:pStyle w:val="FootnoteText"/>
        <w:ind w:left="567" w:hanging="567"/>
        <w:rPr>
          <w:sz w:val="24"/>
          <w:lang w:val="et-EE"/>
        </w:rPr>
      </w:pPr>
      <w:r w:rsidRPr="002F08B3">
        <w:rPr>
          <w:rStyle w:val="FootnoteReference"/>
          <w:sz w:val="24"/>
          <w:lang w:val="et-EE"/>
        </w:rPr>
        <w:footnoteRef/>
      </w:r>
      <w:r w:rsidR="002F08B3" w:rsidRPr="002F08B3">
        <w:rPr>
          <w:sz w:val="24"/>
          <w:lang w:val="et-EE"/>
        </w:rPr>
        <w:tab/>
      </w:r>
      <w:r w:rsidRPr="002F08B3">
        <w:rPr>
          <w:sz w:val="24"/>
          <w:lang w:val="et-EE"/>
        </w:rPr>
        <w:t>EFSA geneetiliselt muundatud organismide komisjoni teaduslik arvamus, mis käsitleb toiduks ja söödaks kasutatava ge</w:t>
      </w:r>
      <w:r w:rsidR="00E85A5B">
        <w:rPr>
          <w:sz w:val="24"/>
          <w:lang w:val="et-EE"/>
        </w:rPr>
        <w:t xml:space="preserve">neetiliselt muundatud maisi MON 94804 hindamist määruse </w:t>
      </w:r>
      <w:r w:rsidRPr="002F08B3">
        <w:rPr>
          <w:sz w:val="24"/>
          <w:lang w:val="et-EE"/>
        </w:rPr>
        <w:t>(EÜ) nr 1829/2003 alusel (taotlus</w:t>
      </w:r>
      <w:r w:rsidR="00E85A5B">
        <w:rPr>
          <w:sz w:val="24"/>
          <w:lang w:val="et-EE"/>
        </w:rPr>
        <w:t xml:space="preserve"> GMFF-2022-10651), EFSA </w:t>
      </w:r>
      <w:proofErr w:type="spellStart"/>
      <w:r w:rsidR="00E85A5B">
        <w:rPr>
          <w:sz w:val="24"/>
          <w:lang w:val="et-EE"/>
        </w:rPr>
        <w:t>Journal</w:t>
      </w:r>
      <w:proofErr w:type="spellEnd"/>
      <w:r w:rsidR="00E85A5B">
        <w:rPr>
          <w:sz w:val="24"/>
          <w:lang w:val="et-EE"/>
        </w:rPr>
        <w:t> </w:t>
      </w:r>
      <w:r w:rsidRPr="002F08B3">
        <w:rPr>
          <w:sz w:val="24"/>
          <w:lang w:val="et-EE"/>
        </w:rPr>
        <w:t xml:space="preserve">2024;22(4):8714, </w:t>
      </w:r>
      <w:hyperlink r:id="rId3" w:history="1">
        <w:r w:rsidRPr="002F08B3">
          <w:rPr>
            <w:rStyle w:val="Hyperlink"/>
            <w:sz w:val="24"/>
            <w:lang w:val="et-EE"/>
          </w:rPr>
          <w:t>https://doi.org/10.2903/j.efsa.2024.8714</w:t>
        </w:r>
      </w:hyperlink>
      <w:r w:rsidRPr="002F08B3">
        <w:rPr>
          <w:sz w:val="24"/>
          <w:lang w:val="et-EE"/>
        </w:rPr>
        <w:t>.</w:t>
      </w:r>
    </w:p>
  </w:footnote>
  <w:footnote w:id="4">
    <w:p w:rsidR="00701E37" w:rsidRPr="002F08B3" w:rsidRDefault="00701E37" w:rsidP="002F08B3">
      <w:pPr>
        <w:pStyle w:val="FootnoteText"/>
        <w:ind w:left="567" w:hanging="567"/>
        <w:rPr>
          <w:sz w:val="24"/>
          <w:lang w:val="et-EE"/>
        </w:rPr>
      </w:pPr>
      <w:r w:rsidRPr="002F08B3">
        <w:rPr>
          <w:rStyle w:val="FootnoteReference"/>
          <w:sz w:val="24"/>
          <w:lang w:val="et-EE"/>
        </w:rPr>
        <w:footnoteRef/>
      </w:r>
      <w:r w:rsidR="002F08B3" w:rsidRPr="002F08B3">
        <w:rPr>
          <w:color w:val="000000" w:themeColor="text1"/>
          <w:sz w:val="24"/>
          <w:lang w:val="et-EE"/>
        </w:rPr>
        <w:tab/>
      </w:r>
      <w:r w:rsidRPr="002F08B3">
        <w:rPr>
          <w:color w:val="000000" w:themeColor="text1"/>
          <w:sz w:val="24"/>
          <w:lang w:val="et-EE"/>
        </w:rPr>
        <w:t>Parlament võttis</w:t>
      </w:r>
      <w:r w:rsidR="00E85A5B">
        <w:rPr>
          <w:color w:val="000000" w:themeColor="text1"/>
          <w:sz w:val="24"/>
          <w:lang w:val="et-EE"/>
        </w:rPr>
        <w:t xml:space="preserve"> kaheksandal ametiajal vastu 36 </w:t>
      </w:r>
      <w:r w:rsidRPr="002F08B3">
        <w:rPr>
          <w:color w:val="000000" w:themeColor="text1"/>
          <w:sz w:val="24"/>
          <w:lang w:val="et-EE"/>
        </w:rPr>
        <w:t>resolutsi</w:t>
      </w:r>
      <w:r w:rsidR="00E85A5B">
        <w:rPr>
          <w:color w:val="000000" w:themeColor="text1"/>
          <w:sz w:val="24"/>
          <w:lang w:val="et-EE"/>
        </w:rPr>
        <w:t>ooni ja üheksandal ametiajal 38 </w:t>
      </w:r>
      <w:r w:rsidRPr="002F08B3">
        <w:rPr>
          <w:color w:val="000000" w:themeColor="text1"/>
          <w:sz w:val="24"/>
          <w:lang w:val="et-EE"/>
        </w:rPr>
        <w:t>resolutsiooni, milles väljendatakse</w:t>
      </w:r>
      <w:r w:rsidR="00E85A5B">
        <w:rPr>
          <w:color w:val="000000" w:themeColor="text1"/>
          <w:sz w:val="24"/>
          <w:lang w:val="et-EE"/>
        </w:rPr>
        <w:t xml:space="preserve"> vastuseisu</w:t>
      </w:r>
      <w:r w:rsidRPr="002F08B3">
        <w:rPr>
          <w:color w:val="000000" w:themeColor="text1"/>
          <w:sz w:val="24"/>
          <w:lang w:val="et-EE"/>
        </w:rPr>
        <w:t xml:space="preserve"> </w:t>
      </w:r>
      <w:proofErr w:type="spellStart"/>
      <w:r w:rsidRPr="002F08B3">
        <w:rPr>
          <w:color w:val="000000" w:themeColor="text1"/>
          <w:sz w:val="24"/>
          <w:lang w:val="et-EE"/>
        </w:rPr>
        <w:t>GMOde</w:t>
      </w:r>
      <w:proofErr w:type="spellEnd"/>
      <w:r w:rsidRPr="002F08B3">
        <w:rPr>
          <w:color w:val="000000" w:themeColor="text1"/>
          <w:sz w:val="24"/>
          <w:lang w:val="et-EE"/>
        </w:rPr>
        <w:t xml:space="preserve"> lubamisele.</w:t>
      </w:r>
    </w:p>
  </w:footnote>
  <w:footnote w:id="5">
    <w:p w:rsidR="00701E37" w:rsidRPr="002F08B3" w:rsidRDefault="00701E37" w:rsidP="002F08B3">
      <w:pPr>
        <w:pStyle w:val="FootnoteText"/>
        <w:ind w:left="567" w:hanging="567"/>
        <w:rPr>
          <w:sz w:val="24"/>
          <w:lang w:val="et-EE"/>
        </w:rPr>
      </w:pPr>
      <w:r w:rsidRPr="002F08B3">
        <w:rPr>
          <w:rStyle w:val="FootnoteReference"/>
          <w:sz w:val="24"/>
          <w:lang w:val="et-EE"/>
        </w:rPr>
        <w:footnoteRef/>
      </w:r>
      <w:r w:rsidR="002F08B3" w:rsidRPr="002F08B3">
        <w:rPr>
          <w:sz w:val="24"/>
          <w:lang w:val="et-EE"/>
        </w:rPr>
        <w:tab/>
      </w:r>
      <w:proofErr w:type="spellStart"/>
      <w:r w:rsidR="00BB7592">
        <w:rPr>
          <w:sz w:val="24"/>
          <w:lang w:val="et-EE"/>
        </w:rPr>
        <w:t>Dávalos</w:t>
      </w:r>
      <w:proofErr w:type="spellEnd"/>
      <w:r w:rsidR="00BB7592">
        <w:rPr>
          <w:sz w:val="24"/>
          <w:lang w:val="et-EE"/>
        </w:rPr>
        <w:t xml:space="preserve">, A., </w:t>
      </w:r>
      <w:proofErr w:type="spellStart"/>
      <w:r w:rsidR="00BB7592">
        <w:rPr>
          <w:sz w:val="24"/>
          <w:lang w:val="et-EE"/>
        </w:rPr>
        <w:t>Henriques</w:t>
      </w:r>
      <w:proofErr w:type="spellEnd"/>
      <w:r w:rsidR="00BB7592">
        <w:rPr>
          <w:sz w:val="24"/>
          <w:lang w:val="et-EE"/>
        </w:rPr>
        <w:t xml:space="preserve">, R., </w:t>
      </w:r>
      <w:proofErr w:type="spellStart"/>
      <w:r w:rsidR="00BB7592">
        <w:rPr>
          <w:sz w:val="24"/>
          <w:lang w:val="et-EE"/>
        </w:rPr>
        <w:t>Latasa</w:t>
      </w:r>
      <w:proofErr w:type="spellEnd"/>
      <w:r w:rsidR="00BB7592">
        <w:rPr>
          <w:sz w:val="24"/>
          <w:lang w:val="et-EE"/>
        </w:rPr>
        <w:t xml:space="preserve">, M. J., </w:t>
      </w:r>
      <w:proofErr w:type="spellStart"/>
      <w:r w:rsidR="00BB7592">
        <w:rPr>
          <w:sz w:val="24"/>
          <w:lang w:val="et-EE"/>
        </w:rPr>
        <w:t>Laparra</w:t>
      </w:r>
      <w:proofErr w:type="spellEnd"/>
      <w:r w:rsidR="00BB7592">
        <w:rPr>
          <w:sz w:val="24"/>
          <w:lang w:val="et-EE"/>
        </w:rPr>
        <w:t>, M., &amp; Coca, M. </w:t>
      </w:r>
      <w:r w:rsidRPr="002F08B3">
        <w:rPr>
          <w:sz w:val="24"/>
          <w:lang w:val="et-EE"/>
        </w:rPr>
        <w:t xml:space="preserve">(2019). </w:t>
      </w:r>
      <w:proofErr w:type="spellStart"/>
      <w:r w:rsidRPr="002F08B3">
        <w:rPr>
          <w:sz w:val="24"/>
          <w:lang w:val="et-EE"/>
        </w:rPr>
        <w:t>Literature</w:t>
      </w:r>
      <w:proofErr w:type="spellEnd"/>
      <w:r w:rsidRPr="002F08B3">
        <w:rPr>
          <w:sz w:val="24"/>
          <w:lang w:val="et-EE"/>
        </w:rPr>
        <w:t xml:space="preserve"> </w:t>
      </w:r>
      <w:proofErr w:type="spellStart"/>
      <w:r w:rsidRPr="002F08B3">
        <w:rPr>
          <w:sz w:val="24"/>
          <w:lang w:val="et-EE"/>
        </w:rPr>
        <w:t>review</w:t>
      </w:r>
      <w:proofErr w:type="spellEnd"/>
      <w:r w:rsidRPr="002F08B3">
        <w:rPr>
          <w:sz w:val="24"/>
          <w:lang w:val="et-EE"/>
        </w:rPr>
        <w:t xml:space="preserve"> of </w:t>
      </w:r>
      <w:proofErr w:type="spellStart"/>
      <w:r w:rsidRPr="002F08B3">
        <w:rPr>
          <w:sz w:val="24"/>
          <w:lang w:val="et-EE"/>
        </w:rPr>
        <w:t>baseline</w:t>
      </w:r>
      <w:proofErr w:type="spellEnd"/>
      <w:r w:rsidRPr="002F08B3">
        <w:rPr>
          <w:sz w:val="24"/>
          <w:lang w:val="et-EE"/>
        </w:rPr>
        <w:t xml:space="preserve"> </w:t>
      </w:r>
      <w:proofErr w:type="spellStart"/>
      <w:r w:rsidRPr="002F08B3">
        <w:rPr>
          <w:sz w:val="24"/>
          <w:lang w:val="et-EE"/>
        </w:rPr>
        <w:t>information</w:t>
      </w:r>
      <w:proofErr w:type="spellEnd"/>
      <w:r w:rsidRPr="002F08B3">
        <w:rPr>
          <w:sz w:val="24"/>
          <w:lang w:val="et-EE"/>
        </w:rPr>
        <w:t xml:space="preserve"> on non-</w:t>
      </w:r>
      <w:proofErr w:type="spellStart"/>
      <w:r w:rsidRPr="002F08B3">
        <w:rPr>
          <w:sz w:val="24"/>
          <w:lang w:val="et-EE"/>
        </w:rPr>
        <w:t>coding</w:t>
      </w:r>
      <w:proofErr w:type="spellEnd"/>
      <w:r w:rsidRPr="002F08B3">
        <w:rPr>
          <w:sz w:val="24"/>
          <w:lang w:val="et-EE"/>
        </w:rPr>
        <w:t xml:space="preserve"> RNA (</w:t>
      </w:r>
      <w:proofErr w:type="spellStart"/>
      <w:r w:rsidRPr="002F08B3">
        <w:rPr>
          <w:sz w:val="24"/>
          <w:lang w:val="et-EE"/>
        </w:rPr>
        <w:t>ncRNA</w:t>
      </w:r>
      <w:proofErr w:type="spellEnd"/>
      <w:r w:rsidRPr="002F08B3">
        <w:rPr>
          <w:sz w:val="24"/>
          <w:lang w:val="et-EE"/>
        </w:rPr>
        <w:t xml:space="preserve">) </w:t>
      </w:r>
      <w:proofErr w:type="spellStart"/>
      <w:r w:rsidRPr="002F08B3">
        <w:rPr>
          <w:sz w:val="24"/>
          <w:lang w:val="et-EE"/>
        </w:rPr>
        <w:t>to</w:t>
      </w:r>
      <w:proofErr w:type="spellEnd"/>
      <w:r w:rsidRPr="002F08B3">
        <w:rPr>
          <w:sz w:val="24"/>
          <w:lang w:val="et-EE"/>
        </w:rPr>
        <w:t xml:space="preserve"> </w:t>
      </w:r>
      <w:proofErr w:type="spellStart"/>
      <w:r w:rsidRPr="002F08B3">
        <w:rPr>
          <w:sz w:val="24"/>
          <w:lang w:val="et-EE"/>
        </w:rPr>
        <w:t>support</w:t>
      </w:r>
      <w:proofErr w:type="spellEnd"/>
      <w:r w:rsidRPr="002F08B3">
        <w:rPr>
          <w:sz w:val="24"/>
          <w:lang w:val="et-EE"/>
        </w:rPr>
        <w:t xml:space="preserve"> </w:t>
      </w:r>
      <w:proofErr w:type="spellStart"/>
      <w:r w:rsidRPr="002F08B3">
        <w:rPr>
          <w:sz w:val="24"/>
          <w:lang w:val="et-EE"/>
        </w:rPr>
        <w:t>the</w:t>
      </w:r>
      <w:proofErr w:type="spellEnd"/>
      <w:r w:rsidRPr="002F08B3">
        <w:rPr>
          <w:sz w:val="24"/>
          <w:lang w:val="et-EE"/>
        </w:rPr>
        <w:t xml:space="preserve"> risk </w:t>
      </w:r>
      <w:proofErr w:type="spellStart"/>
      <w:r w:rsidRPr="002F08B3">
        <w:rPr>
          <w:sz w:val="24"/>
          <w:lang w:val="et-EE"/>
        </w:rPr>
        <w:t>assessment</w:t>
      </w:r>
      <w:proofErr w:type="spellEnd"/>
      <w:r w:rsidRPr="002F08B3">
        <w:rPr>
          <w:sz w:val="24"/>
          <w:lang w:val="et-EE"/>
        </w:rPr>
        <w:t xml:space="preserve"> of </w:t>
      </w:r>
      <w:proofErr w:type="spellStart"/>
      <w:r w:rsidRPr="002F08B3">
        <w:rPr>
          <w:sz w:val="24"/>
          <w:lang w:val="et-EE"/>
        </w:rPr>
        <w:t>ncRNA-based</w:t>
      </w:r>
      <w:proofErr w:type="spellEnd"/>
      <w:r w:rsidRPr="002F08B3">
        <w:rPr>
          <w:sz w:val="24"/>
          <w:lang w:val="et-EE"/>
        </w:rPr>
        <w:t xml:space="preserve"> </w:t>
      </w:r>
      <w:proofErr w:type="spellStart"/>
      <w:r w:rsidRPr="002F08B3">
        <w:rPr>
          <w:sz w:val="24"/>
          <w:lang w:val="et-EE"/>
        </w:rPr>
        <w:t>genetically</w:t>
      </w:r>
      <w:proofErr w:type="spellEnd"/>
      <w:r w:rsidRPr="002F08B3">
        <w:rPr>
          <w:sz w:val="24"/>
          <w:lang w:val="et-EE"/>
        </w:rPr>
        <w:t xml:space="preserve"> </w:t>
      </w:r>
      <w:proofErr w:type="spellStart"/>
      <w:r w:rsidRPr="002F08B3">
        <w:rPr>
          <w:sz w:val="24"/>
          <w:lang w:val="et-EE"/>
        </w:rPr>
        <w:t>modified</w:t>
      </w:r>
      <w:proofErr w:type="spellEnd"/>
      <w:r w:rsidRPr="002F08B3">
        <w:rPr>
          <w:sz w:val="24"/>
          <w:lang w:val="et-EE"/>
        </w:rPr>
        <w:t xml:space="preserve"> </w:t>
      </w:r>
      <w:proofErr w:type="spellStart"/>
      <w:r w:rsidRPr="002F08B3">
        <w:rPr>
          <w:sz w:val="24"/>
          <w:lang w:val="et-EE"/>
        </w:rPr>
        <w:t>plants</w:t>
      </w:r>
      <w:proofErr w:type="spellEnd"/>
      <w:r w:rsidRPr="002F08B3">
        <w:rPr>
          <w:sz w:val="24"/>
          <w:lang w:val="et-EE"/>
        </w:rPr>
        <w:t xml:space="preserve"> </w:t>
      </w:r>
      <w:proofErr w:type="spellStart"/>
      <w:r w:rsidRPr="002F08B3">
        <w:rPr>
          <w:sz w:val="24"/>
          <w:lang w:val="et-EE"/>
        </w:rPr>
        <w:t>for</w:t>
      </w:r>
      <w:proofErr w:type="spellEnd"/>
      <w:r w:rsidRPr="002F08B3">
        <w:rPr>
          <w:sz w:val="24"/>
          <w:lang w:val="et-EE"/>
        </w:rPr>
        <w:t xml:space="preserve"> </w:t>
      </w:r>
      <w:proofErr w:type="spellStart"/>
      <w:r w:rsidRPr="002F08B3">
        <w:rPr>
          <w:sz w:val="24"/>
          <w:lang w:val="et-EE"/>
        </w:rPr>
        <w:t>food</w:t>
      </w:r>
      <w:proofErr w:type="spellEnd"/>
      <w:r w:rsidRPr="002F08B3">
        <w:rPr>
          <w:sz w:val="24"/>
          <w:lang w:val="et-EE"/>
        </w:rPr>
        <w:t xml:space="preserve"> and feed. (Kirjanduse ülevaade mittekodeeritavat RNAd (</w:t>
      </w:r>
      <w:proofErr w:type="spellStart"/>
      <w:r w:rsidRPr="002F08B3">
        <w:rPr>
          <w:sz w:val="24"/>
          <w:lang w:val="et-EE"/>
        </w:rPr>
        <w:t>ncRNA</w:t>
      </w:r>
      <w:proofErr w:type="spellEnd"/>
      <w:r w:rsidRPr="002F08B3">
        <w:rPr>
          <w:sz w:val="24"/>
          <w:lang w:val="et-EE"/>
        </w:rPr>
        <w:t xml:space="preserve">) käsitleva lähteteabe kohta, et toetada </w:t>
      </w:r>
      <w:proofErr w:type="spellStart"/>
      <w:r w:rsidRPr="002F08B3">
        <w:rPr>
          <w:sz w:val="24"/>
          <w:lang w:val="et-EE"/>
        </w:rPr>
        <w:t>ncRNA</w:t>
      </w:r>
      <w:proofErr w:type="spellEnd"/>
      <w:r w:rsidRPr="002F08B3">
        <w:rPr>
          <w:sz w:val="24"/>
          <w:lang w:val="et-EE"/>
        </w:rPr>
        <w:t xml:space="preserve">-põhiste geneetiliselt muundatud taimede toiduks ja söödaks kasutamise riskihindamist) EFSA </w:t>
      </w:r>
      <w:proofErr w:type="spellStart"/>
      <w:r w:rsidRPr="002F08B3">
        <w:rPr>
          <w:sz w:val="24"/>
          <w:lang w:val="et-EE"/>
        </w:rPr>
        <w:t>Supporting</w:t>
      </w:r>
      <w:proofErr w:type="spellEnd"/>
      <w:r w:rsidRPr="002F08B3">
        <w:rPr>
          <w:sz w:val="24"/>
          <w:lang w:val="et-EE"/>
        </w:rPr>
        <w:t xml:space="preserve"> </w:t>
      </w:r>
      <w:proofErr w:type="spellStart"/>
      <w:r w:rsidRPr="002F08B3">
        <w:rPr>
          <w:sz w:val="24"/>
          <w:lang w:val="et-EE"/>
        </w:rPr>
        <w:t>Publications</w:t>
      </w:r>
      <w:proofErr w:type="spellEnd"/>
      <w:r w:rsidRPr="002F08B3">
        <w:rPr>
          <w:sz w:val="24"/>
          <w:lang w:val="et-EE"/>
        </w:rPr>
        <w:t xml:space="preserve">, 16(8), EN-1688. </w:t>
      </w:r>
      <w:hyperlink r:id="rId4" w:history="1">
        <w:r w:rsidRPr="002F08B3">
          <w:rPr>
            <w:rStyle w:val="Hyperlink"/>
            <w:sz w:val="24"/>
            <w:lang w:val="et-EE"/>
          </w:rPr>
          <w:t>https://doi.org/10.2903/sp.efsa.2019.EN-1688</w:t>
        </w:r>
      </w:hyperlink>
      <w:r w:rsidRPr="002F08B3">
        <w:rPr>
          <w:rStyle w:val="Hyperlink"/>
          <w:sz w:val="24"/>
          <w:lang w:val="et-EE"/>
        </w:rPr>
        <w:t>.</w:t>
      </w:r>
    </w:p>
  </w:footnote>
  <w:footnote w:id="6">
    <w:p w:rsidR="00E85A5B" w:rsidRPr="002F08B3" w:rsidRDefault="00E85A5B" w:rsidP="00E85A5B">
      <w:pPr>
        <w:pStyle w:val="FootnoteText"/>
        <w:ind w:left="567" w:hanging="567"/>
        <w:rPr>
          <w:sz w:val="24"/>
          <w:szCs w:val="24"/>
          <w:lang w:val="et-EE"/>
        </w:rPr>
      </w:pPr>
      <w:r w:rsidRPr="002F08B3">
        <w:rPr>
          <w:rStyle w:val="FootnoteReference"/>
          <w:sz w:val="24"/>
          <w:lang w:val="et-EE"/>
        </w:rPr>
        <w:footnoteRef/>
      </w:r>
      <w:r w:rsidRPr="002F08B3">
        <w:rPr>
          <w:sz w:val="24"/>
          <w:lang w:val="et-EE"/>
        </w:rPr>
        <w:tab/>
        <w:t>EFSA geneetiliselt muundatud organismide komisjoni teaduslik arvamuse, mis käsitleb toiduks ja söödaks kasutatava ge</w:t>
      </w:r>
      <w:r w:rsidR="00BB7592">
        <w:rPr>
          <w:sz w:val="24"/>
          <w:lang w:val="et-EE"/>
        </w:rPr>
        <w:t xml:space="preserve">neetiliselt muundatud maisi MON 94804 hindamist määruse </w:t>
      </w:r>
      <w:r w:rsidRPr="002F08B3">
        <w:rPr>
          <w:sz w:val="24"/>
          <w:lang w:val="et-EE"/>
        </w:rPr>
        <w:t>(EÜ) nr 1829/2003 alus</w:t>
      </w:r>
      <w:r w:rsidR="00BB7592">
        <w:rPr>
          <w:sz w:val="24"/>
          <w:lang w:val="et-EE"/>
        </w:rPr>
        <w:t>el (taotlus GMFF-2022-10651) 8. </w:t>
      </w:r>
      <w:r w:rsidRPr="002F08B3">
        <w:rPr>
          <w:sz w:val="24"/>
          <w:lang w:val="et-EE"/>
        </w:rPr>
        <w:t xml:space="preserve">lisa, </w:t>
      </w:r>
      <w:r w:rsidR="00BB7592">
        <w:rPr>
          <w:sz w:val="24"/>
          <w:lang w:val="et-EE"/>
        </w:rPr>
        <w:t xml:space="preserve">EFSA </w:t>
      </w:r>
      <w:proofErr w:type="spellStart"/>
      <w:r w:rsidR="00BB7592">
        <w:rPr>
          <w:sz w:val="24"/>
          <w:lang w:val="et-EE"/>
        </w:rPr>
        <w:t>Journal</w:t>
      </w:r>
      <w:proofErr w:type="spellEnd"/>
      <w:r w:rsidR="00BB7592">
        <w:rPr>
          <w:sz w:val="24"/>
          <w:lang w:val="et-EE"/>
        </w:rPr>
        <w:t> </w:t>
      </w:r>
      <w:r w:rsidRPr="002F08B3">
        <w:rPr>
          <w:sz w:val="24"/>
          <w:lang w:val="et-EE"/>
        </w:rPr>
        <w:t xml:space="preserve">2024;22(4):8714, </w:t>
      </w:r>
      <w:hyperlink r:id="rId5" w:history="1">
        <w:r w:rsidRPr="002F08B3">
          <w:rPr>
            <w:rStyle w:val="Hyperlink"/>
            <w:sz w:val="24"/>
            <w:lang w:val="et-EE"/>
          </w:rPr>
          <w:t>https://doi.org/10.2903/j.efsa.2024.8714</w:t>
        </w:r>
      </w:hyperlink>
      <w:r w:rsidRPr="002F08B3">
        <w:rPr>
          <w:sz w:val="24"/>
          <w:lang w:val="et-EE"/>
        </w:rPr>
        <w:t>.</w:t>
      </w:r>
    </w:p>
  </w:footnote>
  <w:footnote w:id="7">
    <w:p w:rsidR="00701E37" w:rsidRPr="002F08B3" w:rsidRDefault="00701E37" w:rsidP="002F08B3">
      <w:pPr>
        <w:pStyle w:val="FootnoteText"/>
        <w:ind w:left="567" w:hanging="567"/>
        <w:rPr>
          <w:sz w:val="24"/>
          <w:lang w:val="et-EE"/>
        </w:rPr>
      </w:pPr>
      <w:r w:rsidRPr="002F08B3">
        <w:rPr>
          <w:rStyle w:val="FootnoteReference"/>
          <w:sz w:val="24"/>
          <w:lang w:val="et-EE"/>
        </w:rPr>
        <w:footnoteRef/>
      </w:r>
      <w:r w:rsidR="002F08B3" w:rsidRPr="002F08B3">
        <w:rPr>
          <w:sz w:val="24"/>
          <w:lang w:val="et-EE"/>
        </w:rPr>
        <w:tab/>
      </w:r>
      <w:hyperlink r:id="rId6" w:history="1">
        <w:r w:rsidRPr="002F08B3">
          <w:rPr>
            <w:rStyle w:val="Hyperlink"/>
            <w:sz w:val="24"/>
            <w:lang w:val="et-EE"/>
          </w:rPr>
          <w:t>https://commission.europa.eu/document/2c64e540-c07a-4376-a1da-368d289f4afe_en</w:t>
        </w:r>
      </w:hyperlink>
    </w:p>
  </w:footnote>
  <w:footnote w:id="8">
    <w:p w:rsidR="00701E37" w:rsidRPr="002F08B3" w:rsidRDefault="00701E37" w:rsidP="002F08B3">
      <w:pPr>
        <w:pStyle w:val="FootnoteText"/>
        <w:ind w:left="567" w:hanging="567"/>
        <w:rPr>
          <w:sz w:val="24"/>
          <w:lang w:val="et-EE"/>
        </w:rPr>
      </w:pPr>
      <w:r w:rsidRPr="002F08B3">
        <w:rPr>
          <w:rStyle w:val="FootnoteReference"/>
          <w:sz w:val="24"/>
          <w:lang w:val="et-EE"/>
        </w:rPr>
        <w:footnoteRef/>
      </w:r>
      <w:r w:rsidR="002F08B3" w:rsidRPr="002F08B3">
        <w:rPr>
          <w:sz w:val="24"/>
          <w:lang w:val="et-EE"/>
        </w:rPr>
        <w:tab/>
      </w:r>
      <w:hyperlink r:id="rId7" w:history="1">
        <w:r w:rsidRPr="002F08B3">
          <w:rPr>
            <w:rStyle w:val="Hyperlink"/>
            <w:sz w:val="24"/>
            <w:lang w:val="et-EE"/>
          </w:rPr>
          <w:t>https://efsa.onlinelibrary.wiley.com/action/downloadSupplement?doi=10.2903%2Fj.‌efsa.2024.8714&amp;file=efs28714-sup-0008-Annex8.pdf</w:t>
        </w:r>
      </w:hyperlink>
    </w:p>
  </w:footnote>
  <w:footnote w:id="9">
    <w:p w:rsidR="00701E37" w:rsidRPr="002F08B3" w:rsidRDefault="00701E37" w:rsidP="002F08B3">
      <w:pPr>
        <w:pStyle w:val="sdfootnote-western"/>
        <w:spacing w:before="0" w:beforeAutospacing="0"/>
        <w:ind w:left="567" w:hanging="567"/>
        <w:rPr>
          <w:rFonts w:ascii="Times New Roman" w:hAnsi="Times New Roman"/>
          <w:color w:val="auto"/>
          <w:sz w:val="24"/>
        </w:rPr>
      </w:pPr>
      <w:r w:rsidRPr="002F08B3">
        <w:rPr>
          <w:rStyle w:val="FootnoteReference"/>
          <w:rFonts w:ascii="Times New Roman" w:hAnsi="Times New Roman"/>
          <w:sz w:val="24"/>
        </w:rPr>
        <w:footnoteRef/>
      </w:r>
      <w:r w:rsidR="002F08B3" w:rsidRPr="002F08B3">
        <w:rPr>
          <w:rFonts w:ascii="Times New Roman" w:hAnsi="Times New Roman"/>
          <w:sz w:val="24"/>
        </w:rPr>
        <w:tab/>
      </w:r>
      <w:r w:rsidRPr="002F08B3">
        <w:rPr>
          <w:rFonts w:ascii="Times New Roman" w:hAnsi="Times New Roman"/>
          <w:sz w:val="24"/>
        </w:rPr>
        <w:t>Määruse (EL)</w:t>
      </w:r>
      <w:r w:rsidR="000F486D">
        <w:rPr>
          <w:rFonts w:ascii="Times New Roman" w:hAnsi="Times New Roman"/>
          <w:sz w:val="24"/>
        </w:rPr>
        <w:t xml:space="preserve"> nr</w:t>
      </w:r>
      <w:bookmarkStart w:id="7" w:name="_GoBack"/>
      <w:bookmarkEnd w:id="7"/>
      <w:r w:rsidRPr="002F08B3">
        <w:rPr>
          <w:rFonts w:ascii="Times New Roman" w:hAnsi="Times New Roman"/>
          <w:sz w:val="24"/>
        </w:rPr>
        <w:t> 182/2011 artikli 6 lõike 3 kohaselt võib komisjon loa anda, kuid ei pea seda tegema, kui apellatsioonikomitees ei ole selle toetuseks saavutatud liikmesriikide kvalifitseeritud häälteenamust.</w:t>
      </w:r>
    </w:p>
  </w:footnote>
  <w:footnote w:id="10">
    <w:p w:rsidR="00701E37" w:rsidRPr="002F08B3" w:rsidRDefault="00701E37" w:rsidP="002F08B3">
      <w:pPr>
        <w:pStyle w:val="FootnoteText"/>
        <w:ind w:left="567" w:hanging="567"/>
        <w:rPr>
          <w:sz w:val="24"/>
          <w:lang w:val="et-EE"/>
        </w:rPr>
      </w:pPr>
      <w:r w:rsidRPr="002F08B3">
        <w:rPr>
          <w:rStyle w:val="FootnoteReference"/>
          <w:sz w:val="24"/>
          <w:lang w:val="et-EE"/>
        </w:rPr>
        <w:footnoteRef/>
      </w:r>
      <w:r w:rsidR="002F08B3" w:rsidRPr="002F08B3">
        <w:rPr>
          <w:sz w:val="24"/>
          <w:lang w:val="et-EE"/>
        </w:rPr>
        <w:tab/>
      </w:r>
      <w:r w:rsidRPr="002F08B3">
        <w:rPr>
          <w:sz w:val="24"/>
          <w:lang w:val="et-EE"/>
        </w:rPr>
        <w:t xml:space="preserve">Euroopa Parlamendi ja nõukogu 28. jaanuari </w:t>
      </w:r>
      <w:r w:rsidR="00BB7592">
        <w:rPr>
          <w:sz w:val="24"/>
          <w:lang w:val="et-EE"/>
        </w:rPr>
        <w:t>2002. aasta määrus (EÜ) </w:t>
      </w:r>
      <w:r w:rsidRPr="002F08B3">
        <w:rPr>
          <w:sz w:val="24"/>
          <w:lang w:val="et-EE"/>
        </w:rPr>
        <w:t>nr 178/2002, millega sätestatakse toidualaste õigusnormide üldised põhimõtted ja nõuded, asutatakse Euroopa Toiduohutusamet ja kehtestatakse toidu ohutusega seotud menetlused (EÜT L 31, 1.2.2002, lk 1, ELI: </w:t>
      </w:r>
      <w:hyperlink r:id="rId8" w:tooltip="Juurdepääs dokumendile ELI URI kaudu." w:history="1">
        <w:r w:rsidRPr="002F08B3">
          <w:rPr>
            <w:rStyle w:val="Hyperlink"/>
            <w:sz w:val="24"/>
            <w:lang w:val="et-EE"/>
          </w:rPr>
          <w:t>http://data.europa.eu/eli/reg/2002/178/oj</w:t>
        </w:r>
      </w:hyperlink>
      <w:r w:rsidRPr="002F08B3">
        <w:rPr>
          <w:sz w:val="24"/>
          <w:lang w:val="et-EE"/>
        </w:rPr>
        <w:t>).</w:t>
      </w:r>
    </w:p>
  </w:footnote>
  <w:footnote w:id="11">
    <w:p w:rsidR="00701E37" w:rsidRPr="002F08B3" w:rsidRDefault="00701E37" w:rsidP="002F08B3">
      <w:pPr>
        <w:pStyle w:val="FootnoteText"/>
        <w:ind w:left="567" w:hanging="567"/>
        <w:rPr>
          <w:sz w:val="24"/>
          <w:lang w:val="et-EE"/>
        </w:rPr>
      </w:pPr>
      <w:r w:rsidRPr="002F08B3">
        <w:rPr>
          <w:rStyle w:val="FootnoteReference"/>
          <w:sz w:val="24"/>
          <w:lang w:val="et-EE"/>
        </w:rPr>
        <w:footnoteRef/>
      </w:r>
      <w:r w:rsidR="002F08B3" w:rsidRPr="002F08B3">
        <w:rPr>
          <w:sz w:val="24"/>
          <w:lang w:val="et-EE"/>
        </w:rPr>
        <w:tab/>
      </w:r>
      <w:hyperlink r:id="rId9" w:history="1">
        <w:r w:rsidRPr="002F08B3">
          <w:rPr>
            <w:rStyle w:val="Hyperlink"/>
            <w:sz w:val="24"/>
            <w:lang w:val="et-EE"/>
          </w:rPr>
          <w:t>https://tillymetz.lu/wp-content/uploads/2020/09/Co-signed-letter-MEP-Metz.pdf</w:t>
        </w:r>
      </w:hyperlink>
    </w:p>
  </w:footnote>
  <w:footnote w:id="12">
    <w:p w:rsidR="00701E37" w:rsidRPr="002F08B3" w:rsidRDefault="00701E37" w:rsidP="002F08B3">
      <w:pPr>
        <w:pStyle w:val="FootnoteText"/>
        <w:ind w:left="567" w:hanging="567"/>
        <w:rPr>
          <w:sz w:val="24"/>
          <w:lang w:val="et-EE"/>
        </w:rPr>
      </w:pPr>
      <w:r w:rsidRPr="002F08B3">
        <w:rPr>
          <w:rStyle w:val="FootnoteReference"/>
          <w:sz w:val="24"/>
          <w:lang w:val="et-EE"/>
        </w:rPr>
        <w:footnoteRef/>
      </w:r>
      <w:r w:rsidR="002F08B3" w:rsidRPr="002F08B3">
        <w:rPr>
          <w:sz w:val="24"/>
          <w:lang w:val="et-EE"/>
        </w:rPr>
        <w:tab/>
      </w:r>
      <w:r w:rsidRPr="002F08B3">
        <w:rPr>
          <w:sz w:val="24"/>
          <w:lang w:val="et-EE"/>
        </w:rPr>
        <w:t>Euroopa Parlamendi 15. jaanuari 2020. aasta resolutsioon Euroopa rohelise kokkuleppe kohta (ELT C 270, 7.7.2021, lk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08B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08B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08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3/2024"/>
    <w:docVar w:name="dvlangue" w:val="ET"/>
    <w:docVar w:name="dvnumam" w:val="0"/>
    <w:docVar w:name="dvpe" w:val="763.294"/>
    <w:docVar w:name="dvtitre" w:val="Euroopa Parlamendi .... 2024. aasta resolutsioon komisjoni rakendusotsuse eelnõu kohta, millega lubatakse viia turule geneetiliselt muundatud MON 94804 sisaldavaid, sellest koosnevaid või sellest toodetud tooteid vastavalt Euroopa Parlamendi ja nõukogu määrusele (EÜ) nr 1829/2003(D099729/02 – 2024/2841(RSP))"/>
  </w:docVars>
  <w:rsids>
    <w:rsidRoot w:val="00000E88"/>
    <w:rsid w:val="00000E88"/>
    <w:rsid w:val="00002272"/>
    <w:rsid w:val="00064002"/>
    <w:rsid w:val="000677B9"/>
    <w:rsid w:val="000831BA"/>
    <w:rsid w:val="000A42CC"/>
    <w:rsid w:val="000E1E3D"/>
    <w:rsid w:val="000E7DD9"/>
    <w:rsid w:val="000F486D"/>
    <w:rsid w:val="0010095E"/>
    <w:rsid w:val="00125B37"/>
    <w:rsid w:val="00187494"/>
    <w:rsid w:val="001F32AE"/>
    <w:rsid w:val="002767FF"/>
    <w:rsid w:val="002B18FE"/>
    <w:rsid w:val="002B5493"/>
    <w:rsid w:val="002F08B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1E3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4A4F"/>
    <w:rsid w:val="00A778C7"/>
    <w:rsid w:val="00AB441E"/>
    <w:rsid w:val="00AB6293"/>
    <w:rsid w:val="00AE0928"/>
    <w:rsid w:val="00AF3B82"/>
    <w:rsid w:val="00B12E95"/>
    <w:rsid w:val="00B22876"/>
    <w:rsid w:val="00B558F0"/>
    <w:rsid w:val="00BB7592"/>
    <w:rsid w:val="00BD48FE"/>
    <w:rsid w:val="00BD7BD8"/>
    <w:rsid w:val="00BE6ADC"/>
    <w:rsid w:val="00C05BFE"/>
    <w:rsid w:val="00C23CD4"/>
    <w:rsid w:val="00C61C0C"/>
    <w:rsid w:val="00C73555"/>
    <w:rsid w:val="00C941CB"/>
    <w:rsid w:val="00CC2357"/>
    <w:rsid w:val="00CF071A"/>
    <w:rsid w:val="00D058B8"/>
    <w:rsid w:val="00D56C11"/>
    <w:rsid w:val="00D834A0"/>
    <w:rsid w:val="00D872DF"/>
    <w:rsid w:val="00D91E21"/>
    <w:rsid w:val="00DA7FCD"/>
    <w:rsid w:val="00E365E1"/>
    <w:rsid w:val="00E820A4"/>
    <w:rsid w:val="00E85A5B"/>
    <w:rsid w:val="00EB006A"/>
    <w:rsid w:val="00EB4772"/>
    <w:rsid w:val="00ED169E"/>
    <w:rsid w:val="00ED4235"/>
    <w:rsid w:val="00ED492C"/>
    <w:rsid w:val="00F04346"/>
    <w:rsid w:val="00F075DC"/>
    <w:rsid w:val="00F149E9"/>
    <w:rsid w:val="00F5134D"/>
    <w:rsid w:val="00F74202"/>
    <w:rsid w:val="00F87713"/>
    <w:rsid w:val="00FA2F1A"/>
    <w:rsid w:val="00FB4360"/>
    <w:rsid w:val="00FD0C70"/>
    <w:rsid w:val="00FF741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9B99FC"/>
  <w15:chartTrackingRefBased/>
  <w15:docId w15:val="{FAF8815B-5DE7-4914-8C30-FD6296D69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01E37"/>
    <w:pPr>
      <w:spacing w:before="480" w:after="240"/>
    </w:pPr>
  </w:style>
  <w:style w:type="paragraph" w:customStyle="1" w:styleId="NormalHanging12a">
    <w:name w:val="NormalHanging12a"/>
    <w:basedOn w:val="Normal"/>
    <w:rsid w:val="00701E37"/>
    <w:pPr>
      <w:spacing w:after="240"/>
      <w:ind w:left="567" w:hanging="567"/>
    </w:pPr>
  </w:style>
  <w:style w:type="character" w:styleId="Hyperlink">
    <w:name w:val="Hyperlink"/>
    <w:basedOn w:val="DefaultParagraphFont"/>
    <w:uiPriority w:val="99"/>
    <w:rsid w:val="00701E37"/>
    <w:rPr>
      <w:color w:val="0563C1" w:themeColor="hyperlink"/>
      <w:u w:val="single"/>
    </w:rPr>
  </w:style>
  <w:style w:type="paragraph" w:customStyle="1" w:styleId="sdfootnote-western">
    <w:name w:val="sdfootnote-western"/>
    <w:basedOn w:val="Normal"/>
    <w:rsid w:val="00701E37"/>
    <w:pPr>
      <w:widowControl/>
      <w:spacing w:before="100" w:beforeAutospacing="1"/>
      <w:ind w:left="346" w:hanging="346"/>
    </w:pPr>
    <w:rPr>
      <w:rFonts w:ascii="Calibri" w:hAnsi="Calibri"/>
      <w:color w:val="000000"/>
      <w:sz w:val="20"/>
    </w:rPr>
  </w:style>
  <w:style w:type="paragraph" w:styleId="BalloonText">
    <w:name w:val="Balloon Text"/>
    <w:basedOn w:val="Normal"/>
    <w:link w:val="BalloonTextChar"/>
    <w:rsid w:val="00FA2F1A"/>
    <w:rPr>
      <w:rFonts w:ascii="Segoe UI" w:hAnsi="Segoe UI" w:cs="Segoe UI"/>
      <w:sz w:val="18"/>
      <w:szCs w:val="18"/>
    </w:rPr>
  </w:style>
  <w:style w:type="character" w:customStyle="1" w:styleId="BalloonTextChar">
    <w:name w:val="Balloon Text Char"/>
    <w:basedOn w:val="DefaultParagraphFont"/>
    <w:link w:val="BalloonText"/>
    <w:rsid w:val="00FA2F1A"/>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2/178/oj" TargetMode="External"/><Relationship Id="rId3" Type="http://schemas.openxmlformats.org/officeDocument/2006/relationships/hyperlink" Target="https://doi.org/10.2903/j.efsa.2024.8714" TargetMode="External"/><Relationship Id="rId7" Type="http://schemas.openxmlformats.org/officeDocument/2006/relationships/hyperlink" Target="https://efsa.onlinelibrary.wiley.com/action/downloadSupplement?doi=10.2903/j.efsa.2024.8714&amp;file=efs28714-sup-0008-Annex8.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s://commission.europa.eu/document/2c64e540-c07a-4376-a1da-368d289f4afe_en" TargetMode="External"/><Relationship Id="rId5" Type="http://schemas.openxmlformats.org/officeDocument/2006/relationships/hyperlink" Target="https://doi.org/10.2903/j.efsa.2024.8714" TargetMode="External"/><Relationship Id="rId4" Type="http://schemas.openxmlformats.org/officeDocument/2006/relationships/hyperlink" Target="https://doi.org/10.2903/sp.efsa.2019.EN-1688" TargetMode="External"/><Relationship Id="rId9"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1E5E0-A3A7-41E2-AAE1-7E29B38A7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1174</Words>
  <Characters>8478</Characters>
  <Application>Microsoft Office Word</Application>
  <DocSecurity>0</DocSecurity>
  <Lines>169</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LÄÄS Maarja</cp:lastModifiedBy>
  <cp:revision>2</cp:revision>
  <cp:lastPrinted>2004-11-19T15:42:00Z</cp:lastPrinted>
  <dcterms:created xsi:type="dcterms:W3CDTF">2024-12-17T10:40:00Z</dcterms:created>
  <dcterms:modified xsi:type="dcterms:W3CDTF">2024-12-17T10:40:00Z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B10-0153/2024</vt:lpwstr>
  </property>
  <property fmtid="{D5CDD505-2E9C-101B-9397-08002B2CF9AE}" pid="4" name="&lt;Type&gt;">
    <vt:lpwstr>RR</vt:lpwstr>
  </property>
</Properties>
</file>