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660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6600" w:rsidRDefault="00111C74" w:rsidP="0010095E">
            <w:pPr>
              <w:pStyle w:val="EPName"/>
            </w:pPr>
            <w:bookmarkStart w:id="0" w:name="_GoBack" w:colFirst="1" w:colLast="1"/>
            <w:r w:rsidRPr="00B06600">
              <w:t>Európai Parlament</w:t>
            </w:r>
          </w:p>
          <w:p w:rsidR="00751A4A" w:rsidRPr="00B0660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6600">
              <w:t>2024</w:t>
            </w:r>
            <w:r w:rsidR="00817416" w:rsidRPr="00B06600">
              <w:t>-202</w:t>
            </w:r>
            <w:r w:rsidRPr="00B0660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06600" w:rsidRDefault="00187494" w:rsidP="0010095E">
            <w:pPr>
              <w:pStyle w:val="EPLogo"/>
            </w:pPr>
            <w:r w:rsidRPr="00B0660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D058B8" w:rsidRPr="00B06600" w:rsidRDefault="00D058B8" w:rsidP="004C5D52">
      <w:pPr>
        <w:pStyle w:val="LineTop"/>
      </w:pPr>
    </w:p>
    <w:p w:rsidR="00680577" w:rsidRPr="00B06600" w:rsidRDefault="00111C74" w:rsidP="00680577">
      <w:pPr>
        <w:pStyle w:val="EPBodyTA1"/>
      </w:pPr>
      <w:r w:rsidRPr="00B06600">
        <w:t>ELFOGADOTT SZÖVEGEK</w:t>
      </w:r>
    </w:p>
    <w:p w:rsidR="00D058B8" w:rsidRPr="00B06600" w:rsidRDefault="00D058B8" w:rsidP="00D058B8">
      <w:pPr>
        <w:pStyle w:val="LineBottom"/>
      </w:pPr>
    </w:p>
    <w:p w:rsidR="00111C74" w:rsidRPr="00296D37" w:rsidRDefault="00111C74" w:rsidP="00111C74">
      <w:pPr>
        <w:pStyle w:val="ATHeading1"/>
      </w:pPr>
      <w:bookmarkStart w:id="1" w:name="TANumber"/>
      <w:r w:rsidRPr="00296D37">
        <w:t>P10_</w:t>
      </w:r>
      <w:proofErr w:type="gramStart"/>
      <w:r w:rsidRPr="00296D37">
        <w:t>TA(</w:t>
      </w:r>
      <w:proofErr w:type="gramEnd"/>
      <w:r w:rsidRPr="00296D37">
        <w:t>2024)00</w:t>
      </w:r>
      <w:r w:rsidR="00296D37" w:rsidRPr="00296D37">
        <w:t>45</w:t>
      </w:r>
      <w:bookmarkEnd w:id="1"/>
    </w:p>
    <w:p w:rsidR="00111C74" w:rsidRPr="00296D37" w:rsidRDefault="000E5D5F" w:rsidP="00A435E6">
      <w:pPr>
        <w:pStyle w:val="ATHeading2"/>
      </w:pPr>
      <w:r w:rsidRPr="00296D37">
        <w:t xml:space="preserve">A </w:t>
      </w:r>
      <w:r w:rsidR="00A435E6" w:rsidRPr="00296D37">
        <w:t>géntechnológiával módosított MON 94804 kukorica</w:t>
      </w:r>
    </w:p>
    <w:p w:rsidR="00111C74" w:rsidRPr="00296D37" w:rsidRDefault="00111C74" w:rsidP="00111C74">
      <w:pPr>
        <w:rPr>
          <w:i/>
          <w:vanish/>
        </w:rPr>
      </w:pPr>
      <w:r w:rsidRPr="00296D37">
        <w:rPr>
          <w:i/>
        </w:rPr>
        <w:fldChar w:fldCharType="begin"/>
      </w:r>
      <w:r w:rsidRPr="00296D37">
        <w:rPr>
          <w:i/>
        </w:rPr>
        <w:instrText xml:space="preserve"> TC"(</w:instrText>
      </w:r>
      <w:bookmarkStart w:id="2" w:name="DocNumber"/>
      <w:r w:rsidRPr="00296D37">
        <w:rPr>
          <w:i/>
        </w:rPr>
        <w:instrText>B10-0153/2024</w:instrText>
      </w:r>
      <w:bookmarkEnd w:id="2"/>
      <w:r w:rsidRPr="00296D37">
        <w:rPr>
          <w:i/>
        </w:rPr>
        <w:instrText xml:space="preserve">)"\l3 \n&gt; \* MERGEFORMAT </w:instrText>
      </w:r>
      <w:r w:rsidRPr="00296D37">
        <w:rPr>
          <w:i/>
        </w:rPr>
        <w:fldChar w:fldCharType="end"/>
      </w:r>
    </w:p>
    <w:p w:rsidR="00111C74" w:rsidRPr="00296D37" w:rsidRDefault="00111C74" w:rsidP="00111C74">
      <w:pPr>
        <w:rPr>
          <w:vanish/>
        </w:rPr>
      </w:pPr>
      <w:bookmarkStart w:id="3" w:name="PE"/>
      <w:r w:rsidRPr="00296D37">
        <w:rPr>
          <w:vanish/>
        </w:rPr>
        <w:t>PE763.294</w:t>
      </w:r>
      <w:bookmarkEnd w:id="3"/>
    </w:p>
    <w:p w:rsidR="00111C74" w:rsidRPr="00296D37" w:rsidRDefault="00111C74" w:rsidP="00111C74">
      <w:pPr>
        <w:pStyle w:val="ATHeading3"/>
      </w:pPr>
      <w:bookmarkStart w:id="4" w:name="Sujet"/>
      <w:r w:rsidRPr="00296D37">
        <w:t xml:space="preserve">Az Európai Parlament 2024. </w:t>
      </w:r>
      <w:r w:rsidR="00AF333B" w:rsidRPr="00296D37">
        <w:t xml:space="preserve">november </w:t>
      </w:r>
      <w:r w:rsidR="000E5D5F" w:rsidRPr="00296D37">
        <w:t>26-</w:t>
      </w:r>
      <w:r w:rsidRPr="00296D37">
        <w:t>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</w:t>
      </w:r>
      <w:bookmarkEnd w:id="4"/>
      <w:r w:rsidRPr="00296D37">
        <w:t xml:space="preserve"> </w:t>
      </w:r>
      <w:bookmarkStart w:id="5" w:name="References"/>
      <w:r w:rsidRPr="00296D37">
        <w:t>(D099729/02 – 2024/</w:t>
      </w:r>
      <w:proofErr w:type="gramStart"/>
      <w:r w:rsidRPr="00296D37">
        <w:t>2841(</w:t>
      </w:r>
      <w:proofErr w:type="gramEnd"/>
      <w:r w:rsidRPr="00296D37">
        <w:t>RSP))</w:t>
      </w:r>
      <w:bookmarkEnd w:id="5"/>
    </w:p>
    <w:p w:rsidR="00FA7616" w:rsidRPr="00B06600" w:rsidRDefault="00FA7616" w:rsidP="00FA7616">
      <w:pPr>
        <w:pStyle w:val="EPComma"/>
      </w:pPr>
      <w:bookmarkStart w:id="6" w:name="TextBodyBegin"/>
      <w:bookmarkEnd w:id="6"/>
      <w:r w:rsidRPr="00B06600">
        <w:rPr>
          <w:i/>
        </w:rPr>
        <w:t>Az Európai Parlament,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</w:r>
      <w:proofErr w:type="gramStart"/>
      <w:r w:rsidRPr="00B06600">
        <w:t>tekintettel</w:t>
      </w:r>
      <w:proofErr w:type="gramEnd"/>
      <w:r w:rsidRPr="00B06600">
        <w:t xml:space="preserve">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tervezetére (D099729/02),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</w:r>
      <w:proofErr w:type="gramStart"/>
      <w:r w:rsidRPr="00B06600">
        <w:t>tekintettel</w:t>
      </w:r>
      <w:proofErr w:type="gramEnd"/>
      <w:r w:rsidRPr="00B06600">
        <w:t xml:space="preserve"> a géntechnológiával módosított élelmiszerekről és takarmányokról szóló, 2003. szeptember 22-i 1829/2003/EK európai parlamenti és tanácsi rendeletre</w:t>
      </w:r>
      <w:r w:rsidRPr="00B06600">
        <w:rPr>
          <w:rStyle w:val="FootnoteReference"/>
          <w:szCs w:val="24"/>
        </w:rPr>
        <w:footnoteReference w:id="1"/>
      </w:r>
      <w:r w:rsidRPr="00B06600">
        <w:t>, és különösen 7. cikkének (3) bekezdésére és 19. cikkének (3) bekezdésére,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  <w:t xml:space="preserve">tekintettel </w:t>
      </w:r>
      <w:r w:rsidRPr="00B06600">
        <w:rPr>
          <w:shd w:val="clear" w:color="auto" w:fill="FFFFFF"/>
        </w:rPr>
        <w:t>az 1829/2003/EK rendelet 35. cikkében említett Növények, Állatok, Élelmiszerek és Takarmányok Állandó Bizottságának 2024. szeptember 17-i szavazására, ahol nem nyilvánítottak véleményt</w:t>
      </w:r>
      <w:r w:rsidRPr="00B06600">
        <w:t>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  <w:t>tekintettel a Bizottság végrehajtási hatásköreinek gyakorlására vonatkozó tagállami ellenőrzési mechanizmusok szabályainak és általános elveinek megállapításáról szóló, 2011. február 16-i 182/2011/EU európai parlamenti és tanácsi rendelet 11. cikkére</w:t>
      </w:r>
      <w:r w:rsidRPr="00B06600">
        <w:rPr>
          <w:rStyle w:val="FootnoteReference"/>
          <w:szCs w:val="24"/>
        </w:rPr>
        <w:footnoteReference w:id="2"/>
      </w:r>
      <w:r w:rsidRPr="00B06600">
        <w:t>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  <w:t>tekintettel az Európai Élelmiszerbiztonsági Hatóság (EFSA) által 2024. március 13-án elfogadott és 2024. április 26-án közzétett véleményre</w:t>
      </w:r>
      <w:r w:rsidRPr="00B06600">
        <w:rPr>
          <w:rStyle w:val="FootnoteReference"/>
          <w:szCs w:val="24"/>
        </w:rPr>
        <w:footnoteReference w:id="3"/>
      </w:r>
      <w:r w:rsidRPr="00B06600">
        <w:t>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rPr>
          <w:rFonts w:ascii="Symbol" w:hAnsi="Symbol"/>
        </w:rPr>
        <w:lastRenderedPageBreak/>
        <w:sym w:font="Symbol" w:char="F02D"/>
      </w:r>
      <w:r w:rsidRPr="00B06600">
        <w:rPr>
          <w:rFonts w:ascii="Symbol" w:hAnsi="Symbol"/>
        </w:rPr>
        <w:tab/>
      </w:r>
      <w:proofErr w:type="gramStart"/>
      <w:r w:rsidRPr="00B06600">
        <w:rPr>
          <w:shd w:val="clear" w:color="auto" w:fill="FFFFFF"/>
        </w:rPr>
        <w:t>tekintettel</w:t>
      </w:r>
      <w:proofErr w:type="gramEnd"/>
      <w:r w:rsidRPr="00B06600">
        <w:rPr>
          <w:shd w:val="clear" w:color="auto" w:fill="FFFFFF"/>
        </w:rPr>
        <w:t xml:space="preserve"> a géntechnológiával módosított szervezetek (GMO-k) engedélyezését kifogásoló korábbi állásfoglalásaira</w:t>
      </w:r>
      <w:r w:rsidRPr="00B06600">
        <w:rPr>
          <w:szCs w:val="24"/>
          <w:shd w:val="clear" w:color="auto" w:fill="FFFFFF"/>
          <w:vertAlign w:val="superscript"/>
        </w:rPr>
        <w:footnoteReference w:id="4"/>
      </w:r>
      <w:r w:rsidRPr="00B06600">
        <w:rPr>
          <w:shd w:val="clear" w:color="auto" w:fill="FFFFFF"/>
        </w:rPr>
        <w:t>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  <w:t>tekintettel eljárási szabályzata 115. cikkének (2) és (3) bekezdésére,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–</w:t>
      </w:r>
      <w:r w:rsidRPr="00B06600">
        <w:tab/>
        <w:t>tekintettel a Környezetvédelmi, Közegészségügyi és Élelmiszer-biztonsági Bizottság állásfoglalásra irányuló indítványára,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proofErr w:type="gramStart"/>
      <w:r w:rsidRPr="00B06600">
        <w:t>A.</w:t>
      </w:r>
      <w:proofErr w:type="gramEnd"/>
      <w:r w:rsidRPr="00B06600">
        <w:tab/>
      </w:r>
      <w:proofErr w:type="gramStart"/>
      <w:r w:rsidRPr="00B06600">
        <w:t xml:space="preserve">mivel 2023. február 14-én az egyesült államokbeli székhelyű Bayer </w:t>
      </w:r>
      <w:proofErr w:type="spellStart"/>
      <w:r w:rsidRPr="00B06600">
        <w:t>CropScience</w:t>
      </w:r>
      <w:proofErr w:type="spellEnd"/>
      <w:r w:rsidRPr="00B06600">
        <w:t xml:space="preserve"> LP nevében eljáró, belgiumi székhelyű Bayer </w:t>
      </w:r>
      <w:proofErr w:type="spellStart"/>
      <w:r w:rsidRPr="00B06600">
        <w:t>Agriculture</w:t>
      </w:r>
      <w:proofErr w:type="spellEnd"/>
      <w:r w:rsidRPr="00B06600">
        <w:t xml:space="preserve"> BV az 1829/2003/EK rendelet 5. és 17. cikkével összhangban kérelmet nyújtott be az illetékes holland nemzeti hatósághoz a géntechnológiával módosított MON 94804 kukoricát (a „géntechnológiával módosított kukorica”) tartalmazó, abból álló vagy abból előállított élelmiszerek, élelmiszer-összetevők és takarmányok forgalomba hozatalára vonatkozóan (a továbbiakban: „a kérelem”);</w:t>
      </w:r>
      <w:proofErr w:type="gramEnd"/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B.</w:t>
      </w:r>
      <w:r w:rsidRPr="00B06600">
        <w:tab/>
        <w:t>mivel a kérelem kiterjed a géntechnológiával módosított MON 94804 kukoricát tartalmazó vagy abból álló termékeknek a termesztéstől eltérő felhasználás céljából, nem élelmiszerként vagy takarmányként történő forgalomba hozatalára is;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C.</w:t>
      </w:r>
      <w:r w:rsidRPr="00B06600">
        <w:tab/>
        <w:t>mivel az EFSA 2024. március 13-án kedvező véleményt adott, amelyet 2024. április 26-án tettek közzé, amelyben arra a következtetésre jutottak, hogy az emberi és állati egészségre, valamint a környezetre gyakorolt lehetséges hatások tekintetében a géntechnológiával módosított kukorica ugyanolyan biztonságos, mint hagyományos megfelelője és a géntechnológiával nem módosított vizsgált kukoricafajták;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D.</w:t>
      </w:r>
      <w:r w:rsidRPr="00B06600">
        <w:tab/>
        <w:t xml:space="preserve">mivel a géntechnológiával módosított kukoricát </w:t>
      </w:r>
      <w:proofErr w:type="gramStart"/>
      <w:r w:rsidRPr="00B06600">
        <w:t>genetikailag</w:t>
      </w:r>
      <w:proofErr w:type="gramEnd"/>
      <w:r w:rsidRPr="00B06600">
        <w:t xml:space="preserve"> úgy alakították ki, hogy mesterséges </w:t>
      </w:r>
      <w:proofErr w:type="spellStart"/>
      <w:r w:rsidRPr="00B06600">
        <w:t>miRNS</w:t>
      </w:r>
      <w:proofErr w:type="spellEnd"/>
      <w:r w:rsidRPr="00B06600">
        <w:t xml:space="preserve">-t állítson elő, amelynek célja a </w:t>
      </w:r>
      <w:proofErr w:type="spellStart"/>
      <w:r w:rsidRPr="00B06600">
        <w:t>gibberellinsav</w:t>
      </w:r>
      <w:proofErr w:type="spellEnd"/>
      <w:r w:rsidRPr="00B06600">
        <w:t xml:space="preserve"> (GA) bioszintetikus útjában részt vevő nagyobb géncsaládon belül két gén szelektív elfojtása, ezáltal csökkentve a növény magasságát;</w:t>
      </w:r>
    </w:p>
    <w:p w:rsidR="00FA7616" w:rsidRPr="00B06600" w:rsidRDefault="00FA7616" w:rsidP="00D03718">
      <w:pPr>
        <w:pStyle w:val="NormalHanging12a"/>
        <w:widowControl/>
        <w:rPr>
          <w:b/>
          <w:i/>
          <w:szCs w:val="24"/>
        </w:rPr>
      </w:pPr>
      <w:r w:rsidRPr="00B06600">
        <w:rPr>
          <w:b/>
          <w:i/>
        </w:rPr>
        <w:t xml:space="preserve">A mesterséges </w:t>
      </w:r>
      <w:proofErr w:type="spellStart"/>
      <w:r w:rsidRPr="00B06600">
        <w:rPr>
          <w:b/>
          <w:i/>
        </w:rPr>
        <w:t>miRNS</w:t>
      </w:r>
      <w:proofErr w:type="spellEnd"/>
      <w:r w:rsidRPr="00B06600">
        <w:rPr>
          <w:b/>
          <w:i/>
        </w:rPr>
        <w:t xml:space="preserve"> hatásaival kapcsolatos lezáratlan kérdések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E.</w:t>
      </w:r>
      <w:r w:rsidRPr="00B06600">
        <w:tab/>
        <w:t xml:space="preserve">mivel a mesterséges </w:t>
      </w:r>
      <w:proofErr w:type="spellStart"/>
      <w:r w:rsidRPr="00B06600">
        <w:t>miRNS</w:t>
      </w:r>
      <w:proofErr w:type="spellEnd"/>
      <w:r w:rsidRPr="00B06600">
        <w:t xml:space="preserve"> bevezetése nemcsak a célzott génekbe avatkozik be, hanem más szabályozó funkciókat is érint; mivel a </w:t>
      </w:r>
      <w:proofErr w:type="spellStart"/>
      <w:r w:rsidRPr="00B06600">
        <w:t>miRNS</w:t>
      </w:r>
      <w:proofErr w:type="spellEnd"/>
      <w:r w:rsidRPr="00B06600">
        <w:t xml:space="preserve"> további feldolgozáson megy keresztül a növényben, és </w:t>
      </w:r>
      <w:proofErr w:type="gramStart"/>
      <w:r w:rsidRPr="00B06600">
        <w:t>ezáltal</w:t>
      </w:r>
      <w:proofErr w:type="gramEnd"/>
      <w:r w:rsidRPr="00B06600">
        <w:t xml:space="preserve"> kölcsönhatásba lép bizonyos növényi enzimekkel; mivel hatásai sok esetben nem korlátozódnak a célgénre, hanem gyakran több száz más génfunkció metabolikus kaszkádjait foglalják magukban;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F.</w:t>
      </w:r>
      <w:r w:rsidRPr="00B06600">
        <w:tab/>
      </w:r>
      <w:proofErr w:type="gramStart"/>
      <w:r w:rsidRPr="00B06600">
        <w:t>mivel</w:t>
      </w:r>
      <w:proofErr w:type="gramEnd"/>
      <w:r w:rsidRPr="00B06600">
        <w:t xml:space="preserve"> a kérelmező nem elegendő és hiányos adatokat nyújt be a mesterséges </w:t>
      </w:r>
      <w:proofErr w:type="spellStart"/>
      <w:r w:rsidRPr="00B06600">
        <w:t>miRNS</w:t>
      </w:r>
      <w:proofErr w:type="spellEnd"/>
      <w:r w:rsidRPr="00B06600">
        <w:t xml:space="preserve">, a sejtek további folyamataiból származó termékek, e molekulák sejtekben való </w:t>
      </w:r>
      <w:proofErr w:type="spellStart"/>
      <w:r w:rsidRPr="00B06600">
        <w:t>perzisztenciája</w:t>
      </w:r>
      <w:proofErr w:type="spellEnd"/>
      <w:r w:rsidRPr="00B06600">
        <w:t xml:space="preserve"> és más szabályozási hálózatokba való beavatkozásuk közötti kölcsönhatásokról;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G.</w:t>
      </w:r>
      <w:r w:rsidRPr="00B06600">
        <w:tab/>
        <w:t xml:space="preserve">mivel annak megállapításához, hogy a </w:t>
      </w:r>
      <w:proofErr w:type="spellStart"/>
      <w:r w:rsidRPr="00B06600">
        <w:t>miRNS-ek</w:t>
      </w:r>
      <w:proofErr w:type="spellEnd"/>
      <w:r w:rsidRPr="00B06600">
        <w:t xml:space="preserve"> nem jelentenek toxicitási kockázatot az emberekre és az állatokra nézve, az EFSA feltételezi, hogy a mesterséges </w:t>
      </w:r>
      <w:proofErr w:type="spellStart"/>
      <w:r w:rsidRPr="00B06600">
        <w:t>miRNS</w:t>
      </w:r>
      <w:proofErr w:type="spellEnd"/>
      <w:r w:rsidRPr="00B06600">
        <w:t xml:space="preserve"> gyorsan lebomlik; mivel azonban számos tanulmány – köztük az állítás alátámasztására </w:t>
      </w:r>
      <w:r w:rsidRPr="00B06600">
        <w:lastRenderedPageBreak/>
        <w:t>idézett tanulmány</w:t>
      </w:r>
      <w:r w:rsidRPr="00B06600">
        <w:rPr>
          <w:rStyle w:val="FootnoteReference"/>
          <w:szCs w:val="24"/>
        </w:rPr>
        <w:footnoteReference w:id="5"/>
      </w:r>
      <w:r w:rsidRPr="00B06600">
        <w:t xml:space="preserve"> – arról számol be, hogy – </w:t>
      </w:r>
      <w:proofErr w:type="gramStart"/>
      <w:r w:rsidRPr="00B06600">
        <w:t>konkrét</w:t>
      </w:r>
      <w:proofErr w:type="gramEnd"/>
      <w:r w:rsidRPr="00B06600">
        <w:t xml:space="preserve"> mechanizmusokkal alátámasztva – a </w:t>
      </w:r>
      <w:proofErr w:type="spellStart"/>
      <w:r w:rsidRPr="00B06600">
        <w:t>miRNS</w:t>
      </w:r>
      <w:proofErr w:type="spellEnd"/>
      <w:r w:rsidRPr="00B06600">
        <w:t xml:space="preserve"> kinyerhető a bélből;</w:t>
      </w:r>
    </w:p>
    <w:p w:rsidR="00FA7616" w:rsidRPr="00B06600" w:rsidRDefault="00FA7616" w:rsidP="00D03718">
      <w:pPr>
        <w:pStyle w:val="NormalHanging12a"/>
        <w:widowControl/>
        <w:rPr>
          <w:b/>
          <w:i/>
          <w:szCs w:val="24"/>
        </w:rPr>
      </w:pPr>
      <w:r w:rsidRPr="00B06600">
        <w:rPr>
          <w:b/>
          <w:i/>
        </w:rPr>
        <w:t xml:space="preserve">A csökkent </w:t>
      </w:r>
      <w:proofErr w:type="spellStart"/>
      <w:r w:rsidRPr="00B06600">
        <w:rPr>
          <w:b/>
          <w:i/>
        </w:rPr>
        <w:t>gibberellinszint</w:t>
      </w:r>
      <w:proofErr w:type="spellEnd"/>
      <w:r w:rsidRPr="00B06600">
        <w:rPr>
          <w:b/>
          <w:i/>
        </w:rPr>
        <w:t xml:space="preserve"> hatásaival kapcsolatos lezáratlan kérdések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H.</w:t>
      </w:r>
      <w:r w:rsidRPr="00B06600">
        <w:tab/>
      </w:r>
      <w:proofErr w:type="gramStart"/>
      <w:r w:rsidRPr="00B06600">
        <w:t>mivel</w:t>
      </w:r>
      <w:proofErr w:type="gramEnd"/>
      <w:r w:rsidRPr="00B06600">
        <w:t xml:space="preserve"> – amint azt a tagállamok szakértői is kiemelték</w:t>
      </w:r>
      <w:r w:rsidRPr="00B06600">
        <w:rPr>
          <w:rStyle w:val="FootnoteReference"/>
          <w:szCs w:val="24"/>
        </w:rPr>
        <w:footnoteReference w:id="6"/>
      </w:r>
      <w:r w:rsidRPr="00B06600">
        <w:t xml:space="preserve"> – a </w:t>
      </w:r>
      <w:proofErr w:type="spellStart"/>
      <w:r w:rsidRPr="00B06600">
        <w:t>gibberellinek</w:t>
      </w:r>
      <w:proofErr w:type="spellEnd"/>
      <w:r w:rsidRPr="00B06600">
        <w:t xml:space="preserve"> a növények különböző fiziológiai folyamatainak fő szabályozói; 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I.</w:t>
      </w:r>
      <w:r w:rsidRPr="00B06600">
        <w:tab/>
        <w:t xml:space="preserve">mivel a növény mérete mellett a </w:t>
      </w:r>
      <w:proofErr w:type="spellStart"/>
      <w:r w:rsidRPr="00B06600">
        <w:t>gibberellinek</w:t>
      </w:r>
      <w:proofErr w:type="spellEnd"/>
      <w:r w:rsidRPr="00B06600">
        <w:t xml:space="preserve"> a csírázást és a virágzást is szabályozzák, szerepet játszanak a stressztűrés szabályozásában, és a különböző jelátviteli utakon – például a növényösszetételt befolyásoló fiziológiai folyamatokban – más növényi hormonokkal való összetett szabályozási hatás részét képezik; mivel a </w:t>
      </w:r>
      <w:proofErr w:type="spellStart"/>
      <w:r w:rsidRPr="00B06600">
        <w:t>gibberellinek</w:t>
      </w:r>
      <w:proofErr w:type="spellEnd"/>
      <w:r w:rsidRPr="00B06600">
        <w:t xml:space="preserve"> a növények kórokozókkal szembeni immunválaszában is szerepet játszanak; 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J.</w:t>
      </w:r>
      <w:r w:rsidRPr="00B06600">
        <w:tab/>
      </w:r>
      <w:proofErr w:type="gramStart"/>
      <w:r w:rsidRPr="00B06600">
        <w:t>mivel</w:t>
      </w:r>
      <w:proofErr w:type="gramEnd"/>
      <w:r w:rsidRPr="00B06600">
        <w:t xml:space="preserve"> a kérelmező nem vizsgálta meg az e különböző folyamatokra gyakorolt hatások többségét, eltekintve a csírázásra, a virágzásra és a szemek tömegére gyakorolt lehetséges hatásoktól;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K.</w:t>
      </w:r>
      <w:r w:rsidRPr="00B06600">
        <w:tab/>
      </w:r>
      <w:proofErr w:type="gramStart"/>
      <w:r w:rsidRPr="00B06600">
        <w:t>mivel</w:t>
      </w:r>
      <w:proofErr w:type="gramEnd"/>
      <w:r w:rsidRPr="00B06600">
        <w:t xml:space="preserve"> a génkifejezést és annak a bioaktív </w:t>
      </w:r>
      <w:proofErr w:type="spellStart"/>
      <w:r w:rsidRPr="00B06600">
        <w:t>gibberellinek</w:t>
      </w:r>
      <w:proofErr w:type="spellEnd"/>
      <w:r w:rsidRPr="00B06600">
        <w:t xml:space="preserve"> előállítására és az anyagcserére gyakorolt hatását csak szabadföldi körülmények között, különleges stressztényezők nélkül vizsgálták, miközben a </w:t>
      </w:r>
      <w:proofErr w:type="spellStart"/>
      <w:r w:rsidRPr="00B06600">
        <w:t>gibberellinsav</w:t>
      </w:r>
      <w:proofErr w:type="spellEnd"/>
      <w:r w:rsidRPr="00B06600">
        <w:t xml:space="preserve"> köztudottan számos </w:t>
      </w:r>
      <w:proofErr w:type="spellStart"/>
      <w:r w:rsidRPr="00B06600">
        <w:t>biotikus</w:t>
      </w:r>
      <w:proofErr w:type="spellEnd"/>
      <w:r w:rsidRPr="00B06600">
        <w:t xml:space="preserve"> és abiotikus stresszreakcióban érintett;</w:t>
      </w:r>
    </w:p>
    <w:p w:rsidR="00FA7616" w:rsidRPr="00B06600" w:rsidRDefault="00FA7616" w:rsidP="00D03718">
      <w:pPr>
        <w:pStyle w:val="NormalHanging12a"/>
        <w:widowControl/>
        <w:rPr>
          <w:b/>
          <w:i/>
          <w:szCs w:val="24"/>
        </w:rPr>
      </w:pPr>
      <w:r w:rsidRPr="00B06600">
        <w:rPr>
          <w:b/>
          <w:i/>
        </w:rPr>
        <w:t xml:space="preserve">Az </w:t>
      </w:r>
      <w:proofErr w:type="gramStart"/>
      <w:r w:rsidRPr="00B06600">
        <w:rPr>
          <w:b/>
          <w:i/>
        </w:rPr>
        <w:t>importált</w:t>
      </w:r>
      <w:proofErr w:type="gramEnd"/>
      <w:r w:rsidRPr="00B06600">
        <w:rPr>
          <w:b/>
          <w:i/>
        </w:rPr>
        <w:t xml:space="preserve"> takarmánytól való függőség csökkentése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L.</w:t>
      </w:r>
      <w:r w:rsidRPr="00B06600">
        <w:tab/>
        <w:t xml:space="preserve">mivel a Covid19-válság és a még folyamatban lévő ukrajnai háború egyik tanulsága az, hogy az Uniónak véget kell vetnie az egyes kritikus anyagoktól való függőségnek; mivel a </w:t>
      </w:r>
      <w:proofErr w:type="spellStart"/>
      <w:r w:rsidRPr="00B06600">
        <w:t>Christophe</w:t>
      </w:r>
      <w:proofErr w:type="spellEnd"/>
      <w:r w:rsidRPr="00B06600">
        <w:t xml:space="preserve"> Hansen biztosjelöltnek címzett megbízólevélben </w:t>
      </w:r>
      <w:proofErr w:type="spellStart"/>
      <w:r w:rsidRPr="00B06600">
        <w:t>Ursula</w:t>
      </w:r>
      <w:proofErr w:type="spellEnd"/>
      <w:r w:rsidRPr="00B06600">
        <w:t xml:space="preserve"> von der </w:t>
      </w:r>
      <w:proofErr w:type="spellStart"/>
      <w:r w:rsidRPr="00B06600">
        <w:t>Leyen</w:t>
      </w:r>
      <w:proofErr w:type="spellEnd"/>
      <w:r w:rsidRPr="00B06600">
        <w:t>, a Bizottság elnöke arra kéri őt, hogy vizsgálja meg a kritikus fontosságú áruk behozatala csökkentésének módjait</w:t>
      </w:r>
      <w:r w:rsidRPr="00B06600">
        <w:rPr>
          <w:rStyle w:val="FootnoteReference"/>
          <w:szCs w:val="24"/>
        </w:rPr>
        <w:footnoteReference w:id="7"/>
      </w:r>
      <w:r w:rsidRPr="00B06600">
        <w:t xml:space="preserve">; </w:t>
      </w:r>
    </w:p>
    <w:p w:rsidR="00FA7616" w:rsidRPr="00B06600" w:rsidRDefault="00FA7616" w:rsidP="00D03718">
      <w:pPr>
        <w:pStyle w:val="NormalHanging12a"/>
        <w:widowControl/>
        <w:rPr>
          <w:b/>
          <w:i/>
          <w:szCs w:val="24"/>
        </w:rPr>
      </w:pPr>
      <w:r w:rsidRPr="00B06600">
        <w:rPr>
          <w:b/>
          <w:i/>
        </w:rPr>
        <w:t>A tagállami illetékes hatóságok és az érdekelt felek észrevételei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proofErr w:type="gramStart"/>
      <w:r w:rsidRPr="00B06600">
        <w:t>M.</w:t>
      </w:r>
      <w:r w:rsidRPr="00B06600">
        <w:tab/>
        <w:t>mivel a tagállamok a három hónapos konzultációs időszak alatt számos kritikai észrevételt nyújtottak be az EFSA-hoz</w:t>
      </w:r>
      <w:r w:rsidRPr="00B06600">
        <w:rPr>
          <w:rStyle w:val="FootnoteReference"/>
          <w:szCs w:val="24"/>
        </w:rPr>
        <w:footnoteReference w:id="8"/>
      </w:r>
      <w:r w:rsidRPr="00B06600">
        <w:t xml:space="preserve">, többek között azt, hogy a </w:t>
      </w:r>
      <w:proofErr w:type="spellStart"/>
      <w:r w:rsidRPr="00B06600">
        <w:t>gibberellinek</w:t>
      </w:r>
      <w:proofErr w:type="spellEnd"/>
      <w:r w:rsidRPr="00B06600">
        <w:t xml:space="preserve"> a növények különböző élettani folyamatainak fő szabályozói, különösen a </w:t>
      </w:r>
      <w:proofErr w:type="spellStart"/>
      <w:r w:rsidRPr="00B06600">
        <w:t>biotikus</w:t>
      </w:r>
      <w:proofErr w:type="spellEnd"/>
      <w:r w:rsidRPr="00B06600">
        <w:t xml:space="preserve"> és abiotikus </w:t>
      </w:r>
      <w:proofErr w:type="spellStart"/>
      <w:r w:rsidRPr="00B06600">
        <w:t>stresszorokkal</w:t>
      </w:r>
      <w:proofErr w:type="spellEnd"/>
      <w:r w:rsidRPr="00B06600">
        <w:t xml:space="preserve"> kapcsolatban, és hogy a kérelmező által szolgáltatott adatok hiányosak a csökkentett </w:t>
      </w:r>
      <w:proofErr w:type="spellStart"/>
      <w:r w:rsidRPr="00B06600">
        <w:t>gibberellinszintek</w:t>
      </w:r>
      <w:proofErr w:type="spellEnd"/>
      <w:r w:rsidRPr="00B06600">
        <w:t xml:space="preserve"> e folyamatokra gyakorolt lehetséges </w:t>
      </w:r>
      <w:r w:rsidRPr="00B06600">
        <w:lastRenderedPageBreak/>
        <w:t xml:space="preserve">hatásának értékeléséhez, és hogy a szántóföldi kísérletek sokfélesége nem elegendő; mivel a tagállamok azt is bírálták, hogy nem állnak rendelkezésre adatok a növényben a mesterséges </w:t>
      </w:r>
      <w:proofErr w:type="spellStart"/>
      <w:r w:rsidRPr="00B06600">
        <w:t>miRNS</w:t>
      </w:r>
      <w:proofErr w:type="spellEnd"/>
      <w:r w:rsidRPr="00B06600">
        <w:t xml:space="preserve"> lehetsége</w:t>
      </w:r>
      <w:proofErr w:type="gramEnd"/>
      <w:r w:rsidRPr="00B06600">
        <w:t xml:space="preserve">s hosszú távú stabilitása által jelentett kockázatokra vonatkozóan, </w:t>
      </w:r>
      <w:proofErr w:type="gramStart"/>
      <w:r w:rsidRPr="00B06600">
        <w:t>vagy</w:t>
      </w:r>
      <w:proofErr w:type="gramEnd"/>
      <w:r w:rsidRPr="00B06600">
        <w:t xml:space="preserve"> hogy kockázatot jelent az, hogy a módosított DNS nem elhanyagolható része kinyerhető állati vagy emberi bélből, valamint kifogásolták, hogy a benyújtott adatok nem bizonyítják, hogy valószínűtlen volna a növényekről a baktériumokra való génátvitel; 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N.</w:t>
      </w:r>
      <w:r w:rsidRPr="00B06600">
        <w:tab/>
      </w:r>
      <w:proofErr w:type="gramStart"/>
      <w:r w:rsidRPr="00B06600">
        <w:t>mivel</w:t>
      </w:r>
      <w:proofErr w:type="gramEnd"/>
      <w:r w:rsidRPr="00B06600">
        <w:t xml:space="preserve"> az 1829/2003/EK rendelet egyfelől rögzíti, hogy a géntechnológiával módosított élelmiszerek vagy takarmányok nem gyakorolhatnak kedvezőtlen hatást az emberi egészségre, az állati egészségre vagy a környezetre, másfelől pedig előírja a Bizottság számára, hogy határozatainak megszövegezése során vegye figyelembe az uniós jog minden vonatkozó rendelkezését és a vizsgált ügy szempontjából releváns egyéb jogos tényezőket;</w:t>
      </w:r>
    </w:p>
    <w:p w:rsidR="00FA7616" w:rsidRPr="00B06600" w:rsidRDefault="00FA7616" w:rsidP="00D03718">
      <w:pPr>
        <w:pStyle w:val="NormalHanging12a"/>
        <w:widowControl/>
        <w:rPr>
          <w:b/>
          <w:i/>
          <w:szCs w:val="24"/>
        </w:rPr>
      </w:pPr>
      <w:r w:rsidRPr="00B06600">
        <w:rPr>
          <w:b/>
          <w:i/>
        </w:rPr>
        <w:t>Nem demokratikus döntéshozatal</w:t>
      </w:r>
    </w:p>
    <w:p w:rsidR="00FA7616" w:rsidRPr="00B06600" w:rsidRDefault="00FA7616" w:rsidP="00D03718">
      <w:pPr>
        <w:pStyle w:val="NormalHanging12a"/>
        <w:widowControl/>
        <w:rPr>
          <w:b/>
          <w:i/>
          <w:szCs w:val="24"/>
        </w:rPr>
      </w:pPr>
      <w:r w:rsidRPr="00B06600">
        <w:t>O.</w:t>
      </w:r>
      <w:r w:rsidRPr="00B06600">
        <w:tab/>
        <w:t>mivel a Parlament a 8. parlamenti ciklusban összesen 36 olyan állásfoglalást fogadott el, amelyben kifogásolta az élelmiszernek és takarmánynak szánt GMO-k forgalomba hozatalát (33 állásfoglalás), valamint a GMO-k Unión belüli termesztését (három állásfoglalás); mivel a 9. parlamenti ciklusban a Parlament 38 kifogást fogadott el GMO-k forgalomba hozatala ellen;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P.</w:t>
      </w:r>
      <w:r w:rsidRPr="00B06600">
        <w:tab/>
        <w:t>mivel a Bizottság – annak ellenére, hogy elismeri a demokratikus hiányosságokat, a tagállamok támogatásának hiányát és a Parlament kifogásait – továbbra is folytatja a GMO-k engedélyezését;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Q.</w:t>
      </w:r>
      <w:r w:rsidRPr="00B06600">
        <w:tab/>
      </w:r>
      <w:proofErr w:type="gramStart"/>
      <w:r w:rsidRPr="00B06600">
        <w:t>mivel</w:t>
      </w:r>
      <w:proofErr w:type="gramEnd"/>
      <w:r w:rsidRPr="00B06600">
        <w:t xml:space="preserve"> nincs szükség jogszabály-módosításra ahhoz, hogy a Bizottság elállhasson a GMO-k engedélyezésétől olyan esetben, amikor a fellebbviteli bizottságban nincs meg a tagállamok minősített többségének támogatása</w:t>
      </w:r>
      <w:r w:rsidRPr="00B06600">
        <w:rPr>
          <w:rStyle w:val="FootnoteReference"/>
          <w:szCs w:val="24"/>
        </w:rPr>
        <w:footnoteReference w:id="9"/>
      </w:r>
      <w:r w:rsidRPr="00B06600">
        <w:t>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R.</w:t>
      </w:r>
      <w:r w:rsidRPr="00B06600">
        <w:tab/>
      </w:r>
      <w:proofErr w:type="gramStart"/>
      <w:r w:rsidRPr="00B06600">
        <w:rPr>
          <w:shd w:val="clear" w:color="auto" w:fill="FFFFFF"/>
        </w:rPr>
        <w:t>mivel</w:t>
      </w:r>
      <w:proofErr w:type="gramEnd"/>
      <w:r w:rsidRPr="00B06600">
        <w:rPr>
          <w:shd w:val="clear" w:color="auto" w:fill="FFFFFF"/>
        </w:rPr>
        <w:t xml:space="preserve"> az 1829/2003/EK rendelet 35. cikkében említett Növények, Állatok, Élelmiszerek és Takarmányok Állandó Bizottsága 2024. szeptember 17-i szavazása során nem nyilvánított véleményt, ami azt jelenti, hogy az engedélyezést nem támogatta a tagállamok minősített többsége; 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1.</w:t>
      </w:r>
      <w:r w:rsidRPr="00B06600">
        <w:tab/>
        <w:t>úgy véli, hogy a bizottsági végrehajtási határozat tervezete túllépi az 1829/2003/EK rendeletben meghatározott végrehajtási hatásköröket;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proofErr w:type="gramStart"/>
      <w:r w:rsidRPr="00B06600">
        <w:t>2.</w:t>
      </w:r>
      <w:r w:rsidRPr="00B06600">
        <w:tab/>
        <w:t>úgy véli, hogy a bizottsági végrehajtási határozat tervezete nem felel meg az uniós jognak, mivel nem egyeztethető össze az 1829/2003/EK rendelet célkitűzésével, azaz a 178/2002/EK európai parlamenti és tanácsi rendeletben</w:t>
      </w:r>
      <w:r w:rsidRPr="00B06600">
        <w:rPr>
          <w:rStyle w:val="FootnoteReference"/>
          <w:szCs w:val="24"/>
        </w:rPr>
        <w:footnoteReference w:id="10"/>
      </w:r>
      <w:r w:rsidRPr="00B06600">
        <w:t xml:space="preserve"> meghatározott általános alapelvekkel összhangban azzal, hogy a belső piac hatékony működésének biztosítása </w:t>
      </w:r>
      <w:r w:rsidRPr="00B06600">
        <w:lastRenderedPageBreak/>
        <w:t>mellett alapul szolgáljon az emberi élet és egészség, az állatok egészsége és az állatjólét, valamint a környezeti és fogyasztói érdekek magas szintű védelmének biztosításához a géntechnológiával módosított élelmiszerekkel és takarmányokkal kapcsolatban;</w:t>
      </w:r>
      <w:proofErr w:type="gramEnd"/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3.</w:t>
      </w:r>
      <w:r w:rsidRPr="00B06600">
        <w:tab/>
        <w:t>felkéri a Bizottságot, hogy vonja vissza végrehajtási határozata tervezetét és nyújtson be új tervezetet a bizottságnak;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4.</w:t>
      </w:r>
      <w:r w:rsidRPr="00B06600">
        <w:tab/>
        <w:t>üdvözli, hogy a Bizottság a képviselőknek címzett 2020. szeptember 11-i levelében végül elismerte, hogy a GMO-</w:t>
      </w:r>
      <w:proofErr w:type="spellStart"/>
      <w:r w:rsidRPr="00B06600">
        <w:t>kra</w:t>
      </w:r>
      <w:proofErr w:type="spellEnd"/>
      <w:r w:rsidRPr="00B06600">
        <w:t xml:space="preserve"> vonatkozó engedélyezési határozatoknál figyelembe kell venni a </w:t>
      </w:r>
      <w:proofErr w:type="spellStart"/>
      <w:r w:rsidRPr="00B06600">
        <w:t>fenntarthatóságot</w:t>
      </w:r>
      <w:proofErr w:type="spellEnd"/>
      <w:r w:rsidRPr="00B06600">
        <w:rPr>
          <w:rStyle w:val="FootnoteReference"/>
          <w:szCs w:val="24"/>
        </w:rPr>
        <w:footnoteReference w:id="11"/>
      </w:r>
      <w:r w:rsidRPr="00B06600">
        <w:t xml:space="preserve">; ugyanakkor mély csalódottságának ad hangot amiatt, hogy a Bizottság </w:t>
      </w:r>
      <w:proofErr w:type="gramStart"/>
      <w:r w:rsidRPr="00B06600">
        <w:t>azóta</w:t>
      </w:r>
      <w:proofErr w:type="gramEnd"/>
      <w:r w:rsidRPr="00B06600">
        <w:t xml:space="preserve"> is folytatja GMO-k behozatalának engedélyezését, jóllehet a Parlament ezt </w:t>
      </w:r>
      <w:proofErr w:type="spellStart"/>
      <w:r w:rsidRPr="00B06600">
        <w:t>ellenzi</w:t>
      </w:r>
      <w:proofErr w:type="spellEnd"/>
      <w:r w:rsidRPr="00B06600">
        <w:t xml:space="preserve"> és a tagállamok többsége ellene szavaz;</w:t>
      </w:r>
    </w:p>
    <w:p w:rsidR="00FA7616" w:rsidRPr="00B06600" w:rsidRDefault="00FA7616" w:rsidP="00D03718">
      <w:pPr>
        <w:pStyle w:val="NormalHanging12a"/>
        <w:widowControl/>
        <w:rPr>
          <w:szCs w:val="24"/>
        </w:rPr>
      </w:pPr>
      <w:r w:rsidRPr="00B06600">
        <w:t>5.</w:t>
      </w:r>
      <w:r w:rsidRPr="00B06600">
        <w:tab/>
        <w:t xml:space="preserve">ismételten sürgeti a Bizottságot, hogy vegye figyelembe az Unió nemzetközi megállapodások – például a Párizsi Megállapodás, a biológiai sokféleségről szóló ENSZ-egyezmény és az Egyesült Nemzetek Szervezetének fenntartható fejlesztési céljai – szerinti kötelezettségeit; ismételten kéri, hogy a végrehajtási jogi </w:t>
      </w:r>
      <w:proofErr w:type="gramStart"/>
      <w:r w:rsidRPr="00B06600">
        <w:t>aktusok</w:t>
      </w:r>
      <w:proofErr w:type="gramEnd"/>
      <w:r w:rsidRPr="00B06600">
        <w:t xml:space="preserve"> tervezetéhez mellékeljenek indokolást arról, hogy azok hogyan tartják tiszteletben a „ne </w:t>
      </w:r>
      <w:proofErr w:type="spellStart"/>
      <w:r w:rsidRPr="00B06600">
        <w:t>árts</w:t>
      </w:r>
      <w:proofErr w:type="spellEnd"/>
      <w:r w:rsidRPr="00B06600">
        <w:t>” elvet</w:t>
      </w:r>
      <w:r w:rsidRPr="00B06600">
        <w:rPr>
          <w:rStyle w:val="FootnoteReference"/>
          <w:szCs w:val="24"/>
        </w:rPr>
        <w:footnoteReference w:id="12"/>
      </w:r>
      <w:r w:rsidRPr="00B06600">
        <w:t xml:space="preserve">; </w:t>
      </w:r>
    </w:p>
    <w:p w:rsidR="00B06600" w:rsidRPr="00B06600" w:rsidRDefault="00FA7616" w:rsidP="00D03718">
      <w:pPr>
        <w:pStyle w:val="NormalHanging12a"/>
        <w:widowControl/>
      </w:pPr>
      <w:r w:rsidRPr="00B06600">
        <w:t>6.</w:t>
      </w:r>
      <w:r w:rsidRPr="00B06600">
        <w:tab/>
        <w:t>utasítja elnökét, hogy továbbítsa ezt az állásfoglalást a Tanácsnak és a Bizottságnak, valamint a tagállamok kormányainak és parlamentjeinek.</w:t>
      </w:r>
    </w:p>
    <w:sectPr w:rsidR="00B06600" w:rsidRPr="00B06600" w:rsidSect="00B066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C74" w:rsidRPr="00B06600" w:rsidRDefault="00111C74">
      <w:r w:rsidRPr="00B06600">
        <w:separator/>
      </w:r>
    </w:p>
  </w:endnote>
  <w:endnote w:type="continuationSeparator" w:id="0">
    <w:p w:rsidR="00111C74" w:rsidRPr="00B06600" w:rsidRDefault="00111C74">
      <w:r w:rsidRPr="00B066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6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6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6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C74" w:rsidRPr="00B06600" w:rsidRDefault="00111C74">
      <w:r w:rsidRPr="00B06600">
        <w:separator/>
      </w:r>
    </w:p>
  </w:footnote>
  <w:footnote w:type="continuationSeparator" w:id="0">
    <w:p w:rsidR="00111C74" w:rsidRPr="00B06600" w:rsidRDefault="00111C74">
      <w:r w:rsidRPr="00B06600">
        <w:continuationSeparator/>
      </w:r>
    </w:p>
  </w:footnote>
  <w:footnote w:id="1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r w:rsidRPr="00B06600">
        <w:rPr>
          <w:sz w:val="24"/>
          <w:lang w:val="hu-HU"/>
        </w:rPr>
        <w:t>HL L 268., 2003.10.18</w:t>
      </w:r>
      <w:proofErr w:type="gramStart"/>
      <w:r w:rsidRPr="00B06600">
        <w:rPr>
          <w:sz w:val="24"/>
          <w:lang w:val="hu-HU"/>
        </w:rPr>
        <w:t>.,</w:t>
      </w:r>
      <w:proofErr w:type="gramEnd"/>
      <w:r w:rsidRPr="00B06600">
        <w:rPr>
          <w:sz w:val="24"/>
          <w:lang w:val="hu-HU"/>
        </w:rPr>
        <w:t xml:space="preserve"> 1. o. ELI: </w:t>
      </w:r>
      <w:hyperlink r:id="rId1" w:tooltip="Az ELI (európai jogszabály-azonosító) URI-hivatkozása révén biztosít hozzáférést ehhez a dokumentumhoz." w:history="1">
        <w:r w:rsidRPr="00B06600">
          <w:rPr>
            <w:rStyle w:val="Hyperlink"/>
            <w:sz w:val="24"/>
            <w:lang w:val="hu-HU"/>
          </w:rPr>
          <w:t>http://data.europa.eu/eli/reg/2003/1829/oj</w:t>
        </w:r>
      </w:hyperlink>
      <w:r w:rsidRPr="00B06600">
        <w:rPr>
          <w:sz w:val="24"/>
          <w:lang w:val="hu-HU"/>
        </w:rPr>
        <w:t xml:space="preserve">. </w:t>
      </w:r>
    </w:p>
  </w:footnote>
  <w:footnote w:id="2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r w:rsidRPr="00B06600">
        <w:rPr>
          <w:sz w:val="24"/>
          <w:lang w:val="hu-HU"/>
        </w:rPr>
        <w:t>HL L 55., 2011.2.28</w:t>
      </w:r>
      <w:proofErr w:type="gramStart"/>
      <w:r w:rsidRPr="00B06600">
        <w:rPr>
          <w:sz w:val="24"/>
          <w:lang w:val="hu-HU"/>
        </w:rPr>
        <w:t>.,</w:t>
      </w:r>
      <w:proofErr w:type="gramEnd"/>
      <w:r w:rsidRPr="00B06600">
        <w:rPr>
          <w:sz w:val="24"/>
          <w:lang w:val="hu-HU"/>
        </w:rPr>
        <w:t xml:space="preserve"> 13. o., ELI: </w:t>
      </w:r>
      <w:hyperlink r:id="rId2" w:tooltip="Az ELI (európai jogszabály-azonosító) URI-hivatkozása révén biztosít hozzáférést ehhez a dokumentumhoz." w:history="1">
        <w:r w:rsidRPr="00B06600">
          <w:rPr>
            <w:rStyle w:val="Hyperlink"/>
            <w:sz w:val="24"/>
            <w:lang w:val="hu-HU"/>
          </w:rPr>
          <w:t>http://data.europa.eu/eli/reg/2011/182/oj</w:t>
        </w:r>
      </w:hyperlink>
      <w:r w:rsidRPr="00B06600">
        <w:rPr>
          <w:sz w:val="24"/>
          <w:lang w:val="hu-HU"/>
        </w:rPr>
        <w:t xml:space="preserve">. </w:t>
      </w:r>
    </w:p>
  </w:footnote>
  <w:footnote w:id="3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r w:rsidRPr="00B06600">
        <w:rPr>
          <w:sz w:val="24"/>
          <w:lang w:val="hu-HU"/>
        </w:rPr>
        <w:t xml:space="preserve">Az EFSA géntechnológiával módosított szervezetekkel foglalkozó tudományos testületének tudományos szakvéleménye a géntechnológiával módosított MON 94804 kukorica élelmiszerként és takarmányként való felhasználás céljából történő, az 1829/2003/EK rendelet szerinti értékeléséről (GMFF-2022-10651 kérelem), EFSA Journal, 2024 </w:t>
      </w:r>
      <w:proofErr w:type="gramStart"/>
      <w:r w:rsidRPr="00B06600">
        <w:rPr>
          <w:sz w:val="24"/>
          <w:lang w:val="hu-HU"/>
        </w:rPr>
        <w:t>22(</w:t>
      </w:r>
      <w:proofErr w:type="gramEnd"/>
      <w:r w:rsidRPr="00B06600">
        <w:rPr>
          <w:sz w:val="24"/>
          <w:lang w:val="hu-HU"/>
        </w:rPr>
        <w:t xml:space="preserve">4):8714, </w:t>
      </w:r>
      <w:hyperlink r:id="rId3" w:history="1">
        <w:r w:rsidRPr="00B06600">
          <w:rPr>
            <w:rStyle w:val="Hyperlink"/>
            <w:sz w:val="24"/>
            <w:lang w:val="hu-HU"/>
          </w:rPr>
          <w:t>https://doi.org/10.2903/j.efsa.2024.8714</w:t>
        </w:r>
      </w:hyperlink>
      <w:r w:rsidR="00AF333B">
        <w:rPr>
          <w:rStyle w:val="Hyperlink"/>
          <w:sz w:val="24"/>
          <w:lang w:val="hu-HU"/>
        </w:rPr>
        <w:t>.</w:t>
      </w:r>
    </w:p>
  </w:footnote>
  <w:footnote w:id="4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color w:val="000000" w:themeColor="text1"/>
          <w:sz w:val="24"/>
          <w:lang w:val="hu-HU"/>
        </w:rPr>
        <w:t xml:space="preserve"> </w:t>
      </w:r>
      <w:r w:rsidR="00B06600" w:rsidRPr="00B06600">
        <w:rPr>
          <w:color w:val="000000" w:themeColor="text1"/>
          <w:sz w:val="24"/>
          <w:lang w:val="hu-HU"/>
        </w:rPr>
        <w:tab/>
      </w:r>
      <w:r w:rsidRPr="00B06600">
        <w:rPr>
          <w:color w:val="000000" w:themeColor="text1"/>
          <w:sz w:val="24"/>
          <w:lang w:val="hu-HU"/>
        </w:rPr>
        <w:t xml:space="preserve">A 8. parlamenti ciklusban a Parlament 36, a 9. ciklusban pedig 38 olyan állásfoglalást fogadott el, amelyben kifogást emelt GMO-k engedélyezésével szemben. </w:t>
      </w:r>
    </w:p>
  </w:footnote>
  <w:footnote w:id="5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proofErr w:type="spellStart"/>
      <w:r w:rsidRPr="00B06600">
        <w:rPr>
          <w:sz w:val="24"/>
          <w:lang w:val="hu-HU"/>
        </w:rPr>
        <w:t>Dávalos</w:t>
      </w:r>
      <w:proofErr w:type="spellEnd"/>
      <w:r w:rsidRPr="00B06600">
        <w:rPr>
          <w:sz w:val="24"/>
          <w:lang w:val="hu-HU"/>
        </w:rPr>
        <w:t xml:space="preserve">, </w:t>
      </w:r>
      <w:proofErr w:type="gramStart"/>
      <w:r w:rsidRPr="00B06600">
        <w:rPr>
          <w:sz w:val="24"/>
          <w:lang w:val="hu-HU"/>
        </w:rPr>
        <w:t>A</w:t>
      </w:r>
      <w:proofErr w:type="gramEnd"/>
      <w:r w:rsidRPr="00B06600">
        <w:rPr>
          <w:sz w:val="24"/>
          <w:lang w:val="hu-HU"/>
        </w:rPr>
        <w:t xml:space="preserve">., </w:t>
      </w:r>
      <w:proofErr w:type="spellStart"/>
      <w:r w:rsidRPr="00B06600">
        <w:rPr>
          <w:sz w:val="24"/>
          <w:lang w:val="hu-HU"/>
        </w:rPr>
        <w:t>Henriques</w:t>
      </w:r>
      <w:proofErr w:type="spellEnd"/>
      <w:r w:rsidRPr="00B06600">
        <w:rPr>
          <w:sz w:val="24"/>
          <w:lang w:val="hu-HU"/>
        </w:rPr>
        <w:t xml:space="preserve">, R., </w:t>
      </w:r>
      <w:proofErr w:type="spellStart"/>
      <w:r w:rsidRPr="00B06600">
        <w:rPr>
          <w:sz w:val="24"/>
          <w:lang w:val="hu-HU"/>
        </w:rPr>
        <w:t>Latasa</w:t>
      </w:r>
      <w:proofErr w:type="spellEnd"/>
      <w:r w:rsidRPr="00B06600">
        <w:rPr>
          <w:sz w:val="24"/>
          <w:lang w:val="hu-HU"/>
        </w:rPr>
        <w:t xml:space="preserve">, M. J., </w:t>
      </w:r>
      <w:proofErr w:type="spellStart"/>
      <w:r w:rsidRPr="00B06600">
        <w:rPr>
          <w:sz w:val="24"/>
          <w:lang w:val="hu-HU"/>
        </w:rPr>
        <w:t>Laparra</w:t>
      </w:r>
      <w:proofErr w:type="spellEnd"/>
      <w:r w:rsidRPr="00B06600">
        <w:rPr>
          <w:sz w:val="24"/>
          <w:lang w:val="hu-HU"/>
        </w:rPr>
        <w:t>, M., &amp; Coca, M. (2019). A nem kódoló RNS-re (</w:t>
      </w:r>
      <w:proofErr w:type="spellStart"/>
      <w:r w:rsidRPr="00B06600">
        <w:rPr>
          <w:sz w:val="24"/>
          <w:lang w:val="hu-HU"/>
        </w:rPr>
        <w:t>ncRNS</w:t>
      </w:r>
      <w:proofErr w:type="spellEnd"/>
      <w:r w:rsidRPr="00B06600">
        <w:rPr>
          <w:sz w:val="24"/>
          <w:lang w:val="hu-HU"/>
        </w:rPr>
        <w:t>) vonatkozó alap</w:t>
      </w:r>
      <w:proofErr w:type="gramStart"/>
      <w:r w:rsidRPr="00B06600">
        <w:rPr>
          <w:sz w:val="24"/>
          <w:lang w:val="hu-HU"/>
        </w:rPr>
        <w:t>információk</w:t>
      </w:r>
      <w:proofErr w:type="gramEnd"/>
      <w:r w:rsidRPr="00B06600">
        <w:rPr>
          <w:sz w:val="24"/>
          <w:lang w:val="hu-HU"/>
        </w:rPr>
        <w:t xml:space="preserve"> szakirodalmi áttekintése az </w:t>
      </w:r>
      <w:proofErr w:type="spellStart"/>
      <w:r w:rsidRPr="00B06600">
        <w:rPr>
          <w:sz w:val="24"/>
          <w:lang w:val="hu-HU"/>
        </w:rPr>
        <w:t>ncRNS</w:t>
      </w:r>
      <w:proofErr w:type="spellEnd"/>
      <w:r w:rsidRPr="00B06600">
        <w:rPr>
          <w:sz w:val="24"/>
          <w:lang w:val="hu-HU"/>
        </w:rPr>
        <w:t xml:space="preserve">-alapú, géntechnológiával módosított élelmiszer- és takarmánynövények kockázatértékelésének támogatása érdekében. EFSA </w:t>
      </w:r>
      <w:proofErr w:type="spellStart"/>
      <w:r w:rsidRPr="00B06600">
        <w:rPr>
          <w:sz w:val="24"/>
          <w:lang w:val="hu-HU"/>
        </w:rPr>
        <w:t>Supporting</w:t>
      </w:r>
      <w:proofErr w:type="spellEnd"/>
      <w:r w:rsidRPr="00B06600">
        <w:rPr>
          <w:sz w:val="24"/>
          <w:lang w:val="hu-HU"/>
        </w:rPr>
        <w:t xml:space="preserve"> </w:t>
      </w:r>
      <w:proofErr w:type="spellStart"/>
      <w:r w:rsidRPr="00B06600">
        <w:rPr>
          <w:sz w:val="24"/>
          <w:lang w:val="hu-HU"/>
        </w:rPr>
        <w:t>Publications</w:t>
      </w:r>
      <w:proofErr w:type="spellEnd"/>
      <w:r w:rsidRPr="00B06600">
        <w:rPr>
          <w:sz w:val="24"/>
          <w:lang w:val="hu-HU"/>
        </w:rPr>
        <w:t xml:space="preserve">, </w:t>
      </w:r>
      <w:proofErr w:type="gramStart"/>
      <w:r w:rsidRPr="00B06600">
        <w:rPr>
          <w:sz w:val="24"/>
          <w:lang w:val="hu-HU"/>
        </w:rPr>
        <w:t>16(</w:t>
      </w:r>
      <w:proofErr w:type="gramEnd"/>
      <w:r w:rsidRPr="00B06600">
        <w:rPr>
          <w:sz w:val="24"/>
          <w:lang w:val="hu-HU"/>
        </w:rPr>
        <w:t xml:space="preserve">8), EN-1688. </w:t>
      </w:r>
      <w:hyperlink r:id="rId4" w:history="1">
        <w:r w:rsidRPr="00B06600">
          <w:rPr>
            <w:rStyle w:val="Hyperlink"/>
            <w:sz w:val="24"/>
            <w:lang w:val="hu-HU"/>
          </w:rPr>
          <w:t>https://doi.org/10.2903/sp.efsa.2019.EN-1688</w:t>
        </w:r>
      </w:hyperlink>
      <w:r w:rsidRPr="00B06600">
        <w:rPr>
          <w:rStyle w:val="Hyperlink"/>
          <w:sz w:val="24"/>
          <w:lang w:val="hu-HU"/>
        </w:rPr>
        <w:t>.</w:t>
      </w:r>
    </w:p>
  </w:footnote>
  <w:footnote w:id="6">
    <w:p w:rsidR="00FA7616" w:rsidRPr="00B06600" w:rsidRDefault="00FA7616" w:rsidP="00B06600">
      <w:pPr>
        <w:pStyle w:val="FootnoteText"/>
        <w:ind w:left="567" w:hanging="567"/>
        <w:rPr>
          <w:sz w:val="24"/>
          <w:szCs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r w:rsidRPr="00B06600">
        <w:rPr>
          <w:sz w:val="24"/>
          <w:lang w:val="hu-HU"/>
        </w:rPr>
        <w:t xml:space="preserve">Az EFSA géntechnológiával módosított szervezetekkel foglalkozó tudományos testülete tudományos szakvéleményének 8. melléklete a géntechnológiával módosított MON 94804 kukorica élelmiszerként és takarmányként való felhasználás céljából történő, az 1829/2003/EK rendelet szerinti értékeléséről (GMFF-2022-10651 kérelem), EFSA Journal, 2024 </w:t>
      </w:r>
      <w:proofErr w:type="gramStart"/>
      <w:r w:rsidRPr="00B06600">
        <w:rPr>
          <w:sz w:val="24"/>
          <w:lang w:val="hu-HU"/>
        </w:rPr>
        <w:t>22(</w:t>
      </w:r>
      <w:proofErr w:type="gramEnd"/>
      <w:r w:rsidRPr="00B06600">
        <w:rPr>
          <w:sz w:val="24"/>
          <w:lang w:val="hu-HU"/>
        </w:rPr>
        <w:t xml:space="preserve">4):8714, </w:t>
      </w:r>
      <w:hyperlink r:id="rId5" w:history="1">
        <w:r w:rsidRPr="00B06600">
          <w:rPr>
            <w:rStyle w:val="Hyperlink"/>
            <w:sz w:val="24"/>
            <w:lang w:val="hu-HU"/>
          </w:rPr>
          <w:t>https://doi.org/10.2903/j.efsa.2024.8714</w:t>
        </w:r>
      </w:hyperlink>
    </w:p>
  </w:footnote>
  <w:footnote w:id="7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hyperlink r:id="rId6" w:history="1">
        <w:r w:rsidRPr="00B06600">
          <w:rPr>
            <w:rStyle w:val="Hyperlink"/>
            <w:sz w:val="24"/>
            <w:lang w:val="hu-HU"/>
          </w:rPr>
          <w:t>https://commission.europa.eu/document/2c64e540-c07a-4376-a1da-368d289f4afe_en</w:t>
        </w:r>
      </w:hyperlink>
    </w:p>
  </w:footnote>
  <w:footnote w:id="8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hyperlink r:id="rId7" w:history="1">
        <w:r w:rsidRPr="00B06600">
          <w:rPr>
            <w:rStyle w:val="Hyperlink"/>
            <w:sz w:val="24"/>
            <w:lang w:val="hu-HU"/>
          </w:rPr>
          <w:t>https://efsa.onlinelibrary.wiley.com/action/downloadSupplement?doi=10.2903%2Fj.‌efsa.2024.8714&amp;file=efs28714-sup-0008-Annex8.pdf</w:t>
        </w:r>
      </w:hyperlink>
      <w:r w:rsidRPr="00B06600">
        <w:rPr>
          <w:rStyle w:val="Hyperlink"/>
          <w:sz w:val="24"/>
          <w:lang w:val="hu-HU"/>
        </w:rPr>
        <w:t>.</w:t>
      </w:r>
    </w:p>
  </w:footnote>
  <w:footnote w:id="9">
    <w:p w:rsidR="00FA7616" w:rsidRPr="00B06600" w:rsidRDefault="00FA7616" w:rsidP="00B06600">
      <w:pPr>
        <w:pStyle w:val="sdfootnote-western"/>
        <w:spacing w:before="0" w:beforeAutospacing="0"/>
        <w:ind w:left="567" w:hanging="567"/>
        <w:rPr>
          <w:rFonts w:ascii="Times New Roman" w:hAnsi="Times New Roman"/>
          <w:color w:val="auto"/>
          <w:sz w:val="24"/>
        </w:rPr>
      </w:pPr>
      <w:r w:rsidRPr="00B06600">
        <w:rPr>
          <w:rStyle w:val="FootnoteReference"/>
          <w:rFonts w:ascii="Times New Roman" w:hAnsi="Times New Roman"/>
          <w:sz w:val="24"/>
        </w:rPr>
        <w:footnoteRef/>
      </w:r>
      <w:r w:rsidR="00B06600" w:rsidRPr="00B06600">
        <w:rPr>
          <w:rFonts w:ascii="Times New Roman" w:hAnsi="Times New Roman"/>
          <w:color w:val="auto"/>
          <w:sz w:val="24"/>
        </w:rPr>
        <w:t xml:space="preserve"> </w:t>
      </w:r>
      <w:r w:rsidR="00B06600" w:rsidRPr="00B06600">
        <w:rPr>
          <w:rFonts w:ascii="Times New Roman" w:hAnsi="Times New Roman"/>
          <w:color w:val="auto"/>
          <w:sz w:val="24"/>
        </w:rPr>
        <w:tab/>
      </w:r>
      <w:r w:rsidRPr="00B06600">
        <w:rPr>
          <w:rFonts w:ascii="Times New Roman" w:hAnsi="Times New Roman"/>
          <w:color w:val="auto"/>
          <w:sz w:val="24"/>
        </w:rPr>
        <w:t xml:space="preserve">A 182/2011/EU rendelet 6. cikkének (3) bekezdése </w:t>
      </w:r>
      <w:proofErr w:type="gramStart"/>
      <w:r w:rsidRPr="00B06600">
        <w:rPr>
          <w:rFonts w:ascii="Times New Roman" w:hAnsi="Times New Roman"/>
          <w:color w:val="auto"/>
          <w:sz w:val="24"/>
        </w:rPr>
        <w:t>szerint</w:t>
      </w:r>
      <w:proofErr w:type="gramEnd"/>
      <w:r w:rsidRPr="00B06600">
        <w:rPr>
          <w:rFonts w:ascii="Times New Roman" w:hAnsi="Times New Roman"/>
          <w:color w:val="auto"/>
          <w:sz w:val="24"/>
        </w:rPr>
        <w:t xml:space="preserve"> ha nincs meg a tagállamok minősített többsége a fellebbviteli bizottságban, az Európai Bizottság az engedélyezést „folytathatja”, nem pedig „köteles folytatni”. </w:t>
      </w:r>
    </w:p>
  </w:footnote>
  <w:footnote w:id="10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r w:rsidRPr="00B06600">
        <w:rPr>
          <w:sz w:val="24"/>
          <w:lang w:val="hu-HU"/>
        </w:rPr>
        <w:t>Az Európai Parlament és a Tanács 178/2002/EK rendelete (2002. január 28.) az élelmiszerjog általános elveiről és követelményeiről, az Európai Élelmiszerbiztonsági Hatóság létrehozásáról és az élelmiszerbiztonságra vonatkozó eljárások megállapításáról (HL L 31</w:t>
      </w:r>
      <w:proofErr w:type="gramStart"/>
      <w:r w:rsidRPr="00B06600">
        <w:rPr>
          <w:sz w:val="24"/>
          <w:lang w:val="hu-HU"/>
        </w:rPr>
        <w:t>.,</w:t>
      </w:r>
      <w:proofErr w:type="gramEnd"/>
      <w:r w:rsidRPr="00B06600">
        <w:rPr>
          <w:sz w:val="24"/>
          <w:lang w:val="hu-HU"/>
        </w:rPr>
        <w:t xml:space="preserve"> 2002.2.1., 1. o., ELI:  </w:t>
      </w:r>
      <w:hyperlink r:id="rId8" w:tooltip="Az ELI (európai jogszabály-azonosító) URI-hivatkozása révén biztosít hozzáférést ehhez a dokumentumhoz." w:history="1">
        <w:r w:rsidRPr="00B06600">
          <w:rPr>
            <w:rStyle w:val="Hyperlink"/>
            <w:sz w:val="24"/>
            <w:lang w:val="hu-HU"/>
          </w:rPr>
          <w:t>http://data.europa.eu/eli/reg/2002/178/oj</w:t>
        </w:r>
      </w:hyperlink>
      <w:r w:rsidRPr="00B06600">
        <w:rPr>
          <w:sz w:val="24"/>
          <w:lang w:val="hu-HU"/>
        </w:rPr>
        <w:t>).</w:t>
      </w:r>
    </w:p>
  </w:footnote>
  <w:footnote w:id="11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hyperlink r:id="rId9" w:history="1">
        <w:r w:rsidRPr="00B06600">
          <w:rPr>
            <w:rStyle w:val="Hyperlink"/>
            <w:sz w:val="24"/>
            <w:lang w:val="hu-HU"/>
          </w:rPr>
          <w:t>https://tillymetz.lu/wp-content/uploads/2020/09/Co-signed-letter-MEP-Metz.pdf</w:t>
        </w:r>
      </w:hyperlink>
      <w:r w:rsidRPr="00B06600">
        <w:rPr>
          <w:rStyle w:val="Hyperlink"/>
          <w:sz w:val="24"/>
          <w:lang w:val="hu-HU"/>
        </w:rPr>
        <w:t xml:space="preserve">. </w:t>
      </w:r>
    </w:p>
  </w:footnote>
  <w:footnote w:id="12">
    <w:p w:rsidR="00FA7616" w:rsidRPr="00B06600" w:rsidRDefault="00FA7616" w:rsidP="00B06600">
      <w:pPr>
        <w:pStyle w:val="FootnoteText"/>
        <w:ind w:left="567" w:hanging="567"/>
        <w:rPr>
          <w:sz w:val="24"/>
          <w:lang w:val="hu-HU"/>
        </w:rPr>
      </w:pPr>
      <w:r w:rsidRPr="00B06600">
        <w:rPr>
          <w:rStyle w:val="FootnoteReference"/>
          <w:sz w:val="24"/>
          <w:lang w:val="hu-HU"/>
        </w:rPr>
        <w:footnoteRef/>
      </w:r>
      <w:r w:rsidR="00B06600" w:rsidRPr="00B06600">
        <w:rPr>
          <w:sz w:val="24"/>
          <w:lang w:val="hu-HU"/>
        </w:rPr>
        <w:t xml:space="preserve"> </w:t>
      </w:r>
      <w:r w:rsidR="00B06600" w:rsidRPr="00B06600">
        <w:rPr>
          <w:sz w:val="24"/>
          <w:lang w:val="hu-HU"/>
        </w:rPr>
        <w:tab/>
      </w:r>
      <w:r w:rsidRPr="00B06600">
        <w:rPr>
          <w:sz w:val="24"/>
          <w:lang w:val="hu-HU"/>
        </w:rPr>
        <w:t>Az Európai Parlament 2020. január 15-i állásfoglalása az európai zöld megállapodásról (HL C 270., 2021.7.7</w:t>
      </w:r>
      <w:proofErr w:type="gramStart"/>
      <w:r w:rsidRPr="00B06600">
        <w:rPr>
          <w:sz w:val="24"/>
          <w:lang w:val="hu-HU"/>
        </w:rPr>
        <w:t>.,</w:t>
      </w:r>
      <w:proofErr w:type="gramEnd"/>
      <w:r w:rsidRPr="00B06600">
        <w:rPr>
          <w:sz w:val="24"/>
          <w:lang w:val="hu-HU"/>
        </w:rPr>
        <w:t xml:space="preserve"> 2. o.), 102. bekezdés.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6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6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66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3/2024"/>
    <w:docVar w:name="dvlangue" w:val="HU"/>
    <w:docVar w:name="dvnumam" w:val="0"/>
    <w:docVar w:name="dvpe" w:val="763.294"/>
    <w:docVar w:name="dvtitre" w:val="Az Európai Parlament 2024.  ...-i állásfoglalása a géntechnológiával módosított MON 94804 kukoricát tartalmazó, abból álló vagy abból előállított termékek forgalomba hozatalának az 1829/2003/EK európai parlamenti és tanácsi rendelet szerinti engedélyezéséről szóló bizottsági végrehajtási határozat tervezetéről(D099729/02 – 2024/2841(RSP))"/>
  </w:docVars>
  <w:rsids>
    <w:rsidRoot w:val="00111C74"/>
    <w:rsid w:val="00002272"/>
    <w:rsid w:val="00064002"/>
    <w:rsid w:val="000677B9"/>
    <w:rsid w:val="000831BA"/>
    <w:rsid w:val="000A42CC"/>
    <w:rsid w:val="000E5D5F"/>
    <w:rsid w:val="000E7DD9"/>
    <w:rsid w:val="0010095E"/>
    <w:rsid w:val="00111C74"/>
    <w:rsid w:val="00125B37"/>
    <w:rsid w:val="00187494"/>
    <w:rsid w:val="001F32AE"/>
    <w:rsid w:val="002767FF"/>
    <w:rsid w:val="00296D37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5E6"/>
    <w:rsid w:val="00A43E52"/>
    <w:rsid w:val="00A4678D"/>
    <w:rsid w:val="00A778C7"/>
    <w:rsid w:val="00AB441E"/>
    <w:rsid w:val="00AB6293"/>
    <w:rsid w:val="00AE0928"/>
    <w:rsid w:val="00AF333B"/>
    <w:rsid w:val="00AF3B82"/>
    <w:rsid w:val="00B06600"/>
    <w:rsid w:val="00B12E95"/>
    <w:rsid w:val="00B22876"/>
    <w:rsid w:val="00B51D2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3718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61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5FBE79"/>
  <w15:chartTrackingRefBased/>
  <w15:docId w15:val="{FDEC7F7B-3832-4DDE-A637-143086A9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A7616"/>
    <w:pPr>
      <w:spacing w:before="480" w:after="240"/>
    </w:pPr>
  </w:style>
  <w:style w:type="paragraph" w:customStyle="1" w:styleId="NormalHanging12a">
    <w:name w:val="NormalHanging12a"/>
    <w:basedOn w:val="Normal"/>
    <w:rsid w:val="00FA7616"/>
    <w:pPr>
      <w:spacing w:after="240"/>
      <w:ind w:left="567" w:hanging="567"/>
    </w:pPr>
  </w:style>
  <w:style w:type="paragraph" w:customStyle="1" w:styleId="NormalBold">
    <w:name w:val="NormalBold"/>
    <w:basedOn w:val="Normal"/>
    <w:rsid w:val="00FA7616"/>
    <w:rPr>
      <w:b/>
    </w:rPr>
  </w:style>
  <w:style w:type="character" w:styleId="Hyperlink">
    <w:name w:val="Hyperlink"/>
    <w:basedOn w:val="DefaultParagraphFont"/>
    <w:uiPriority w:val="99"/>
    <w:rsid w:val="00FA7616"/>
    <w:rPr>
      <w:color w:val="0563C1" w:themeColor="hyperlink"/>
      <w:u w:val="single"/>
    </w:rPr>
  </w:style>
  <w:style w:type="paragraph" w:customStyle="1" w:styleId="sdfootnote-western">
    <w:name w:val="sdfootnote-western"/>
    <w:basedOn w:val="Normal"/>
    <w:rsid w:val="00FA7616"/>
    <w:pPr>
      <w:widowControl/>
      <w:spacing w:before="100" w:beforeAutospacing="1"/>
      <w:ind w:left="346" w:hanging="346"/>
    </w:pPr>
    <w:rPr>
      <w:rFonts w:ascii="Calibri" w:hAnsi="Calibri"/>
      <w:color w:val="000000"/>
      <w:sz w:val="20"/>
    </w:rPr>
  </w:style>
  <w:style w:type="paragraph" w:styleId="BalloonText">
    <w:name w:val="Balloon Text"/>
    <w:basedOn w:val="Normal"/>
    <w:link w:val="BalloonTextChar"/>
    <w:rsid w:val="000E5D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5D5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s://doi.org/10.2903/j.efsa.2024.8714" TargetMode="External"/><Relationship Id="rId7" Type="http://schemas.openxmlformats.org/officeDocument/2006/relationships/hyperlink" Target="https://efsa.onlinelibrary.wiley.com/action/downloadSupplement?doi=10.2903/j.efsa.2024.8714&amp;file=efs28714-sup-0008-Annex8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s://commission.europa.eu/document/2c64e540-c07a-4376-a1da-368d289f4afe_en" TargetMode="External"/><Relationship Id="rId5" Type="http://schemas.openxmlformats.org/officeDocument/2006/relationships/hyperlink" Target="https://doi.org/10.2903/j.efsa.2024.8714" TargetMode="External"/><Relationship Id="rId4" Type="http://schemas.openxmlformats.org/officeDocument/2006/relationships/hyperlink" Target="https://doi.org/10.2903/sp.efsa.2019.EN-1688" TargetMode="External"/><Relationship Id="rId9" Type="http://schemas.openxmlformats.org/officeDocument/2006/relationships/hyperlink" Target="https://tillymetz.lu/wp-content/uploads/2020/09/Co-signed-letter-MEP-Met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805FA-7287-413A-8311-357AF91E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1277</Words>
  <Characters>9086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2024-11-26T11:36:00Z</dcterms:created>
  <dcterms:modified xsi:type="dcterms:W3CDTF">2024-11-26T11:36:00Z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B10-0153/2024</vt:lpwstr>
  </property>
  <property fmtid="{D5CDD505-2E9C-101B-9397-08002B2CF9AE}" pid="4" name="&lt;Type&gt;">
    <vt:lpwstr>RR</vt:lpwstr>
  </property>
</Properties>
</file>