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4D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4D80" w:rsidRDefault="00BA7B52" w:rsidP="0010095E">
            <w:pPr>
              <w:pStyle w:val="EPName"/>
            </w:pPr>
            <w:r w:rsidRPr="00ED4D80">
              <w:t>Parlament Ewropew</w:t>
            </w:r>
          </w:p>
          <w:p w:rsidR="00751A4A" w:rsidRPr="00ED4D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4D80">
              <w:t>2024</w:t>
            </w:r>
            <w:r w:rsidR="00817416" w:rsidRPr="00ED4D80">
              <w:t>-202</w:t>
            </w:r>
            <w:r w:rsidRPr="00ED4D8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D4D80" w:rsidRDefault="00187494" w:rsidP="0010095E">
            <w:pPr>
              <w:pStyle w:val="EPLogo"/>
            </w:pPr>
            <w:r w:rsidRPr="00ED4D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4D80" w:rsidRDefault="00D058B8" w:rsidP="004C5D52">
      <w:pPr>
        <w:pStyle w:val="LineTop"/>
      </w:pPr>
    </w:p>
    <w:p w:rsidR="00680577" w:rsidRPr="00ED4D80" w:rsidRDefault="00BA7B52" w:rsidP="00680577">
      <w:pPr>
        <w:pStyle w:val="EPBodyTA1"/>
      </w:pPr>
      <w:r w:rsidRPr="00ED4D80">
        <w:t>TESTI ADOTTATI</w:t>
      </w:r>
    </w:p>
    <w:p w:rsidR="00D058B8" w:rsidRPr="00ED4D80" w:rsidRDefault="00D058B8" w:rsidP="00D058B8">
      <w:pPr>
        <w:pStyle w:val="LineBottom"/>
      </w:pPr>
    </w:p>
    <w:p w:rsidR="00BA7B52" w:rsidRPr="00ED4D80" w:rsidRDefault="00BA7B52" w:rsidP="00BA7B52">
      <w:pPr>
        <w:pStyle w:val="ATHeading1"/>
      </w:pPr>
      <w:bookmarkStart w:id="0" w:name="TANumber"/>
      <w:r w:rsidRPr="00ED4D80">
        <w:t>P10_TA(2024)00</w:t>
      </w:r>
      <w:bookmarkEnd w:id="0"/>
      <w:r w:rsidR="009512C8">
        <w:t>45</w:t>
      </w:r>
    </w:p>
    <w:p w:rsidR="00BA7B52" w:rsidRPr="00ED4D80" w:rsidRDefault="003339BF" w:rsidP="00BA7B52">
      <w:pPr>
        <w:pStyle w:val="ATHeading2"/>
      </w:pPr>
      <w:bookmarkStart w:id="1" w:name="title"/>
      <w:r>
        <w:t>Q</w:t>
      </w:r>
      <w:r w:rsidR="00BA7B52" w:rsidRPr="00ED4D80">
        <w:t>amħirrum ġenetikament modifikat MON 94804</w:t>
      </w:r>
      <w:bookmarkEnd w:id="1"/>
    </w:p>
    <w:p w:rsidR="00BA7B52" w:rsidRPr="00ED4D80" w:rsidRDefault="00BA7B52" w:rsidP="00BA7B52">
      <w:pPr>
        <w:rPr>
          <w:i/>
          <w:vanish/>
        </w:rPr>
      </w:pPr>
      <w:r w:rsidRPr="00ED4D80">
        <w:rPr>
          <w:i/>
        </w:rPr>
        <w:fldChar w:fldCharType="begin"/>
      </w:r>
      <w:r w:rsidRPr="00ED4D80">
        <w:rPr>
          <w:i/>
        </w:rPr>
        <w:instrText xml:space="preserve"> TC"(</w:instrText>
      </w:r>
      <w:bookmarkStart w:id="2" w:name="DocNumber"/>
      <w:r w:rsidRPr="00ED4D80">
        <w:rPr>
          <w:i/>
        </w:rPr>
        <w:instrText>B10-0153/2024</w:instrText>
      </w:r>
      <w:bookmarkEnd w:id="2"/>
      <w:r w:rsidRPr="00ED4D80">
        <w:rPr>
          <w:i/>
        </w:rPr>
        <w:instrText xml:space="preserve">)"\l3 \n&gt; \* MERGEFORMAT </w:instrText>
      </w:r>
      <w:r w:rsidRPr="00ED4D80">
        <w:rPr>
          <w:i/>
        </w:rPr>
        <w:fldChar w:fldCharType="end"/>
      </w:r>
    </w:p>
    <w:p w:rsidR="00BA7B52" w:rsidRPr="00ED4D80" w:rsidRDefault="00BA7B52" w:rsidP="00BA7B52">
      <w:pPr>
        <w:rPr>
          <w:vanish/>
        </w:rPr>
      </w:pPr>
      <w:bookmarkStart w:id="3" w:name="PE"/>
      <w:r w:rsidRPr="00ED4D80">
        <w:rPr>
          <w:vanish/>
        </w:rPr>
        <w:t>PE763.294</w:t>
      </w:r>
      <w:bookmarkEnd w:id="3"/>
    </w:p>
    <w:p w:rsidR="00BA7B52" w:rsidRPr="00ED4D80" w:rsidRDefault="00BA7B52" w:rsidP="002E1505">
      <w:pPr>
        <w:pStyle w:val="ATHeading3"/>
      </w:pPr>
      <w:bookmarkStart w:id="4" w:name="Sujet"/>
      <w:r w:rsidRPr="00ED4D80">
        <w:t xml:space="preserve">Riżoluzzjoni tal-Parlament Ewropew tas-26 ta' Novembru 2024 dwar l-abbozz ta’ deċiżjoni ta’ implimentazzjoni tal-Kummissjoni dwar l-awtorizzazzjoni għall-introduzzjoni fis-suq ta’ prodotti li fihom, li jikkonsistu minn, jew li huma prodotti mill-qamħirrum ġenetikament </w:t>
      </w:r>
      <w:r w:rsidR="00091449">
        <w:t>modifikat MON 94804</w:t>
      </w:r>
      <w:r w:rsidRPr="00ED4D80">
        <w:t xml:space="preserve"> s</w:t>
      </w:r>
      <w:r w:rsidR="00252BFA">
        <w:t>kont ir-Regolament (KE) Nru 1829</w:t>
      </w:r>
      <w:r w:rsidRPr="00ED4D80">
        <w:t>/2003 tal-Parlament Ewropew u tal-Kunsill</w:t>
      </w:r>
      <w:bookmarkEnd w:id="4"/>
      <w:r w:rsidRPr="00ED4D80">
        <w:t xml:space="preserve"> </w:t>
      </w:r>
      <w:bookmarkStart w:id="5" w:name="References"/>
      <w:r w:rsidRPr="00ED4D80">
        <w:t>(D099729/02 – 2024/2841(RSP))</w:t>
      </w:r>
      <w:bookmarkEnd w:id="5"/>
    </w:p>
    <w:p w:rsidR="00E4236D" w:rsidRPr="00ED4D80" w:rsidRDefault="00E4236D" w:rsidP="00E4236D">
      <w:pPr>
        <w:pStyle w:val="EPComma"/>
      </w:pPr>
      <w:bookmarkStart w:id="6" w:name="TextBodyBegin"/>
      <w:bookmarkEnd w:id="6"/>
      <w:r w:rsidRPr="00ED4D80">
        <w:rPr>
          <w:i/>
        </w:rPr>
        <w:t>Il-Parlament Ewropew</w:t>
      </w:r>
      <w:r w:rsidRPr="00ED4D80">
        <w:t>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–</w:t>
      </w:r>
      <w:r w:rsidRPr="00ED4D80">
        <w:tab/>
        <w:t>wara li kkunsidra l-abbozz ta’ deċiżjoni ta’ implimentazzjoni tal-Kummissjoni dwar l-awtorizzazzjoni għall-introduzzjoni fis-suq ta’ prodotti li fihom, li jikkonsistu minn, jew li huma prodotti mill-qamħirrum ġenetikament modifikat MON 94804, skont ir-Regolament (KE) Nru 1</w:t>
      </w:r>
      <w:r w:rsidR="00252BFA">
        <w:t>829</w:t>
      </w:r>
      <w:r w:rsidRPr="00ED4D80">
        <w:t>/2003 tal-Parlament Ewropew u tal-Kunsill (D099729/02),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–</w:t>
      </w:r>
      <w:r w:rsidRPr="00ED4D80">
        <w:tab/>
        <w:t>wara li kkunsidra r-Regolament (</w:t>
      </w:r>
      <w:r w:rsidR="00252BFA">
        <w:t>K</w:t>
      </w:r>
      <w:r w:rsidRPr="00ED4D80">
        <w:t>E) Nru 1829/2003 tal-Parlament Ewropew u tal-Kunsill tat-22 ta’ Settembru 2003 dwar ikel u għalf modifikat ġenetikament</w:t>
      </w:r>
      <w:r w:rsidRPr="00ED4D80">
        <w:rPr>
          <w:rStyle w:val="FootnoteReference"/>
          <w:szCs w:val="24"/>
        </w:rPr>
        <w:footnoteReference w:id="1"/>
      </w:r>
      <w:r w:rsidRPr="00ED4D80">
        <w:t>, u b’mod partikolari l-Artikolu 7(3) u l-Artikolu 19(3) tiegħu,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–</w:t>
      </w:r>
      <w:r w:rsidRPr="00ED4D80">
        <w:tab/>
        <w:t xml:space="preserve">wara li kkunsidra l-votazzjoni </w:t>
      </w:r>
      <w:r w:rsidRPr="00ED4D80">
        <w:rPr>
          <w:shd w:val="clear" w:color="auto" w:fill="FFFFFF"/>
        </w:rPr>
        <w:t>tal-Kumitat Permanenti dwar il-Pjanti, l-Annimali, l-Ikel u l-Għalf imsemmi fl-Artikolu 35 tar-Regolament (KE) Nru 1829/2003, tas-17 ta’ Settembru 2024, fejn ma ngħatat ebda opinjoni</w:t>
      </w:r>
      <w:r w:rsidRPr="00ED4D80">
        <w:t>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–</w:t>
      </w:r>
      <w:r w:rsidRPr="00ED4D80">
        <w:tab/>
        <w:t>wara li kkunsidra l-Artikolu 11 tar-Regolament (UE) Nru 182/2011 tal-Parlament Ewropew u tal-Kunsill tas-16 ta’ Frar 2011 li jistabbilixxi r-regoli u l-prinċipji ġenerali dwar il-modalitajiet ta’ kontroll mill-Istati Membri tal-eżerċizzju mill-Kummissjoni tas-setgħat ta’ implimentazzjoni</w:t>
      </w:r>
      <w:r w:rsidRPr="00ED4D80">
        <w:rPr>
          <w:rStyle w:val="FootnoteReference"/>
          <w:szCs w:val="24"/>
        </w:rPr>
        <w:footnoteReference w:id="2"/>
      </w:r>
      <w:r w:rsidRPr="00ED4D80">
        <w:t>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–</w:t>
      </w:r>
      <w:r w:rsidRPr="00ED4D80">
        <w:tab/>
        <w:t>wara li kkunsidra l-opinjoni adottata mill-Awtorità Ewropea dwar is-Sigurtà fl-Ikel (EFSA) fit-13 ta’ </w:t>
      </w:r>
      <w:r w:rsidR="00252BFA">
        <w:t>Marzu 2024, u ppubblikata fid-26</w:t>
      </w:r>
      <w:r w:rsidRPr="00ED4D80">
        <w:t> ta’ April 2024</w:t>
      </w:r>
      <w:r w:rsidRPr="00ED4D80">
        <w:rPr>
          <w:rStyle w:val="FootnoteReference"/>
          <w:szCs w:val="24"/>
        </w:rPr>
        <w:footnoteReference w:id="3"/>
      </w:r>
      <w:r w:rsidRPr="00ED4D80">
        <w:t>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rPr>
          <w:rFonts w:ascii="Symbol" w:hAnsi="Symbol"/>
        </w:rPr>
        <w:lastRenderedPageBreak/>
        <w:sym w:font="Symbol" w:char="F02D"/>
      </w:r>
      <w:r w:rsidRPr="00ED4D80">
        <w:rPr>
          <w:rFonts w:ascii="Symbol" w:hAnsi="Symbol"/>
        </w:rPr>
        <w:tab/>
      </w:r>
      <w:r w:rsidRPr="00ED4D80">
        <w:rPr>
          <w:shd w:val="clear" w:color="auto" w:fill="FFFFFF"/>
        </w:rPr>
        <w:t>wara li kkunsidra r-riżoluzzjonijiet preċedenti tiegħu li joġġezzjonaw għall-awtorizzazzjoni ta’ organiżmi ġenetikament modifikati (“OĠM”)</w:t>
      </w:r>
      <w:r w:rsidRPr="00ED4D80">
        <w:rPr>
          <w:szCs w:val="24"/>
          <w:shd w:val="clear" w:color="auto" w:fill="FFFFFF"/>
          <w:vertAlign w:val="superscript"/>
        </w:rPr>
        <w:footnoteReference w:id="4"/>
      </w:r>
      <w:r w:rsidRPr="00ED4D80">
        <w:rPr>
          <w:shd w:val="clear" w:color="auto" w:fill="FFFFFF"/>
        </w:rPr>
        <w:t>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–</w:t>
      </w:r>
      <w:r w:rsidRPr="00ED4D80">
        <w:tab/>
        <w:t>wara li kkunsidra l-Artikolu 115(2) u (3) tar-Regoli ta’ Proċedura tiegħu,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–</w:t>
      </w:r>
      <w:r w:rsidRPr="00ED4D80">
        <w:tab/>
        <w:t>wara li kkunsidra l-mozzjoni għal riżoluzzjoni tal-Kumitat għall-Ambjent, is-Saħħa Pubblika u s-Sikurezza tal-Ikel,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A.</w:t>
      </w:r>
      <w:r w:rsidRPr="00ED4D80">
        <w:tab/>
        <w:t>billi, fl-14 ta’ Frar 2023, Bayer Agriculture BV, ibbażata fil-Belġju, ippreżentat f’isem il-kumpanija Bayer CropScience LP, ibbażata fl-Istati Uniti, applikazzjoni lill-awtorità kompetenti nazzjonali tan-Netherlands għall-introduzzjoni fis-suq ta’ ikel, ta’ ingredjenti tal-ikel u ta’ għalf li fihom, li jikkonsistu minn, jew li huma prodotti mill-qamħirrum ġenetikament modifikat MON 94804 (il-“qamħirrum ĠM”), f’konformità mal-Artikoli 5 u 17 tar-Regolament (KE) Nru 1829/2003 (“l-applikazzjoni”);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B.</w:t>
      </w:r>
      <w:r w:rsidRPr="00ED4D80">
        <w:tab/>
        <w:t xml:space="preserve">billi l-applikazzjoni kienet tikkonċerna wkoll l-introduzzjoni fis-suq ta’ prodotti li fihom jew li jikkonsistu mill-qamħirrum </w:t>
      </w:r>
      <w:r w:rsidR="00091449" w:rsidRPr="00ED4D80">
        <w:t>ĠM</w:t>
      </w:r>
      <w:r w:rsidR="00091449">
        <w:t xml:space="preserve"> </w:t>
      </w:r>
      <w:r w:rsidRPr="00ED4D80">
        <w:t>għal użi oħra għajr l-ikel u l-għalf, bl-eċċezzjoni tal-kultivazzjoni;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C.</w:t>
      </w:r>
      <w:r w:rsidRPr="00ED4D80">
        <w:tab/>
        <w:t>billi, fit-13 ta’ Marzu 2024, l-EFSA adottat opinjoni favorevoli, li ġiet ippubblikata fis-26 ta’ April 2024, li tikkonkludi li l-qamħirrum ĠM huwa sikur daqs il-kontroparti konvenzjonali tiegħu u l-varjetajiet ta’ qamħirrum mhux ĠM ittestjati fir-rigward tal-effetti potenzjali fuq is-saħħa tal-bniedem u tal-annimali u l-ambjent;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D.</w:t>
      </w:r>
      <w:r w:rsidRPr="00ED4D80">
        <w:tab/>
        <w:t>billi l-qamħirrum ĠM ġie ġenetikament modifikat biex jipproduċi miRNA artifiċjali maħsub biex irażżan b’mod selettiv żewġ ġeni fi ħdan familja ta’ ġeni akbar involuta fir-rotta bijosintetika tal-aċidu gibberelliku, u b’hekk jitnaqqas l-għoli tal-pjanta;</w:t>
      </w:r>
    </w:p>
    <w:p w:rsidR="00E4236D" w:rsidRPr="00ED4D80" w:rsidRDefault="00E4236D" w:rsidP="00E4236D">
      <w:pPr>
        <w:pStyle w:val="NormalHanging12a"/>
        <w:rPr>
          <w:b/>
          <w:i/>
          <w:szCs w:val="24"/>
        </w:rPr>
      </w:pPr>
      <w:r w:rsidRPr="00ED4D80">
        <w:rPr>
          <w:b/>
          <w:i/>
        </w:rPr>
        <w:t>Kwistjonijiet pendenti dwar l-effetti tal-miRNA artifiċjali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E.</w:t>
      </w:r>
      <w:r w:rsidRPr="00ED4D80">
        <w:tab/>
        <w:t>billi l-introduzzjoni tal-miRNA artifiċjali mhux biss tinterferixxi mal-ġeni fil-mira, iżda tinvolvi wkoll funzjonijiet regolatorji oħra; billi l-miRNA jgħaddi minn ipproċessar ulterjuri fil-pjanta, u b’hekk jinteraġixxi ma’ enzimi tal-pjanti speċifiċi; billi l-effetti tiegħu f’ħafna każijiet mhumiex ristretti għall-ġene fil-mira, iżda spiss jinvolvu kaskati metaboliċi ta’ diversi mijiet ta’ funzjonijiet oħra tal-ġeni;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F.</w:t>
      </w:r>
      <w:r w:rsidRPr="00ED4D80">
        <w:tab/>
        <w:t>billi l-applikant jippreżenta data insuffiċjenti u mhux kompluta dwar l-interazzjonijiet bejn il-miRNA artifiċjali, il-prodotti li jirriżultaw minn proċessi ulterjuri fiċ-ċelloli, il-persistenza ta’ dawn il-molekuli fiċ-ċelloli u l-interferenza tagħhom f’networks regolatorji oħra;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G.</w:t>
      </w:r>
      <w:r w:rsidRPr="00ED4D80">
        <w:tab/>
        <w:t xml:space="preserve">billi biex jiġi konkluż li l-miRNAs ma jippreżentawx riskju ta’ tossiċità għall-bnedmin u l-annimali, l-EFSA tassumi li l-miRNA artifiċjali jiġi degradat malajr; billi, </w:t>
      </w:r>
      <w:r w:rsidRPr="00ED4D80">
        <w:lastRenderedPageBreak/>
        <w:t>madankollu, diversi studji, inkluż dak li jikkwotaw bħala bażi għal dik l-affermazzjoni</w:t>
      </w:r>
      <w:r w:rsidRPr="00ED4D80">
        <w:rPr>
          <w:rStyle w:val="FootnoteReference"/>
          <w:szCs w:val="24"/>
        </w:rPr>
        <w:footnoteReference w:id="5"/>
      </w:r>
      <w:r w:rsidRPr="00ED4D80">
        <w:t>, jirrapportaw li, bl-appoġġ ta’ mekkaniżmi speċifiċi, il-miRNA jista’ jittieħed mill-imsaren;</w:t>
      </w:r>
    </w:p>
    <w:p w:rsidR="00E4236D" w:rsidRPr="00ED4D80" w:rsidRDefault="00E4236D" w:rsidP="00E4236D">
      <w:pPr>
        <w:pStyle w:val="NormalHanging12a"/>
        <w:rPr>
          <w:b/>
          <w:i/>
          <w:szCs w:val="24"/>
        </w:rPr>
      </w:pPr>
      <w:r w:rsidRPr="00ED4D80">
        <w:rPr>
          <w:b/>
          <w:i/>
        </w:rPr>
        <w:t xml:space="preserve">Kwistjonijiet pendenti dwar l-effetti tal-livell imnaqqas tal-gibberellini 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H.</w:t>
      </w:r>
      <w:r w:rsidRPr="00ED4D80">
        <w:tab/>
        <w:t>billi, kif enfasizzat mill-esperti mill-Istati Membri</w:t>
      </w:r>
      <w:r w:rsidRPr="00ED4D80">
        <w:rPr>
          <w:rStyle w:val="FootnoteReference"/>
          <w:szCs w:val="24"/>
        </w:rPr>
        <w:footnoteReference w:id="6"/>
      </w:r>
      <w:r w:rsidRPr="00ED4D80">
        <w:t xml:space="preserve">, il-gibberellini huma regolaturi ewlenin ta’ diversi proċessi fiżjoloġiċi fil-pjanti; 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I.</w:t>
      </w:r>
      <w:r w:rsidRPr="00ED4D80">
        <w:tab/>
        <w:t xml:space="preserve">billi minbarra l-istatura tal-pjanti, il-gibberellini jirregolaw ukoll il-ġerminazzjoni u l-fjoritura, għandhom rwol fir-regolamentazzjoni tat-tolleranza tal-istress u huma parti minn crosstalk regolatorju kumpless ma’ ormoni oħra tal-pjanti f’diversi rotot ta’ sinjalazzjoni, eż. proċessi fiżjoloġiċi li jaffettwaw il-kompożizzjoni tal-pjanti; billi l-gibberellini huma involuti wkoll fir-rispons immunitarju tal-pjanti għall-patoġeni; 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J.</w:t>
      </w:r>
      <w:r w:rsidRPr="00ED4D80">
        <w:tab/>
        <w:t>billi l-biċċa l-kbira tal-impatti fuq dawn il-proċessi differenti ma ġewx esplorati mill-applikant, minbarra l-effetti potenzjali fuq il-ġerminazzjoni, il-fjoritura u l-piż tal-ħabba;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K.</w:t>
      </w:r>
      <w:r w:rsidRPr="00ED4D80">
        <w:tab/>
        <w:t>billi l-espressjoni ġenika u l-impatt tagħha fuq il-produzzjoni tal-gibberellini bijoattivi u l-impatt metaboliku ġew investigati biss f’kundizzjonijiet fuq il-post mingħajr ebda fattur ta’ stress partikolari, filwaqt li huwa magħruf li l-aċidu gibberelliku huwa involut f’ħafna reazzjonijiet ta’ stress bijotiku u abijotiku;</w:t>
      </w:r>
    </w:p>
    <w:p w:rsidR="00E4236D" w:rsidRPr="00ED4D80" w:rsidRDefault="00E4236D" w:rsidP="00E4236D">
      <w:pPr>
        <w:pStyle w:val="NormalHanging12a"/>
        <w:rPr>
          <w:b/>
          <w:i/>
          <w:szCs w:val="24"/>
        </w:rPr>
      </w:pPr>
      <w:r w:rsidRPr="00ED4D80">
        <w:rPr>
          <w:b/>
          <w:i/>
        </w:rPr>
        <w:t>Tnaqqis tad-dipendenza fuq l-għalf importat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L.</w:t>
      </w:r>
      <w:r w:rsidRPr="00ED4D80">
        <w:tab/>
        <w:t>billi waħda mit-tagħlimiet mill-kriżi tal-COVID-19 u mill-gwerra li għadha għaddejja fl-Ukrajna hija l-ħtieġa li l-Unjoni ttemm id-dipendenzi fuq xi materjali kritiċi; billi fl-ittra ta’ missjoni lill-Kummissarju nnominat Christophe Hansen, il-President tal-Kummissjoni Ursula von der Leyen titolbu jħares lejn modi kif jitnaqqsu l-importazzjonijiet ta’ komoditajiet kritiċi</w:t>
      </w:r>
      <w:r w:rsidRPr="00ED4D80">
        <w:rPr>
          <w:rStyle w:val="FootnoteReference"/>
          <w:szCs w:val="24"/>
        </w:rPr>
        <w:footnoteReference w:id="7"/>
      </w:r>
      <w:r w:rsidRPr="00ED4D80">
        <w:t xml:space="preserve">; </w:t>
      </w:r>
    </w:p>
    <w:p w:rsidR="00E4236D" w:rsidRPr="00ED4D80" w:rsidRDefault="00E4236D" w:rsidP="00E4236D">
      <w:pPr>
        <w:pStyle w:val="NormalHanging12a"/>
        <w:rPr>
          <w:b/>
          <w:i/>
          <w:szCs w:val="24"/>
        </w:rPr>
      </w:pPr>
      <w:r w:rsidRPr="00ED4D80">
        <w:rPr>
          <w:b/>
          <w:i/>
        </w:rPr>
        <w:t>Kummenti tal-awtorità kompetenti tal-Istat Membru u tal-partijiet ikkonċernati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M.</w:t>
      </w:r>
      <w:r w:rsidRPr="00ED4D80">
        <w:tab/>
        <w:t>billi l-Istati Membri ppreżentaw ħafna kummenti kritiċi lill-EFSA matul il-perjodu ta’ konsultazzjoni ta’ tliet xhur</w:t>
      </w:r>
      <w:r w:rsidRPr="00ED4D80">
        <w:rPr>
          <w:rStyle w:val="FootnoteReference"/>
          <w:szCs w:val="24"/>
        </w:rPr>
        <w:footnoteReference w:id="8"/>
      </w:r>
      <w:r w:rsidRPr="00ED4D80">
        <w:t xml:space="preserve">, b’mod partikolari li l-gibberellini huma regolaturi ewlenin ta’ diversi proċessi fiżjoloġiċi fil-pjanti, b’mod partikolari dawk relatati ma’ fatturi ta’ </w:t>
      </w:r>
      <w:r w:rsidRPr="00ED4D80">
        <w:lastRenderedPageBreak/>
        <w:t xml:space="preserve">stress bijotiċi u abijotiċi, u li d-data pprovduta mill-applikant mhijiex kompluta fil-valutazzjoni tal-impatt potenzjali ta’ livelli mnaqqsa tal-gibberellini fuq dawn il-proċessi kollha, u li l-varjetà fil-provi fuq il-post hija insuffiċjenti; billi l-Istati Membri kkritikaw ukoll in-nuqqas ta’ data dwar ir-riskji maħluqa minn stabbiltà possibbli fit-tul tal-miRNA artifiċjali fil-pjanta, jew mill-fatt li parti mhux negliġibbli tad-DNA modifikat hija suxxettibbli li tittieħed mill-imsaren tal-annimali jew tal-bnedmin kif ukoll mill-fatt li d-data pprovduta ma tagħtix prova li t-trasferiment tal-ġeni mill-pjanti għall-batterji huwa improbabbli; 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N.</w:t>
      </w:r>
      <w:r w:rsidRPr="00ED4D80">
        <w:tab/>
        <w:t>billi r-Regolament (KE) Nru 1829/2003 jiddikjara li l-ikel jew l-għalf ĠM ma jridx ikollu effetti negattivi fuq is-saħħa tal-bniedem, is-saħħa tal-annimali jew l-ambjent, u jeżiġi li l-Kummissjoni tqis kwalunkwe dispożizzjoni rilevanti fid-dritt tal-Unjoni u fatturi leġittimi oħra rilevanti għall-kwistjoni taħt kunsiderazzjoni meta tkun qed tabbozza d-deċiżjoni tagħha;</w:t>
      </w:r>
    </w:p>
    <w:p w:rsidR="00E4236D" w:rsidRPr="00ED4D80" w:rsidRDefault="00E4236D" w:rsidP="00E4236D">
      <w:pPr>
        <w:pStyle w:val="NormalHanging12a"/>
        <w:rPr>
          <w:b/>
          <w:i/>
          <w:szCs w:val="24"/>
        </w:rPr>
      </w:pPr>
      <w:r w:rsidRPr="00ED4D80">
        <w:rPr>
          <w:b/>
          <w:i/>
        </w:rPr>
        <w:t>Proċess deċiżjonali mhux demokratiku</w:t>
      </w:r>
    </w:p>
    <w:p w:rsidR="00E4236D" w:rsidRPr="00ED4D80" w:rsidRDefault="00E4236D" w:rsidP="00E4236D">
      <w:pPr>
        <w:pStyle w:val="NormalHanging12a"/>
        <w:rPr>
          <w:b/>
          <w:i/>
          <w:szCs w:val="24"/>
        </w:rPr>
      </w:pPr>
      <w:r w:rsidRPr="00ED4D80">
        <w:t>O.</w:t>
      </w:r>
      <w:r w:rsidRPr="00ED4D80">
        <w:tab/>
        <w:t>billi, fit-tmien leġiżlatura tiegħu, il-Parlament adotta total ta’ 36 riżoluzzjoni li joġġezzjonaw għall-introduzzjoni fis-suq ta’ OĠM għall-ikel u l-għalf (33 riżoluzzjoni) u għall-kultivazzjoni ta’ OĠM fl-Unjoni (tliet riżoluzzjonijiet); billi, fid-disa’ leġiżlatura tiegħu, il-Parlament adotta 38 oġġezzjoni għall-introduzzjoni ta’ OĠM fis-suq;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P.</w:t>
      </w:r>
      <w:r w:rsidRPr="00ED4D80">
        <w:tab/>
        <w:t>billi minkejja r-rikonoxximent tagħha stess tan-nuqqasijiet demokratiċi, in-nuqqas ta’ appoġġ mill-Istati Membri u l-oġġezzjonijiet tal-Parlament, il-Kummissjoni qed tkompli tawtorizza l-OĠM;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Q.</w:t>
      </w:r>
      <w:r w:rsidRPr="00ED4D80">
        <w:tab/>
        <w:t>billi ma hija meħtieġa ebda bidla fil-liġi biex il-Kummissjoni tkun tista’ ma tawtorizzax l-OĠM meta ma jkunx hemm maġġoranza kwalifikata ta’ Stati Membri favur fil-Kumitat ta’ Appell</w:t>
      </w:r>
      <w:r w:rsidRPr="00ED4D80">
        <w:rPr>
          <w:rStyle w:val="FootnoteReference"/>
          <w:szCs w:val="24"/>
        </w:rPr>
        <w:footnoteReference w:id="9"/>
      </w:r>
      <w:r w:rsidRPr="00ED4D80">
        <w:t>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R.</w:t>
      </w:r>
      <w:r w:rsidRPr="00ED4D80">
        <w:tab/>
      </w:r>
      <w:r w:rsidRPr="00ED4D80">
        <w:rPr>
          <w:shd w:val="clear" w:color="auto" w:fill="FFFFFF"/>
        </w:rPr>
        <w:t xml:space="preserve">billi l-votazzjoni fis-17 ta’ Settembru 2024 tal-Kumitat Permanenti dwar il-Pjanti, l-Annimali, l-Ikel u l-Għalf imsemmi fl-Artikolu 35 tar-Regolament (KE) Nru 1829/2003 ma tat l-ebda opinjoni, li jfisser li l-awtorizzazzjoni ma kinitx appoġġjata minn maġġoranza kwalifikata tal-Istati Membri; 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1.</w:t>
      </w:r>
      <w:r w:rsidRPr="00ED4D80">
        <w:tab/>
        <w:t>Iqis li l-abbozz ta’ deċiżjoni ta’ implimentazzjoni tal-Kummissjoni jisboq is-setgħat ta’ implimentazzjoni previsti fir-Regolament (</w:t>
      </w:r>
      <w:r w:rsidR="00252BFA">
        <w:t>K</w:t>
      </w:r>
      <w:bookmarkStart w:id="7" w:name="_GoBack"/>
      <w:bookmarkEnd w:id="7"/>
      <w:r w:rsidRPr="00ED4D80">
        <w:t>E) Nru 1829/2003;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2.</w:t>
      </w:r>
      <w:r w:rsidRPr="00ED4D80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 178/2002 tal-Parlament Ewropew u tal-Kunsill</w:t>
      </w:r>
      <w:r w:rsidRPr="00ED4D80">
        <w:rPr>
          <w:rStyle w:val="FootnoteReference"/>
          <w:szCs w:val="24"/>
        </w:rPr>
        <w:footnoteReference w:id="10"/>
      </w:r>
      <w:r w:rsidRPr="00ED4D80">
        <w:t>, huwa li jipprovdi l-bażi biex, fir-</w:t>
      </w:r>
      <w:r w:rsidRPr="00ED4D80">
        <w:lastRenderedPageBreak/>
        <w:t>rigward tal-ikel u l-għalf ĠM, jiżgura livell għoli ta’ protezzjoni għall-ħajja u s-saħħa umana, is-saħħa u l-benesseri tal-annimali, u l-interessi tal-ambjent u tal-konsumaturi, filwaqt li jiżgura l-funzjonament effikaċi tas-suq intern;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3.</w:t>
      </w:r>
      <w:r w:rsidRPr="00ED4D80">
        <w:tab/>
        <w:t>Jistieden lill-Kummissjoni tirtira l-abbozz ta’ deċiżjoni ta’ implimentazzjoni tagħha u tippreżenta abbozz ġdid lill-kumitat;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4.</w:t>
      </w:r>
      <w:r w:rsidRPr="00ED4D80">
        <w:tab/>
        <w:t>Jilqa’ l-fatt li l-Kummissjoni fl-aħħar irrikonoxxiet, f’ittra datata l-11 ta’ Settembru 2020 lill-Membri, il-ħtieġa li tqis is-sostenibbiltà fir-rigward ta’ deċiżjonijiet ta’ awtorizzazzjoni dwar OĠM</w:t>
      </w:r>
      <w:r w:rsidRPr="00ED4D80">
        <w:rPr>
          <w:rStyle w:val="FootnoteReference"/>
          <w:szCs w:val="24"/>
        </w:rPr>
        <w:footnoteReference w:id="11"/>
      </w:r>
      <w:r w:rsidRPr="00ED4D80">
        <w:t>; jesprimi d-diżappunt kbir tiegħu, madankollu, li, minn dak iż-żmien ’l hawn il-Kummissjoni kompliet tawtorizza OĠM għall-importazzjoni fl-Unjoni, minkejja l-oġġezzjonijiet kontinwi mill-Parlament u mill-maġġoranza tal-Istati Membri li jivvutaw kontra;</w:t>
      </w:r>
    </w:p>
    <w:p w:rsidR="00E4236D" w:rsidRPr="00ED4D80" w:rsidRDefault="00E4236D" w:rsidP="00E4236D">
      <w:pPr>
        <w:pStyle w:val="NormalHanging12a"/>
        <w:rPr>
          <w:szCs w:val="24"/>
        </w:rPr>
      </w:pPr>
      <w:r w:rsidRPr="00ED4D80">
        <w:t>5.</w:t>
      </w:r>
      <w:r w:rsidRPr="00ED4D80">
        <w:tab/>
        <w:t>Iħeġġeġ lill-Kummissjoni biex, għal darba oħra, tqis l-obbligi tal-Unjoni skont ftehimiet internazzjonali, bħall-Ftehim ta’ Pariġi dwar il-Klima, il-Konvenzjoni tan-Nazzjonijiet Uniti dwar id-Diversità Bijoloġika u l-Għanijiet ta’ Żvilupp Sostenibbli tan-Nazzjonijiet Uniti; itenni l-appell tiegħu li l-abbozzi ta’ atti ta’ implimentazzjoni jkunu akkumpanjati minn memorandum ta’ spjegazzjoni li jispjega kif dawn jirrispettaw il-prinċipju ta’ “la tagħmilx ħsara”</w:t>
      </w:r>
      <w:r w:rsidRPr="00ED4D80">
        <w:rPr>
          <w:rStyle w:val="FootnoteReference"/>
          <w:szCs w:val="24"/>
        </w:rPr>
        <w:footnoteReference w:id="12"/>
      </w:r>
      <w:r w:rsidRPr="00ED4D80">
        <w:t xml:space="preserve">; </w:t>
      </w:r>
    </w:p>
    <w:p w:rsidR="00E365E1" w:rsidRPr="00ED4D80" w:rsidRDefault="00E4236D" w:rsidP="002E1505">
      <w:pPr>
        <w:pStyle w:val="NormalHanging12a"/>
      </w:pPr>
      <w:r w:rsidRPr="00ED4D80">
        <w:t>6.</w:t>
      </w:r>
      <w:r w:rsidRPr="00ED4D80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ED4D80" w:rsidSect="00ED4D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B52" w:rsidRPr="00ED4D80" w:rsidRDefault="00BA7B52">
      <w:r w:rsidRPr="00ED4D80">
        <w:separator/>
      </w:r>
    </w:p>
  </w:endnote>
  <w:endnote w:type="continuationSeparator" w:id="0">
    <w:p w:rsidR="00BA7B52" w:rsidRPr="00ED4D80" w:rsidRDefault="00BA7B52">
      <w:r w:rsidRPr="00ED4D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D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D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D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B52" w:rsidRPr="00ED4D80" w:rsidRDefault="00BA7B52">
      <w:r w:rsidRPr="00ED4D80">
        <w:separator/>
      </w:r>
    </w:p>
  </w:footnote>
  <w:footnote w:type="continuationSeparator" w:id="0">
    <w:p w:rsidR="00BA7B52" w:rsidRPr="00ED4D80" w:rsidRDefault="00BA7B52">
      <w:r w:rsidRPr="00ED4D80">
        <w:continuationSeparator/>
      </w:r>
    </w:p>
  </w:footnote>
  <w:footnote w:id="1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r w:rsidRPr="00ED4D80">
        <w:rPr>
          <w:sz w:val="24"/>
          <w:lang w:val="mt-MT"/>
        </w:rPr>
        <w:t xml:space="preserve">ĠU L 268, 18.10.2003, p. 1, ELI: </w:t>
      </w:r>
      <w:hyperlink r:id="rId1" w:tooltip="Aċċess għad-dokument permezz tal-URI tal-ELI." w:history="1">
        <w:r w:rsidRPr="00ED4D80">
          <w:rPr>
            <w:rStyle w:val="Hyperlink"/>
            <w:sz w:val="24"/>
            <w:lang w:val="mt-MT"/>
          </w:rPr>
          <w:t>http://data.europa.eu/eli/reg/2003/1829/oj?locale=mt</w:t>
        </w:r>
      </w:hyperlink>
      <w:r w:rsidRPr="00ED4D80">
        <w:rPr>
          <w:sz w:val="24"/>
          <w:lang w:val="mt-MT"/>
        </w:rPr>
        <w:t xml:space="preserve">. </w:t>
      </w:r>
    </w:p>
  </w:footnote>
  <w:footnote w:id="2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r w:rsidRPr="00ED4D80">
        <w:rPr>
          <w:sz w:val="24"/>
          <w:lang w:val="mt-MT"/>
        </w:rPr>
        <w:t xml:space="preserve">ĠU L 55, 28.2.2011, p. 13, ELI: </w:t>
      </w:r>
      <w:hyperlink r:id="rId2" w:tooltip="Aċċess għad-dokument permezz tal-URI tal-ELI." w:history="1">
        <w:r w:rsidRPr="00ED4D80">
          <w:rPr>
            <w:rStyle w:val="Hyperlink"/>
            <w:sz w:val="24"/>
            <w:lang w:val="mt-MT"/>
          </w:rPr>
          <w:t>http://data.europa.eu/eli/reg/2011/182/oj?locale=mt</w:t>
        </w:r>
      </w:hyperlink>
      <w:r w:rsidRPr="00ED4D80">
        <w:rPr>
          <w:sz w:val="24"/>
          <w:lang w:val="mt-MT"/>
        </w:rPr>
        <w:t xml:space="preserve">. </w:t>
      </w:r>
    </w:p>
  </w:footnote>
  <w:footnote w:id="3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r w:rsidRPr="00ED4D80">
        <w:rPr>
          <w:sz w:val="24"/>
          <w:lang w:val="mt-MT"/>
        </w:rPr>
        <w:t xml:space="preserve">Opinjoni xjentifika tal-Bord tal-EFSA dwar Organiżmi Ġenetikament Modifikati bit-titolu “Assessment of genetically modified maize MON 94804 for food and feed uses, under Regulation (EC) No 1829/2003 (application GMFF-2022-10651)”, EFSA Journal, 2024;22(4):8714, </w:t>
      </w:r>
      <w:hyperlink r:id="rId3" w:history="1">
        <w:r w:rsidRPr="00ED4D80">
          <w:rPr>
            <w:rStyle w:val="Hyperlink"/>
            <w:sz w:val="24"/>
            <w:lang w:val="mt-MT"/>
          </w:rPr>
          <w:t>https://doi.org/10.2903/j.efsa.2024.8714</w:t>
        </w:r>
      </w:hyperlink>
      <w:r w:rsidRPr="00ED4D80">
        <w:rPr>
          <w:sz w:val="24"/>
          <w:lang w:val="mt-MT"/>
        </w:rPr>
        <w:t>.</w:t>
      </w:r>
    </w:p>
  </w:footnote>
  <w:footnote w:id="4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color w:val="000000" w:themeColor="text1"/>
          <w:sz w:val="24"/>
          <w:lang w:val="mt-MT"/>
        </w:rPr>
        <w:t xml:space="preserve"> </w:t>
      </w:r>
      <w:r w:rsidR="00ED4D80" w:rsidRPr="00ED4D80">
        <w:rPr>
          <w:color w:val="000000" w:themeColor="text1"/>
          <w:sz w:val="24"/>
          <w:lang w:val="mt-MT"/>
        </w:rPr>
        <w:tab/>
      </w:r>
      <w:r w:rsidRPr="00ED4D80">
        <w:rPr>
          <w:color w:val="000000" w:themeColor="text1"/>
          <w:sz w:val="24"/>
          <w:lang w:val="mt-MT"/>
        </w:rPr>
        <w:t xml:space="preserve">Fit-tmien leġiżlatura tiegħu, il-Parlament adotta 36 riżoluzzjoni u, fid-disa’ leġiżlatura tiegħu, il-Parlament adotta 38 riżoluzzjoni li joġġezzjonaw għall-awtorizzazzjoni tal-OĠM. </w:t>
      </w:r>
    </w:p>
  </w:footnote>
  <w:footnote w:id="5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r w:rsidRPr="00ED4D80">
        <w:rPr>
          <w:sz w:val="24"/>
          <w:lang w:val="mt-MT"/>
        </w:rPr>
        <w:t xml:space="preserve">Dávalos, A., Henriques, R., Latasa, M. J., Laparra, M., &amp; Coca, M. (2019). Literature review of baseline information on non-coding RNA (ncRNA) to support the risk assessment of ncRNA-based genetically modified plants for food and feed (Rieżami tal-letteratura tal-informazzjoni tal-linja bażi dwar l-RNA mhux kodifikanti (ncRNA) biex tiġi appoġġjata l-valutazzjoni tar-riskju ta’ pjanti ġenetikament modifikati bbażati fuq l-ncRNA għall-ikel u l-għalf.) EFSA Supporting Publications, 16(8), EN-1688. </w:t>
      </w:r>
      <w:hyperlink r:id="rId4" w:history="1">
        <w:r w:rsidRPr="00ED4D80">
          <w:rPr>
            <w:rStyle w:val="Hyperlink"/>
            <w:sz w:val="24"/>
            <w:lang w:val="mt-MT"/>
          </w:rPr>
          <w:t>https://doi.org/10.2903/sp.efsa.2019.EN-1688</w:t>
        </w:r>
      </w:hyperlink>
      <w:r w:rsidRPr="00ED4D80">
        <w:rPr>
          <w:rStyle w:val="Hyperlink"/>
          <w:sz w:val="24"/>
          <w:lang w:val="mt-MT"/>
        </w:rPr>
        <w:t>.</w:t>
      </w:r>
    </w:p>
  </w:footnote>
  <w:footnote w:id="6">
    <w:p w:rsidR="00E4236D" w:rsidRPr="00ED4D80" w:rsidRDefault="00E4236D" w:rsidP="00ED4D80">
      <w:pPr>
        <w:pStyle w:val="FootnoteText"/>
        <w:ind w:left="567" w:hanging="567"/>
        <w:rPr>
          <w:sz w:val="24"/>
          <w:szCs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r w:rsidRPr="00ED4D80">
        <w:rPr>
          <w:sz w:val="24"/>
          <w:lang w:val="mt-MT"/>
        </w:rPr>
        <w:t xml:space="preserve">L-Anness 8 tal-Opinjoni Xjentifika tal-Bord tal-EFSA dwar l-Organiżmi Ġenetikament Modifikati bit-titolu “Assessment of genetically modified maize MON 94804 for food and feed uses, under Regulation (EC) No 1829/2003 (application GMFF-2022-10651)”, EFSA Journal, 2024;22(4):8714, </w:t>
      </w:r>
      <w:hyperlink r:id="rId5" w:history="1">
        <w:r w:rsidRPr="00ED4D80">
          <w:rPr>
            <w:rStyle w:val="Hyperlink"/>
            <w:sz w:val="24"/>
            <w:lang w:val="mt-MT"/>
          </w:rPr>
          <w:t>https://doi.org/10.2903/j.efsa.2024.8714</w:t>
        </w:r>
      </w:hyperlink>
      <w:r w:rsidRPr="00ED4D80">
        <w:rPr>
          <w:sz w:val="24"/>
          <w:lang w:val="mt-MT"/>
        </w:rPr>
        <w:t>.</w:t>
      </w:r>
    </w:p>
  </w:footnote>
  <w:footnote w:id="7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hyperlink r:id="rId6" w:history="1">
        <w:r w:rsidRPr="00ED4D80">
          <w:rPr>
            <w:rStyle w:val="Hyperlink"/>
            <w:sz w:val="24"/>
            <w:lang w:val="mt-MT"/>
          </w:rPr>
          <w:t>https://commission.europa.eu/document/2c64e540-c07a-4376-a1da-368d289f4afe_mt</w:t>
        </w:r>
      </w:hyperlink>
    </w:p>
  </w:footnote>
  <w:footnote w:id="8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hyperlink r:id="rId7" w:history="1">
        <w:r w:rsidRPr="00ED4D80">
          <w:rPr>
            <w:rStyle w:val="Hyperlink"/>
            <w:sz w:val="24"/>
            <w:lang w:val="mt-MT"/>
          </w:rPr>
          <w:t>https://efsa.onlinelibrary.wiley.com/action/downloadSupplement?doi=10.2903%2Fj.‌efsa.2024.8714&amp;file=efs28714-sup-0008-Annex8.pdf</w:t>
        </w:r>
      </w:hyperlink>
      <w:r w:rsidRPr="00ED4D80">
        <w:rPr>
          <w:rStyle w:val="Hyperlink"/>
          <w:sz w:val="24"/>
          <w:lang w:val="mt-MT"/>
        </w:rPr>
        <w:t>.</w:t>
      </w:r>
    </w:p>
  </w:footnote>
  <w:footnote w:id="9">
    <w:p w:rsidR="00E4236D" w:rsidRPr="00ED4D80" w:rsidRDefault="00E4236D" w:rsidP="00ED4D80">
      <w:pPr>
        <w:pStyle w:val="sdfootnote-western"/>
        <w:spacing w:before="0" w:beforeAutospacing="0"/>
        <w:ind w:left="567" w:hanging="567"/>
        <w:rPr>
          <w:rFonts w:ascii="Times New Roman" w:hAnsi="Times New Roman"/>
          <w:color w:val="auto"/>
          <w:sz w:val="24"/>
        </w:rPr>
      </w:pPr>
      <w:r w:rsidRPr="00ED4D80">
        <w:rPr>
          <w:rStyle w:val="FootnoteReference"/>
          <w:rFonts w:ascii="Times New Roman" w:hAnsi="Times New Roman"/>
          <w:sz w:val="24"/>
        </w:rPr>
        <w:footnoteRef/>
      </w:r>
      <w:r w:rsidR="00ED4D80" w:rsidRPr="00ED4D80">
        <w:rPr>
          <w:rFonts w:ascii="Times New Roman" w:hAnsi="Times New Roman"/>
          <w:color w:val="auto"/>
          <w:sz w:val="24"/>
        </w:rPr>
        <w:t xml:space="preserve"> </w:t>
      </w:r>
      <w:r w:rsidR="00ED4D80" w:rsidRPr="00ED4D80">
        <w:rPr>
          <w:rFonts w:ascii="Times New Roman" w:hAnsi="Times New Roman"/>
          <w:color w:val="auto"/>
          <w:sz w:val="24"/>
        </w:rPr>
        <w:tab/>
      </w:r>
      <w:r w:rsidRPr="00ED4D80">
        <w:rPr>
          <w:rFonts w:ascii="Times New Roman" w:hAnsi="Times New Roman"/>
          <w:color w:val="auto"/>
          <w:sz w:val="24"/>
        </w:rPr>
        <w:t xml:space="preserve">Il-Kummissjoni “tista’”, u mhux “għandha”, tmexxi bl-awtorizzazzjoni jekk ma jkun hemm l-ebda maġġoranza kwalifikata ta’ Stati Membri favur fil-Kumitat ta’ Appell, skont l-Artikolu 6(3) tar-Regolament (UE) Nru 182/2011. </w:t>
      </w:r>
    </w:p>
  </w:footnote>
  <w:footnote w:id="10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r w:rsidRPr="00ED4D80">
        <w:rPr>
          <w:sz w:val="24"/>
          <w:lang w:val="mt-MT"/>
        </w:rPr>
        <w:t>Ir-Regolament tal-Parlament Ewropew u tal-Kunsill (KE) Nru 178/2002 tat-28 ta’ Jannar 2002 li jistabbilixxi l-prinċipji ġenerali u l-ħtiġijiet tal-liġi dwar l-ikel, li jistabbilixxi l-Awtorità Ewropea dwar is-Sigurtà fl-Ikel u jistabbilixxi l-proċeduri fi kwistjonijiet ta’ sigurtà tal-ikel (ĠU L 31, 1.2.2002, p. 1, ELI:  </w:t>
      </w:r>
      <w:hyperlink r:id="rId8" w:tooltip="Aċċess għad-dokument permezz tal-URI tal-ELI." w:history="1">
        <w:r w:rsidRPr="00ED4D80">
          <w:rPr>
            <w:rStyle w:val="Hyperlink"/>
            <w:sz w:val="24"/>
            <w:lang w:val="mt-MT"/>
          </w:rPr>
          <w:t>http://data.europa.eu/eli/reg/2002/178/oj?locale=mt</w:t>
        </w:r>
      </w:hyperlink>
      <w:r w:rsidRPr="00ED4D80">
        <w:rPr>
          <w:sz w:val="24"/>
          <w:lang w:val="mt-MT"/>
        </w:rPr>
        <w:t>).</w:t>
      </w:r>
    </w:p>
  </w:footnote>
  <w:footnote w:id="11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hyperlink r:id="rId9" w:history="1">
        <w:r w:rsidRPr="00ED4D80">
          <w:rPr>
            <w:rStyle w:val="Hyperlink"/>
            <w:sz w:val="24"/>
            <w:lang w:val="mt-MT"/>
          </w:rPr>
          <w:t>https://tillymetz.lu/wp-content/uploads/2020/09/Co-signed-letter-MEP-Metz.pdf</w:t>
        </w:r>
      </w:hyperlink>
      <w:r w:rsidRPr="00ED4D80">
        <w:rPr>
          <w:rStyle w:val="Hyperlink"/>
          <w:sz w:val="24"/>
          <w:lang w:val="mt-MT"/>
        </w:rPr>
        <w:t xml:space="preserve">. </w:t>
      </w:r>
    </w:p>
  </w:footnote>
  <w:footnote w:id="12">
    <w:p w:rsidR="00E4236D" w:rsidRPr="00ED4D80" w:rsidRDefault="00E4236D" w:rsidP="00ED4D80">
      <w:pPr>
        <w:pStyle w:val="FootnoteText"/>
        <w:ind w:left="567" w:hanging="567"/>
        <w:rPr>
          <w:sz w:val="24"/>
          <w:lang w:val="mt-MT"/>
        </w:rPr>
      </w:pPr>
      <w:r w:rsidRPr="00ED4D80">
        <w:rPr>
          <w:rStyle w:val="FootnoteReference"/>
          <w:sz w:val="24"/>
          <w:lang w:val="mt-MT"/>
        </w:rPr>
        <w:footnoteRef/>
      </w:r>
      <w:r w:rsidR="00ED4D80" w:rsidRPr="00ED4D80">
        <w:rPr>
          <w:sz w:val="24"/>
          <w:lang w:val="mt-MT"/>
        </w:rPr>
        <w:t xml:space="preserve"> </w:t>
      </w:r>
      <w:r w:rsidR="00ED4D80" w:rsidRPr="00ED4D80">
        <w:rPr>
          <w:sz w:val="24"/>
          <w:lang w:val="mt-MT"/>
        </w:rPr>
        <w:tab/>
      </w:r>
      <w:r w:rsidRPr="00ED4D80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D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D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4D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3/2024"/>
    <w:docVar w:name="dvlangue" w:val="MT"/>
    <w:docVar w:name="dvnumam" w:val="0"/>
    <w:docVar w:name="dvpe" w:val="763.294"/>
    <w:docVar w:name="dvtitre" w:val="Riżoluzzjoni tal-Parlament Ewropew tas-26 ta' Novembru 2024 dwar l-abbozz ta’ deċiżjoni ta’ implimentazzjoni tal-Kummissjoni dwar l-awtorizzazzjoni għall-introduzzjoni fis-suq ta’ prodotti li fihom, li jikkonsistu minn, jew li huma prodotti mill-qamħirrum ġenetikament modifikat MON 94804, skont ir-Regolament (KE) Nru 1892/2003 tal-Parlament Ewropew u tal-Kunsill(D099729/02 – 2024/2841(RSP))"/>
  </w:docVars>
  <w:rsids>
    <w:rsidRoot w:val="00BA7B52"/>
    <w:rsid w:val="00002272"/>
    <w:rsid w:val="00064002"/>
    <w:rsid w:val="000677B9"/>
    <w:rsid w:val="000831BA"/>
    <w:rsid w:val="00091449"/>
    <w:rsid w:val="000A42CC"/>
    <w:rsid w:val="000E7DD9"/>
    <w:rsid w:val="0010095E"/>
    <w:rsid w:val="00125B37"/>
    <w:rsid w:val="00187494"/>
    <w:rsid w:val="001F32AE"/>
    <w:rsid w:val="00252BFA"/>
    <w:rsid w:val="002767FF"/>
    <w:rsid w:val="002B18FE"/>
    <w:rsid w:val="002B5493"/>
    <w:rsid w:val="002E1505"/>
    <w:rsid w:val="003339B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2C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B5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236D"/>
    <w:rsid w:val="00E820A4"/>
    <w:rsid w:val="00EB006A"/>
    <w:rsid w:val="00EB4772"/>
    <w:rsid w:val="00ED169E"/>
    <w:rsid w:val="00ED4235"/>
    <w:rsid w:val="00ED4D8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506D9"/>
  <w15:chartTrackingRefBased/>
  <w15:docId w15:val="{86520034-2293-4B0D-8F49-422FD479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236D"/>
    <w:pPr>
      <w:spacing w:before="480" w:after="240"/>
    </w:pPr>
  </w:style>
  <w:style w:type="paragraph" w:customStyle="1" w:styleId="NormalHanging12a">
    <w:name w:val="NormalHanging12a"/>
    <w:basedOn w:val="Normal"/>
    <w:rsid w:val="00E4236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4236D"/>
    <w:rPr>
      <w:color w:val="0563C1" w:themeColor="hyperlink"/>
      <w:u w:val="single"/>
    </w:rPr>
  </w:style>
  <w:style w:type="paragraph" w:customStyle="1" w:styleId="sdfootnote-western">
    <w:name w:val="sdfootnote-western"/>
    <w:basedOn w:val="Normal"/>
    <w:rsid w:val="00E4236D"/>
    <w:pPr>
      <w:widowControl/>
      <w:spacing w:before="100" w:beforeAutospacing="1"/>
      <w:ind w:left="346" w:hanging="346"/>
    </w:pPr>
    <w:rPr>
      <w:rFonts w:ascii="Calibri" w:hAnsi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2/178/oj?locale=mt" TargetMode="External"/><Relationship Id="rId3" Type="http://schemas.openxmlformats.org/officeDocument/2006/relationships/hyperlink" Target="https://doi.org/10.2903/j.efsa.2024.8714" TargetMode="External"/><Relationship Id="rId7" Type="http://schemas.openxmlformats.org/officeDocument/2006/relationships/hyperlink" Target="https://efsa.onlinelibrary.wiley.com/action/downloadSupplement?doi=10.2903/j.efsa.2024.8714&amp;file=efs28714-sup-0008-Annex8.pdf" TargetMode="External"/><Relationship Id="rId2" Type="http://schemas.openxmlformats.org/officeDocument/2006/relationships/hyperlink" Target="http://data.europa.eu/eli/reg/2011/182/oj?locale=mt" TargetMode="External"/><Relationship Id="rId1" Type="http://schemas.openxmlformats.org/officeDocument/2006/relationships/hyperlink" Target="http://data.europa.eu/eli/reg/2003/1829/oj?locale=mt" TargetMode="External"/><Relationship Id="rId6" Type="http://schemas.openxmlformats.org/officeDocument/2006/relationships/hyperlink" Target="https://commission.europa.eu/document/2c64e540-c07a-4376-a1da-368d289f4afe_mt" TargetMode="External"/><Relationship Id="rId5" Type="http://schemas.openxmlformats.org/officeDocument/2006/relationships/hyperlink" Target="https://doi.org/10.2903/j.efsa.2024.8714" TargetMode="External"/><Relationship Id="rId4" Type="http://schemas.openxmlformats.org/officeDocument/2006/relationships/hyperlink" Target="https://doi.org/10.2903/sp.efsa.2019.EN-1688" TargetMode="External"/><Relationship Id="rId9" Type="http://schemas.openxmlformats.org/officeDocument/2006/relationships/hyperlink" Target="https://tillymetz.lu/wp-content/uploads/2020/09/Co-signed-letter-MEP-Met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30B71-3B4B-454B-82A4-8493AD359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2024-12-17T09:58:00Z</dcterms:created>
  <dcterms:modified xsi:type="dcterms:W3CDTF">2024-12-17T09:58:00Z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P10_TA(2024)0045_</vt:lpwstr>
  </property>
  <property fmtid="{D5CDD505-2E9C-101B-9397-08002B2CF9AE}" pid="4" name="&lt;Type&gt;">
    <vt:lpwstr>RR</vt:lpwstr>
  </property>
</Properties>
</file>