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12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12C4" w:rsidRDefault="00D3718A" w:rsidP="0010095E">
            <w:pPr>
              <w:pStyle w:val="EPName"/>
            </w:pPr>
            <w:r w:rsidRPr="003312C4">
              <w:t>Parlament Europejski</w:t>
            </w:r>
          </w:p>
          <w:p w:rsidR="00751A4A" w:rsidRPr="003312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12C4">
              <w:t>2024</w:t>
            </w:r>
            <w:r w:rsidR="00817416" w:rsidRPr="003312C4">
              <w:t>-202</w:t>
            </w:r>
            <w:r w:rsidRPr="003312C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312C4" w:rsidRDefault="00187494" w:rsidP="0010095E">
            <w:pPr>
              <w:pStyle w:val="EPLogo"/>
            </w:pPr>
            <w:r w:rsidRPr="003312C4">
              <w:rPr>
                <w:noProof/>
                <w:lang w:val="fr-FR" w:eastAsia="fr-FR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12C4" w:rsidRDefault="00D058B8" w:rsidP="004C5D52">
      <w:pPr>
        <w:pStyle w:val="LineTop"/>
      </w:pPr>
    </w:p>
    <w:p w:rsidR="00680577" w:rsidRPr="003312C4" w:rsidRDefault="00D3718A" w:rsidP="00680577">
      <w:pPr>
        <w:pStyle w:val="EPBodyTA1"/>
      </w:pPr>
      <w:r w:rsidRPr="003312C4">
        <w:t>TEKSTY PRZYJĘTE</w:t>
      </w:r>
    </w:p>
    <w:p w:rsidR="00D058B8" w:rsidRPr="003312C4" w:rsidRDefault="00D058B8" w:rsidP="00D058B8">
      <w:pPr>
        <w:pStyle w:val="LineBottom"/>
      </w:pPr>
    </w:p>
    <w:p w:rsidR="00D3718A" w:rsidRPr="003312C4" w:rsidRDefault="00D3718A" w:rsidP="00D3718A">
      <w:pPr>
        <w:pStyle w:val="ATHeading1"/>
      </w:pPr>
      <w:bookmarkStart w:id="0" w:name="TANumber"/>
      <w:r w:rsidRPr="003312C4">
        <w:t>P10_TA(2024)00</w:t>
      </w:r>
      <w:bookmarkEnd w:id="0"/>
      <w:r w:rsidR="000C6DDF">
        <w:t>45</w:t>
      </w:r>
    </w:p>
    <w:p w:rsidR="00D3718A" w:rsidRPr="003312C4" w:rsidRDefault="00BC7012" w:rsidP="00D3718A">
      <w:pPr>
        <w:pStyle w:val="ATHeading2"/>
      </w:pPr>
      <w:bookmarkStart w:id="1" w:name="title"/>
      <w:r>
        <w:t>G</w:t>
      </w:r>
      <w:r w:rsidR="00D3718A" w:rsidRPr="003312C4">
        <w:t>enetycznie zmodyfikowana kukurydza MON94804</w:t>
      </w:r>
      <w:bookmarkEnd w:id="1"/>
    </w:p>
    <w:p w:rsidR="00D3718A" w:rsidRPr="003312C4" w:rsidRDefault="00D3718A" w:rsidP="00D3718A">
      <w:pPr>
        <w:rPr>
          <w:i/>
          <w:vanish/>
        </w:rPr>
      </w:pPr>
      <w:r w:rsidRPr="003312C4">
        <w:rPr>
          <w:i/>
        </w:rPr>
        <w:fldChar w:fldCharType="begin"/>
      </w:r>
      <w:r w:rsidRPr="003312C4">
        <w:rPr>
          <w:i/>
        </w:rPr>
        <w:instrText xml:space="preserve"> TC"(</w:instrText>
      </w:r>
      <w:bookmarkStart w:id="2" w:name="DocNumber"/>
      <w:r w:rsidRPr="003312C4">
        <w:rPr>
          <w:i/>
        </w:rPr>
        <w:instrText>B10-0153/2024</w:instrText>
      </w:r>
      <w:bookmarkEnd w:id="2"/>
      <w:r w:rsidRPr="003312C4">
        <w:rPr>
          <w:i/>
        </w:rPr>
        <w:instrText xml:space="preserve">)"\l3 \n&gt; \* MERGEFORMAT </w:instrText>
      </w:r>
      <w:r w:rsidRPr="003312C4">
        <w:rPr>
          <w:i/>
        </w:rPr>
        <w:fldChar w:fldCharType="end"/>
      </w:r>
    </w:p>
    <w:p w:rsidR="00D3718A" w:rsidRPr="003312C4" w:rsidRDefault="00D3718A" w:rsidP="00D3718A">
      <w:pPr>
        <w:rPr>
          <w:vanish/>
        </w:rPr>
      </w:pPr>
      <w:bookmarkStart w:id="3" w:name="PE"/>
      <w:r w:rsidRPr="003312C4">
        <w:rPr>
          <w:vanish/>
        </w:rPr>
        <w:t>PE763.294</w:t>
      </w:r>
      <w:bookmarkEnd w:id="3"/>
    </w:p>
    <w:p w:rsidR="00D3718A" w:rsidRPr="003312C4" w:rsidRDefault="00D3718A" w:rsidP="00D3718A">
      <w:pPr>
        <w:pStyle w:val="ATHeading3"/>
      </w:pPr>
      <w:bookmarkStart w:id="4" w:name="Sujet"/>
      <w:r w:rsidRPr="003312C4">
        <w:t xml:space="preserve">Rezolucja Parlamentu Europejskiego z dnia </w:t>
      </w:r>
      <w:r w:rsidR="00BC7012">
        <w:t>26</w:t>
      </w:r>
      <w:r w:rsidRPr="003312C4">
        <w:t xml:space="preserve"> </w:t>
      </w:r>
      <w:r w:rsidR="00BC7012">
        <w:t>li</w:t>
      </w:r>
      <w:r w:rsidR="00872013">
        <w:t>s</w:t>
      </w:r>
      <w:r w:rsidR="00BC7012">
        <w:t>top</w:t>
      </w:r>
      <w:r w:rsidR="00872013">
        <w:t>a</w:t>
      </w:r>
      <w:r w:rsidR="00BC7012">
        <w:t xml:space="preserve">da </w:t>
      </w:r>
      <w:r w:rsidRPr="003312C4">
        <w:t>2024</w:t>
      </w:r>
      <w:bookmarkStart w:id="5" w:name="_GoBack"/>
      <w:bookmarkEnd w:id="5"/>
      <w:r w:rsidRPr="003312C4">
        <w:t xml:space="preserve">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</w:t>
      </w:r>
      <w:bookmarkEnd w:id="4"/>
      <w:r w:rsidRPr="003312C4">
        <w:t xml:space="preserve"> </w:t>
      </w:r>
      <w:bookmarkStart w:id="6" w:name="References"/>
      <w:r w:rsidRPr="003312C4">
        <w:t>(D099729/02 – 2024/2841(RSP))</w:t>
      </w:r>
      <w:bookmarkEnd w:id="6"/>
    </w:p>
    <w:p w:rsidR="00D3718A" w:rsidRPr="003312C4" w:rsidRDefault="00D3718A" w:rsidP="00D3718A"/>
    <w:p w:rsidR="00D112CC" w:rsidRPr="003312C4" w:rsidRDefault="00D112CC" w:rsidP="00D112CC">
      <w:pPr>
        <w:pStyle w:val="EPComma"/>
      </w:pPr>
      <w:bookmarkStart w:id="7" w:name="TextBodyBegin"/>
      <w:bookmarkEnd w:id="7"/>
      <w:r w:rsidRPr="003312C4">
        <w:rPr>
          <w:i/>
        </w:rPr>
        <w:t>Parlament Europejski</w:t>
      </w:r>
      <w:r w:rsidRPr="003312C4">
        <w:t>,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–</w:t>
      </w:r>
      <w:r w:rsidRPr="003312C4">
        <w:tab/>
        <w:t>uwzględniając projekt decyzji wykonawczej Komisji zezwalającej na wprowadzenie do obrotu produktów zawierających genetycznie zmodyfikowaną kukurydzę MON 94804, składających się z niej lub z niej wyprodukowanych, na mocy rozporządzenia (WE) nr 1829/2003 Parlamentu Europejskiego i Rady (D099729/02),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–</w:t>
      </w:r>
      <w:r w:rsidRPr="003312C4">
        <w:tab/>
        <w:t>uwzględniając rozporządzenie Parlamentu Europejskiego i Rady (WE) nr 1829/2003 z dnia 22 września 2003 r. w sprawie genetycznie zmodyfikowanej żywności i paszy</w:t>
      </w:r>
      <w:r w:rsidRPr="003312C4">
        <w:rPr>
          <w:rStyle w:val="FootnoteReference"/>
          <w:szCs w:val="24"/>
        </w:rPr>
        <w:footnoteReference w:id="1"/>
      </w:r>
      <w:r w:rsidRPr="003312C4">
        <w:t>, w szczególności jego art. 7 ust. 3 i art. 19 ust. 3,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–</w:t>
      </w:r>
      <w:r w:rsidRPr="003312C4">
        <w:tab/>
        <w:t>uwzględniając fakt</w:t>
      </w:r>
      <w:r w:rsidRPr="003312C4">
        <w:rPr>
          <w:shd w:val="clear" w:color="auto" w:fill="FFFFFF"/>
        </w:rPr>
        <w:t>, że Stały Komitet ds. Roślin, Zwierząt, Żywności i Pasz, o którym mowa w art. 35 rozporządzenia (WE) nr 1829/2003, nie wydał opinii podczas głosowania 17 września 2024 r.</w:t>
      </w:r>
      <w:r w:rsidRPr="003312C4">
        <w:t>,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–</w:t>
      </w:r>
      <w:r w:rsidRPr="003312C4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3312C4">
        <w:rPr>
          <w:rStyle w:val="FootnoteReference"/>
          <w:szCs w:val="24"/>
        </w:rPr>
        <w:footnoteReference w:id="2"/>
      </w:r>
      <w:r w:rsidRPr="003312C4">
        <w:t>,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–</w:t>
      </w:r>
      <w:r w:rsidRPr="003312C4">
        <w:tab/>
        <w:t xml:space="preserve">uwzględniając opinię Europejskiego Urzędu ds. Bezpieczeństwa Żywności (EFSA) z 13 </w:t>
      </w:r>
      <w:r w:rsidRPr="003312C4">
        <w:lastRenderedPageBreak/>
        <w:t>marca 2024 r. opublikowaną 26 kwietnia 2024 r.</w:t>
      </w:r>
      <w:r w:rsidRPr="003312C4">
        <w:rPr>
          <w:rStyle w:val="FootnoteReference"/>
          <w:szCs w:val="24"/>
        </w:rPr>
        <w:footnoteReference w:id="3"/>
      </w:r>
      <w:r w:rsidRPr="003312C4">
        <w:t>,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rPr>
          <w:rFonts w:ascii="Symbol" w:hAnsi="Symbol"/>
        </w:rPr>
        <w:t></w:t>
      </w:r>
      <w:r w:rsidRPr="003312C4">
        <w:rPr>
          <w:rFonts w:ascii="Symbol" w:hAnsi="Symbol"/>
        </w:rPr>
        <w:tab/>
      </w:r>
      <w:r w:rsidRPr="003312C4">
        <w:rPr>
          <w:shd w:val="clear" w:color="auto" w:fill="FFFFFF"/>
        </w:rPr>
        <w:t>uwzględniając swoje wcześniejsze rezolucje zawierające sprzeciw wobec zatwierdzania organizmów zmodyfikowanych genetycznie (GMO)</w:t>
      </w:r>
      <w:r w:rsidRPr="003312C4">
        <w:rPr>
          <w:szCs w:val="24"/>
          <w:shd w:val="clear" w:color="auto" w:fill="FFFFFF"/>
          <w:vertAlign w:val="superscript"/>
        </w:rPr>
        <w:footnoteReference w:id="4"/>
      </w:r>
      <w:r w:rsidRPr="003312C4">
        <w:rPr>
          <w:shd w:val="clear" w:color="auto" w:fill="FFFFFF"/>
        </w:rPr>
        <w:t>,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–</w:t>
      </w:r>
      <w:r w:rsidRPr="003312C4">
        <w:tab/>
        <w:t>uwzględniając art. 115 ust. 2 i 3 Regulaminu,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–</w:t>
      </w:r>
      <w:r w:rsidRPr="003312C4">
        <w:tab/>
        <w:t>uwzględniając projekt rezolucji Komisji Ochrony Środowiska Naturalnego, Zdrowia Publicznego i Bezpieczeństwa Żywności,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A.</w:t>
      </w:r>
      <w:r w:rsidRPr="003312C4">
        <w:tab/>
        <w:t xml:space="preserve">mając na uwadze, że zgodnie z art. 5 i 17 rozporządzenia (WE) nr 1829/2003 przedsiębiorstwo Bayer </w:t>
      </w:r>
      <w:proofErr w:type="spellStart"/>
      <w:r w:rsidRPr="003312C4">
        <w:t>Agriculture</w:t>
      </w:r>
      <w:proofErr w:type="spellEnd"/>
      <w:r w:rsidRPr="003312C4">
        <w:t xml:space="preserve"> BV z siedzibą w Belgii zwróciło się 14 lutego 2023 r. w imieniu przedsiębiorstwa Bayer </w:t>
      </w:r>
      <w:proofErr w:type="spellStart"/>
      <w:r w:rsidRPr="003312C4">
        <w:t>CropScience</w:t>
      </w:r>
      <w:proofErr w:type="spellEnd"/>
      <w:r w:rsidRPr="003312C4">
        <w:t xml:space="preserve"> LP z siedzibą w Stanach Zjednoczonych do właściwego organu Niderlandów z wnioskiem dotyczącym wprowadzenia do obrotu żywności, składników żywności i paszy zawierających genetycznie zmodyfikowaną kukurydzę MON 94804, składających się z niej lub z niej wyprodukowanych („wniosek”);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B.</w:t>
      </w:r>
      <w:r w:rsidRPr="003312C4">
        <w:tab/>
        <w:t>mając na uwadze, że wniosek dotyczył również wprowadzenia do obrotu produktów zawierających gene</w:t>
      </w:r>
      <w:r w:rsidR="00BC7012">
        <w:t>tycznie zmodyfikowaną kukurydzę</w:t>
      </w:r>
      <w:r w:rsidRPr="003312C4">
        <w:t xml:space="preserve"> lub składających się z niej do zastosowań innych niż w żywności i paszy, z wyjątkiem uprawy;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C.</w:t>
      </w:r>
      <w:r w:rsidRPr="003312C4">
        <w:tab/>
        <w:t>mając na uwadze, że 13 marca 2024 r. EFSA wydał pozytywną opinię, opublikowaną 26 kwietnia 2024 r., w której stwierdził, że genetycznie zmodyfikowana kukurydza jest równie bezpieczna jak jej konwencjonalny odpowiednik i jak przebadane odmiany niezmodyfikowanej genetycznie kukurydzy pod względem potencjalnego wpływu na zdrowie ludzi i zwierząt oraz na środowisko;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D.</w:t>
      </w:r>
      <w:r w:rsidRPr="003312C4">
        <w:tab/>
        <w:t xml:space="preserve">mając na uwadze, że kukurydzę tę zmodyfikowano genetycznie, aby wytworzyć sztuczną </w:t>
      </w:r>
      <w:proofErr w:type="spellStart"/>
      <w:r w:rsidRPr="003312C4">
        <w:t>miRNA</w:t>
      </w:r>
      <w:proofErr w:type="spellEnd"/>
      <w:r w:rsidRPr="003312C4">
        <w:t xml:space="preserve"> przeznaczoną do selektywnej supresji dwóch genów w większej grupie genów zaangażowanej w biosyntetyczną ścieżkę kwasu </w:t>
      </w:r>
      <w:proofErr w:type="spellStart"/>
      <w:r w:rsidRPr="003312C4">
        <w:t>giberylinowego</w:t>
      </w:r>
      <w:proofErr w:type="spellEnd"/>
      <w:r w:rsidRPr="003312C4">
        <w:t>, co zmniejszyło wysokość rośliny;</w:t>
      </w:r>
    </w:p>
    <w:p w:rsidR="00D112CC" w:rsidRPr="003312C4" w:rsidRDefault="00D112CC" w:rsidP="00D112CC">
      <w:pPr>
        <w:pStyle w:val="NormalHanging12a"/>
        <w:rPr>
          <w:b/>
          <w:i/>
          <w:szCs w:val="24"/>
        </w:rPr>
      </w:pPr>
      <w:r w:rsidRPr="003312C4">
        <w:rPr>
          <w:b/>
          <w:i/>
        </w:rPr>
        <w:t xml:space="preserve">Nierozstrzygnięte kwestie dotyczące skutków sztucznej </w:t>
      </w:r>
      <w:proofErr w:type="spellStart"/>
      <w:r w:rsidRPr="003312C4">
        <w:rPr>
          <w:b/>
          <w:i/>
        </w:rPr>
        <w:t>miRNA</w:t>
      </w:r>
      <w:proofErr w:type="spellEnd"/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E.</w:t>
      </w:r>
      <w:r w:rsidRPr="003312C4">
        <w:tab/>
        <w:t xml:space="preserve">mając na uwadze, że wprowadzenie sztucznej </w:t>
      </w:r>
      <w:proofErr w:type="spellStart"/>
      <w:r w:rsidRPr="003312C4">
        <w:t>miRNA</w:t>
      </w:r>
      <w:proofErr w:type="spellEnd"/>
      <w:r w:rsidRPr="003312C4">
        <w:t xml:space="preserve"> nie tylko ingeruje w geny docelowe, ale dotyczy również innych funkcji regulacyjnych; mając na uwadze, że </w:t>
      </w:r>
      <w:proofErr w:type="spellStart"/>
      <w:r w:rsidRPr="003312C4">
        <w:t>miRNA</w:t>
      </w:r>
      <w:proofErr w:type="spellEnd"/>
      <w:r w:rsidRPr="003312C4">
        <w:t xml:space="preserve"> podlega dalszemu przetwarzaniu w roślinie i tym samym wchodzi w interakcje z określonymi enzymami roślinnymi; mając na uwadze, że jej skutki w wielu przypadkach nie ograniczają się do genu docelowego, ale często obejmują kaskady metaboliczne kilkuset innych funkcji genowych;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F.</w:t>
      </w:r>
      <w:r w:rsidRPr="003312C4">
        <w:tab/>
        <w:t xml:space="preserve">mając na uwadze, że wnioskodawca przedstawia niedostateczne i niekompletne dane dotyczące interakcji między sztuczną </w:t>
      </w:r>
      <w:proofErr w:type="spellStart"/>
      <w:r w:rsidRPr="003312C4">
        <w:t>miRNA</w:t>
      </w:r>
      <w:proofErr w:type="spellEnd"/>
      <w:r w:rsidRPr="003312C4">
        <w:t xml:space="preserve">, produktami powstającymi w wyniku </w:t>
      </w:r>
      <w:r w:rsidRPr="003312C4">
        <w:lastRenderedPageBreak/>
        <w:t>dalszych procesów w komórkach, trwałością tych cząsteczek w komórkach a ich ingerencją w inne sieci regulacyjne;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G.</w:t>
      </w:r>
      <w:r w:rsidRPr="003312C4">
        <w:tab/>
        <w:t xml:space="preserve">mając na uwadze, że aby stwierdzić brak ryzyka toksyczności </w:t>
      </w:r>
      <w:proofErr w:type="spellStart"/>
      <w:r w:rsidRPr="003312C4">
        <w:t>miRNA</w:t>
      </w:r>
      <w:proofErr w:type="spellEnd"/>
      <w:r w:rsidRPr="003312C4">
        <w:t xml:space="preserve"> dla ludzi i zwierząt, EFSA zakłada, że sztuczne </w:t>
      </w:r>
      <w:proofErr w:type="spellStart"/>
      <w:r w:rsidRPr="003312C4">
        <w:t>miRNA</w:t>
      </w:r>
      <w:proofErr w:type="spellEnd"/>
      <w:r w:rsidRPr="003312C4">
        <w:t xml:space="preserve"> uległyby szybkiej degradacji; mając jednak na uwadze, że w kilku badaniach, w tym w badaniu przytoczonym na poparcie tego twierdzenia</w:t>
      </w:r>
      <w:r w:rsidRPr="003312C4">
        <w:rPr>
          <w:rStyle w:val="FootnoteReference"/>
          <w:szCs w:val="24"/>
        </w:rPr>
        <w:footnoteReference w:id="5"/>
      </w:r>
      <w:r w:rsidRPr="003312C4">
        <w:t xml:space="preserve">, wskazano, że z jelita można pobrać </w:t>
      </w:r>
      <w:proofErr w:type="spellStart"/>
      <w:r w:rsidRPr="003312C4">
        <w:t>miRNA</w:t>
      </w:r>
      <w:proofErr w:type="spellEnd"/>
      <w:r w:rsidRPr="003312C4">
        <w:t xml:space="preserve"> przy wsparciu specjalnych mechanizmów;</w:t>
      </w:r>
    </w:p>
    <w:p w:rsidR="00D112CC" w:rsidRPr="003312C4" w:rsidRDefault="00D112CC" w:rsidP="00D112CC">
      <w:pPr>
        <w:pStyle w:val="NormalHanging12a"/>
        <w:rPr>
          <w:b/>
          <w:i/>
          <w:szCs w:val="24"/>
        </w:rPr>
      </w:pPr>
      <w:r w:rsidRPr="003312C4">
        <w:rPr>
          <w:b/>
          <w:i/>
        </w:rPr>
        <w:t>Nierozstrzygnięte kwestie skutków obniżenia poziomu giberelin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H.</w:t>
      </w:r>
      <w:r w:rsidRPr="003312C4">
        <w:tab/>
        <w:t>mając na uwadze, że jak podkreślili eksperci z państw członkowskich</w:t>
      </w:r>
      <w:r w:rsidRPr="003312C4">
        <w:rPr>
          <w:rStyle w:val="FootnoteReference"/>
          <w:szCs w:val="24"/>
        </w:rPr>
        <w:footnoteReference w:id="6"/>
      </w:r>
      <w:r w:rsidRPr="003312C4">
        <w:t xml:space="preserve">, gibereliny są głównymi regulatorami różnych procesów fizjologicznych w roślinach; 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I.</w:t>
      </w:r>
      <w:r w:rsidRPr="003312C4">
        <w:tab/>
        <w:t xml:space="preserve">mając na uwadze, że oprócz wzrostu roślin gibereliny regulują również kiełkowanie i kwitnienie, uczestniczą w regulowaniu tolerancji na stres i są częścią kompleksowych wzajemnych powiązań regulacyjnych z innymi hormonami roślin w różnych ścieżkach sygnalizacyjnych, np. w procesach fizjologicznych wpływających na skład roślin; mając na uwadze, że gibereliny są też zaangażowane w reakcję immunologiczną roślin na czynniki chorobotwórcze; 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J.</w:t>
      </w:r>
      <w:r w:rsidRPr="003312C4">
        <w:tab/>
        <w:t>mając na uwadze, że wnioskodawca nie zbadał większości skutków na te różne procesy, z wyjątkiem potencjalnego wpływu na kiełkowanie, kwitnienie i masę ziarna;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K.</w:t>
      </w:r>
      <w:r w:rsidRPr="003312C4">
        <w:tab/>
        <w:t xml:space="preserve">mając na uwadze, że ekspresję genu oraz jej wpływ na produkcję bioaktywnych giberelin i wpływ metaboliczny zbadano jedynie w warunkach polowych bez szczególnych czynników stresowych, podczas gdy wiadomo, że kwas </w:t>
      </w:r>
      <w:proofErr w:type="spellStart"/>
      <w:r w:rsidRPr="003312C4">
        <w:t>giberylinowy</w:t>
      </w:r>
      <w:proofErr w:type="spellEnd"/>
      <w:r w:rsidRPr="003312C4">
        <w:t xml:space="preserve"> jest obecny w wielu reakcjach na stres wywołany czynnikami biotycznymi i abiotycznymi;</w:t>
      </w:r>
    </w:p>
    <w:p w:rsidR="00D112CC" w:rsidRPr="003312C4" w:rsidRDefault="00D112CC" w:rsidP="00D112CC">
      <w:pPr>
        <w:pStyle w:val="NormalHanging12a"/>
        <w:rPr>
          <w:b/>
          <w:i/>
          <w:szCs w:val="24"/>
        </w:rPr>
      </w:pPr>
      <w:r w:rsidRPr="003312C4">
        <w:rPr>
          <w:b/>
          <w:i/>
        </w:rPr>
        <w:t>Zmniejszenie zależności od paszy z przywozu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L.</w:t>
      </w:r>
      <w:r w:rsidRPr="003312C4">
        <w:tab/>
        <w:t xml:space="preserve">mając na uwadze, że jednym z wniosków wyciągniętych z kryzysu związanego z COVID-19 i trwającej wojny w Ukrainie jest konieczność uniezależnienia się Unii od niektórych materiałów krytycznych; mając na uwadze, że w piśmie określającym zadania kandydata na komisarza Christophe’a Hansena przewodnicząca Komisji </w:t>
      </w:r>
      <w:proofErr w:type="spellStart"/>
      <w:r w:rsidRPr="003312C4">
        <w:t>Ursula</w:t>
      </w:r>
      <w:proofErr w:type="spellEnd"/>
      <w:r w:rsidRPr="003312C4">
        <w:t xml:space="preserve"> von der </w:t>
      </w:r>
      <w:proofErr w:type="spellStart"/>
      <w:r w:rsidRPr="003312C4">
        <w:t>Leyen</w:t>
      </w:r>
      <w:proofErr w:type="spellEnd"/>
      <w:r w:rsidRPr="003312C4">
        <w:t xml:space="preserve"> zwraca się do niego, by przeanalizował sposoby ograniczenia przywozu </w:t>
      </w:r>
      <w:r w:rsidRPr="003312C4">
        <w:lastRenderedPageBreak/>
        <w:t>kluczowych towarów</w:t>
      </w:r>
      <w:r w:rsidRPr="003312C4">
        <w:rPr>
          <w:rStyle w:val="FootnoteReference"/>
          <w:szCs w:val="24"/>
        </w:rPr>
        <w:footnoteReference w:id="7"/>
      </w:r>
      <w:r w:rsidRPr="003312C4">
        <w:t xml:space="preserve">; </w:t>
      </w:r>
    </w:p>
    <w:p w:rsidR="00D112CC" w:rsidRPr="003312C4" w:rsidRDefault="00D112CC" w:rsidP="00D112CC">
      <w:pPr>
        <w:pStyle w:val="NormalHanging12a"/>
        <w:rPr>
          <w:b/>
          <w:i/>
          <w:szCs w:val="24"/>
        </w:rPr>
      </w:pPr>
      <w:r w:rsidRPr="003312C4">
        <w:rPr>
          <w:b/>
          <w:i/>
        </w:rPr>
        <w:t>Uwagi właściwych organów państw członkowskich i zainteresowanych stron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M.</w:t>
      </w:r>
      <w:r w:rsidRPr="003312C4">
        <w:tab/>
        <w:t>mając na uwadze, że podczas trzymiesięcznego okresu konsultacji</w:t>
      </w:r>
      <w:r w:rsidRPr="003312C4">
        <w:rPr>
          <w:rStyle w:val="FootnoteReference"/>
          <w:szCs w:val="24"/>
        </w:rPr>
        <w:footnoteReference w:id="8"/>
      </w:r>
      <w:r w:rsidRPr="003312C4">
        <w:t xml:space="preserve"> państwa członkowskie przekazały EFSA wiele krytycznych uwag, np. że gibereliny są głównymi regulatorami różnych procesów fizjologicznych w roślinach, w szczególności związanych z biotycznymi i abiotycznymi czynnikami stresowymi, że dane dostarczone przez wnioskodawcę są niekompletne odnośnie do oceny potencjalnego wpływu obniżonych poziomów giberelin na te wszystkie procesy oraz że odmiana w badaniach polowych jest niewystarczająca; mając na uwadze, że państwa członkowskie skrytykowały również brak danych na temat zagrożeń wynikających z możliwej długoterminowej stabilności sztucznej </w:t>
      </w:r>
      <w:proofErr w:type="spellStart"/>
      <w:r w:rsidRPr="003312C4">
        <w:t>miRNA</w:t>
      </w:r>
      <w:proofErr w:type="spellEnd"/>
      <w:r w:rsidRPr="003312C4">
        <w:t xml:space="preserve"> w roślinie lub fakt, że znaczna część zmodyfikowanego DNA może zostać pobrana z jelita zwierząt lub ludzi, a także fakt, że dostarczone dane nie dowodzą, że transfer genów z roślin do bakterii jest mało prawdopodobny; 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N.</w:t>
      </w:r>
      <w:r w:rsidRPr="003312C4">
        <w:tab/>
        <w:t>mając na uwadze, że zgodnie z rozporządzeniem (WE) nr 1829/2003 genetycznie zmodyfikowana żywność lub pasza nie może wywierać szkodliwego wpływu na zdrowie ludzi i zwierząt ani na środowisko naturalne, a przy sporządzaniu decyzji Komisja musi brać pod uwagę wszelkie istotne przepisy prawa Unii oraz inne uzasadnione czynniki istotne dla sprawy;</w:t>
      </w:r>
    </w:p>
    <w:p w:rsidR="00D112CC" w:rsidRPr="003312C4" w:rsidRDefault="00D112CC" w:rsidP="00D112CC">
      <w:pPr>
        <w:pStyle w:val="NormalHanging12a"/>
        <w:rPr>
          <w:b/>
          <w:i/>
          <w:szCs w:val="24"/>
        </w:rPr>
      </w:pPr>
      <w:r w:rsidRPr="003312C4">
        <w:rPr>
          <w:b/>
          <w:i/>
        </w:rPr>
        <w:t>Niedemokratyczny proces podejmowania decyzji</w:t>
      </w:r>
    </w:p>
    <w:p w:rsidR="00D112CC" w:rsidRPr="003312C4" w:rsidRDefault="00D112CC" w:rsidP="00D112CC">
      <w:pPr>
        <w:pStyle w:val="NormalHanging12a"/>
        <w:rPr>
          <w:b/>
          <w:i/>
          <w:szCs w:val="24"/>
        </w:rPr>
      </w:pPr>
      <w:r w:rsidRPr="003312C4">
        <w:t>O.</w:t>
      </w:r>
      <w:r w:rsidRPr="003312C4">
        <w:tab/>
        <w:t>mając na uwadze, że w ósmej kadencji Parlament przyjął łącznie 36 rezolucji, w których sprzeciwił się wprowadzeniu do obrotu GMO do zastosowania w żywności i paszy (33 rezolucje) oraz uprawie GMO w Unii (trzy rezolucje); mając na uwadze, że w dziewiątej kadencji Parlament przyjął 38 sprzeciwów wobec wprowadzania GMO do obrotu;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P.</w:t>
      </w:r>
      <w:r w:rsidRPr="003312C4">
        <w:tab/>
        <w:t>mając na uwadze, że Komisja nadal wydaje zezwolenia na GMO, mimo że sama stwierdziła niedemokratyczność tego procesu, a także mimo braku poparcia ze strony państw członkowskich i mimo sprzeciwów Parlamentu;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Q.</w:t>
      </w:r>
      <w:r w:rsidRPr="003312C4">
        <w:tab/>
        <w:t>mając na uwadze, że żadna zmiana w prawie nie jest konieczna, by Komisja mogła nie zatwierdzić GMO, jeżeli w komitecie odwoławczym kwalifikowana większość państw członkowskich nie opowie się za zatwierdzeniem</w:t>
      </w:r>
      <w:r w:rsidRPr="003312C4">
        <w:rPr>
          <w:rStyle w:val="FootnoteReference"/>
          <w:szCs w:val="24"/>
        </w:rPr>
        <w:footnoteReference w:id="9"/>
      </w:r>
      <w:r w:rsidRPr="003312C4">
        <w:t>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R.</w:t>
      </w:r>
      <w:r w:rsidRPr="003312C4">
        <w:tab/>
      </w:r>
      <w:r w:rsidRPr="003312C4">
        <w:rPr>
          <w:shd w:val="clear" w:color="auto" w:fill="FFFFFF"/>
        </w:rPr>
        <w:t xml:space="preserve">mając na uwadze, że 17 września 2024 r. Stały Komitet ds. Roślin, Zwierząt, Żywności i Pasz, o którym mowa w art. 35 rozporządzenia (WE) nr 1829/2003, nie wydał opinii w głosowaniu, co oznacza, że zezwolenia nie poparła kwalifikowana większość państw członkowskich; 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1.</w:t>
      </w:r>
      <w:r w:rsidRPr="003312C4">
        <w:tab/>
        <w:t>uważa, że projekt decyzji wykonawczej Komisji przekracza uprawnienia wykonawcze przewidziane w rozporządzeniu (WE) nr 1829/2003;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2.</w:t>
      </w:r>
      <w:r w:rsidRPr="003312C4">
        <w:tab/>
        <w:t>uważa, że projekt decyzji wykonawczej Komisji jest niespójny z prawem Unii, gdyż nie odpowiada celowi rozporządzenia (WE) nr 1829/2003 zakładającemu – zgodnie z zasadami ogólnymi określonymi w rozporządzeniu Parlamentu Europejskiego i Rady (WE) nr 178/2002</w:t>
      </w:r>
      <w:r w:rsidRPr="003312C4">
        <w:rPr>
          <w:rStyle w:val="FootnoteReference"/>
          <w:szCs w:val="24"/>
        </w:rPr>
        <w:footnoteReference w:id="10"/>
      </w:r>
      <w:r w:rsidRPr="003312C4">
        <w:t> 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3.</w:t>
      </w:r>
      <w:r w:rsidRPr="003312C4">
        <w:tab/>
        <w:t>wzywa Komisję do wycofania projektu decyzji wykonawczej oraz do przedłożenia komitetowi nowego projektu;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4.</w:t>
      </w:r>
      <w:r w:rsidRPr="003312C4">
        <w:tab/>
        <w:t>wyraża zadowolenie, że w skierowanym do posłów piśmie z 11 września 2020 r. Komisja w końcu przyznała, że przy podejmowaniu decyzji o zezwoleniu na wprowadzenie GMO należy uwzględniać zasady zrównoważonego rozwoju</w:t>
      </w:r>
      <w:r w:rsidRPr="003312C4">
        <w:rPr>
          <w:rStyle w:val="FootnoteReference"/>
          <w:szCs w:val="24"/>
        </w:rPr>
        <w:footnoteReference w:id="11"/>
      </w:r>
      <w:r w:rsidRPr="003312C4">
        <w:t>; jest jednak głęboko rozczarowany, że od tego czasu Komisja wciąż zezwala na przywóz GMO do Unii mimo stałych sprzeciwów Parlamentu i większości państw członkowskich;</w:t>
      </w:r>
    </w:p>
    <w:p w:rsidR="00D112CC" w:rsidRPr="003312C4" w:rsidRDefault="00D112CC" w:rsidP="00D112CC">
      <w:pPr>
        <w:pStyle w:val="NormalHanging12a"/>
        <w:rPr>
          <w:szCs w:val="24"/>
        </w:rPr>
      </w:pPr>
      <w:r w:rsidRPr="003312C4">
        <w:t>5.</w:t>
      </w:r>
      <w:r w:rsidRPr="003312C4">
        <w:tab/>
        <w:t>ponownie apeluje do Komisji o uwzględnianie zobowiązań Unii wynikających z umów międzynarodowych, takich jak paryskie porozumienie klimatyczne, Konwencja ONZ o różnorodności biologicznej i cele zrównoważonego rozwoju ONZ; ponawia apel o to, by projektom aktów wykonawczych towarzyszyło uzasadnienie wyjaśniające, w jaki sposób gwarantują one przestrzeganie zasady „nie szkodzić”</w:t>
      </w:r>
      <w:r w:rsidRPr="003312C4">
        <w:rPr>
          <w:rStyle w:val="FootnoteReference"/>
          <w:szCs w:val="24"/>
        </w:rPr>
        <w:footnoteReference w:id="12"/>
      </w:r>
      <w:r w:rsidRPr="003312C4">
        <w:t xml:space="preserve">; </w:t>
      </w:r>
    </w:p>
    <w:p w:rsidR="003312C4" w:rsidRPr="003312C4" w:rsidRDefault="00D112CC" w:rsidP="003312C4">
      <w:pPr>
        <w:pStyle w:val="NormalHanging12a"/>
      </w:pPr>
      <w:r w:rsidRPr="003312C4">
        <w:t>6.</w:t>
      </w:r>
      <w:r w:rsidRPr="003312C4">
        <w:tab/>
        <w:t>zobowiązuje swoją przewodniczącą do przekazania niniejszej rezolucji Radzie i Komisji oraz rządom i parlamentom państw członkowskich.</w:t>
      </w:r>
    </w:p>
    <w:p w:rsidR="00E365E1" w:rsidRPr="003312C4" w:rsidRDefault="00E365E1" w:rsidP="00D3718A"/>
    <w:sectPr w:rsidR="00E365E1" w:rsidRPr="003312C4" w:rsidSect="003312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18A" w:rsidRPr="003312C4" w:rsidRDefault="00D3718A">
      <w:r w:rsidRPr="003312C4">
        <w:separator/>
      </w:r>
    </w:p>
  </w:endnote>
  <w:endnote w:type="continuationSeparator" w:id="0">
    <w:p w:rsidR="00D3718A" w:rsidRPr="003312C4" w:rsidRDefault="00D3718A">
      <w:r w:rsidRPr="003312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2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2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2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18A" w:rsidRPr="003312C4" w:rsidRDefault="00D3718A">
      <w:r w:rsidRPr="003312C4">
        <w:separator/>
      </w:r>
    </w:p>
  </w:footnote>
  <w:footnote w:type="continuationSeparator" w:id="0">
    <w:p w:rsidR="00D3718A" w:rsidRPr="003312C4" w:rsidRDefault="00D3718A">
      <w:r w:rsidRPr="003312C4">
        <w:continuationSeparator/>
      </w:r>
    </w:p>
  </w:footnote>
  <w:footnote w:id="1">
    <w:p w:rsidR="00D112CC" w:rsidRPr="003312C4" w:rsidRDefault="00D112CC" w:rsidP="003312C4">
      <w:pPr>
        <w:pStyle w:val="FootnoteText"/>
        <w:ind w:left="567" w:hanging="567"/>
        <w:rPr>
          <w:sz w:val="24"/>
          <w:lang w:val="pl-PL"/>
        </w:rPr>
      </w:pPr>
      <w:r w:rsidRPr="003312C4">
        <w:rPr>
          <w:rStyle w:val="FootnoteReference"/>
          <w:sz w:val="24"/>
          <w:lang w:val="pl-PL"/>
        </w:rPr>
        <w:footnoteRef/>
      </w:r>
      <w:r w:rsidR="003312C4" w:rsidRPr="003312C4">
        <w:rPr>
          <w:sz w:val="24"/>
          <w:lang w:val="pl-PL"/>
        </w:rPr>
        <w:t xml:space="preserve"> </w:t>
      </w:r>
      <w:r w:rsidR="003312C4" w:rsidRPr="003312C4">
        <w:rPr>
          <w:sz w:val="24"/>
          <w:lang w:val="pl-PL"/>
        </w:rPr>
        <w:tab/>
      </w:r>
      <w:r w:rsidRPr="003312C4">
        <w:rPr>
          <w:sz w:val="24"/>
          <w:lang w:val="pl-PL"/>
        </w:rPr>
        <w:t xml:space="preserve">Dz.U. L 268 z 18.10.2003, s. 1, ELI: </w:t>
      </w:r>
      <w:hyperlink r:id="rId1" w:tooltip="Gives access to this document through its ELI URI." w:history="1">
        <w:r w:rsidRPr="003312C4">
          <w:rPr>
            <w:rStyle w:val="Hyperlink"/>
            <w:sz w:val="24"/>
            <w:lang w:val="pl-PL"/>
          </w:rPr>
          <w:t>http://data.europa.eu/eli/reg/2003/1829/oj</w:t>
        </w:r>
      </w:hyperlink>
      <w:r w:rsidRPr="003312C4">
        <w:rPr>
          <w:sz w:val="24"/>
          <w:lang w:val="pl-PL"/>
        </w:rPr>
        <w:t xml:space="preserve">. </w:t>
      </w:r>
    </w:p>
  </w:footnote>
  <w:footnote w:id="2">
    <w:p w:rsidR="00D112CC" w:rsidRPr="003312C4" w:rsidRDefault="00D112CC" w:rsidP="003312C4">
      <w:pPr>
        <w:pStyle w:val="FootnoteText"/>
        <w:ind w:left="567" w:hanging="567"/>
        <w:rPr>
          <w:sz w:val="24"/>
          <w:lang w:val="pl-PL"/>
        </w:rPr>
      </w:pPr>
      <w:r w:rsidRPr="003312C4">
        <w:rPr>
          <w:rStyle w:val="FootnoteReference"/>
          <w:sz w:val="24"/>
          <w:lang w:val="pl-PL"/>
        </w:rPr>
        <w:footnoteRef/>
      </w:r>
      <w:r w:rsidR="003312C4" w:rsidRPr="003312C4">
        <w:rPr>
          <w:sz w:val="24"/>
          <w:lang w:val="pl-PL"/>
        </w:rPr>
        <w:t xml:space="preserve"> </w:t>
      </w:r>
      <w:r w:rsidR="003312C4" w:rsidRPr="003312C4">
        <w:rPr>
          <w:sz w:val="24"/>
          <w:lang w:val="pl-PL"/>
        </w:rPr>
        <w:tab/>
      </w:r>
      <w:r w:rsidRPr="003312C4">
        <w:rPr>
          <w:sz w:val="24"/>
          <w:lang w:val="pl-PL"/>
        </w:rPr>
        <w:t xml:space="preserve">Dz.U. L 55 z 28.2.2011, s. 13, ELI: </w:t>
      </w:r>
      <w:hyperlink r:id="rId2" w:tooltip="Gives access to this document through its ELI URI." w:history="1">
        <w:r w:rsidRPr="003312C4">
          <w:rPr>
            <w:rStyle w:val="Hyperlink"/>
            <w:sz w:val="24"/>
            <w:lang w:val="pl-PL"/>
          </w:rPr>
          <w:t>http://data.europa.eu/eli/reg/2011/182/oj</w:t>
        </w:r>
      </w:hyperlink>
      <w:r w:rsidRPr="003312C4">
        <w:rPr>
          <w:sz w:val="24"/>
          <w:lang w:val="pl-PL"/>
        </w:rPr>
        <w:t xml:space="preserve">. </w:t>
      </w:r>
    </w:p>
  </w:footnote>
  <w:footnote w:id="3">
    <w:p w:rsidR="00D112CC" w:rsidRPr="003312C4" w:rsidRDefault="00D112CC" w:rsidP="003312C4">
      <w:pPr>
        <w:pStyle w:val="FootnoteText"/>
        <w:ind w:left="567" w:hanging="567"/>
        <w:rPr>
          <w:sz w:val="24"/>
          <w:lang w:val="pl-PL"/>
        </w:rPr>
      </w:pPr>
      <w:r w:rsidRPr="003312C4">
        <w:rPr>
          <w:rStyle w:val="FootnoteReference"/>
          <w:sz w:val="24"/>
          <w:lang w:val="pl-PL"/>
        </w:rPr>
        <w:footnoteRef/>
      </w:r>
      <w:r w:rsidR="003312C4" w:rsidRPr="003312C4">
        <w:rPr>
          <w:sz w:val="24"/>
          <w:lang w:val="pl-PL"/>
        </w:rPr>
        <w:t xml:space="preserve"> </w:t>
      </w:r>
      <w:r w:rsidR="003312C4" w:rsidRPr="003312C4">
        <w:rPr>
          <w:sz w:val="24"/>
          <w:lang w:val="pl-PL"/>
        </w:rPr>
        <w:tab/>
      </w:r>
      <w:r w:rsidRPr="003312C4">
        <w:rPr>
          <w:sz w:val="24"/>
          <w:lang w:val="pl-PL"/>
        </w:rPr>
        <w:t xml:space="preserve">Opinia naukowa panelu EFSA ds. organizmów modyfikowanych genetycznie dotycząca oceny genetycznie zmodyfikowanej kukurydzy MON 94804 przeznaczonej do stosowania w żywności i paszy, zgodnie z rozporządzeniem (WE) nr 1829/2003 (wniosek GMFF-2022-10651), Dziennik EFSA 2024;22(4):8714, </w:t>
      </w:r>
      <w:hyperlink r:id="rId3" w:history="1">
        <w:r w:rsidRPr="003312C4">
          <w:rPr>
            <w:rStyle w:val="Hyperlink"/>
            <w:sz w:val="24"/>
            <w:lang w:val="pl-PL"/>
          </w:rPr>
          <w:t>https://doi.org/10.2903/j.efsa.2024.8714</w:t>
        </w:r>
      </w:hyperlink>
      <w:r w:rsidRPr="003312C4">
        <w:rPr>
          <w:sz w:val="24"/>
          <w:lang w:val="pl-PL"/>
        </w:rPr>
        <w:t>.</w:t>
      </w:r>
    </w:p>
  </w:footnote>
  <w:footnote w:id="4">
    <w:p w:rsidR="00D112CC" w:rsidRPr="003312C4" w:rsidRDefault="00D112CC" w:rsidP="003312C4">
      <w:pPr>
        <w:pStyle w:val="FootnoteText"/>
        <w:ind w:left="567" w:hanging="567"/>
        <w:rPr>
          <w:sz w:val="24"/>
          <w:lang w:val="pl-PL"/>
        </w:rPr>
      </w:pPr>
      <w:r w:rsidRPr="003312C4">
        <w:rPr>
          <w:rStyle w:val="FootnoteReference"/>
          <w:sz w:val="24"/>
          <w:lang w:val="pl-PL"/>
        </w:rPr>
        <w:footnoteRef/>
      </w:r>
      <w:r w:rsidR="003312C4" w:rsidRPr="003312C4">
        <w:rPr>
          <w:sz w:val="24"/>
          <w:lang w:val="pl-PL"/>
        </w:rPr>
        <w:t xml:space="preserve"> </w:t>
      </w:r>
      <w:r w:rsidR="003312C4" w:rsidRPr="003312C4">
        <w:rPr>
          <w:sz w:val="24"/>
          <w:lang w:val="pl-PL"/>
        </w:rPr>
        <w:tab/>
      </w:r>
      <w:r w:rsidRPr="003312C4">
        <w:rPr>
          <w:sz w:val="24"/>
          <w:lang w:val="pl-PL"/>
        </w:rPr>
        <w:t>W ósmej kadencji Parlament przyjął 36 rezolucji, a w dziewiątej – 38 rezolucji zawierających sprzeciw wobec zatwierdzania GMO.</w:t>
      </w:r>
      <w:r w:rsidRPr="003312C4">
        <w:rPr>
          <w:color w:val="000000" w:themeColor="text1"/>
          <w:sz w:val="24"/>
          <w:lang w:val="pl-PL"/>
        </w:rPr>
        <w:t xml:space="preserve"> </w:t>
      </w:r>
    </w:p>
  </w:footnote>
  <w:footnote w:id="5">
    <w:p w:rsidR="00D112CC" w:rsidRPr="003312C4" w:rsidRDefault="00D112CC" w:rsidP="003312C4">
      <w:pPr>
        <w:pStyle w:val="FootnoteText"/>
        <w:ind w:left="567" w:hanging="567"/>
        <w:rPr>
          <w:sz w:val="24"/>
          <w:lang w:val="pl-PL"/>
        </w:rPr>
      </w:pPr>
      <w:r w:rsidRPr="003312C4">
        <w:rPr>
          <w:rStyle w:val="FootnoteReference"/>
          <w:sz w:val="24"/>
          <w:lang w:val="pl-PL"/>
        </w:rPr>
        <w:footnoteRef/>
      </w:r>
      <w:r w:rsidR="003312C4" w:rsidRPr="003312C4">
        <w:rPr>
          <w:sz w:val="24"/>
          <w:lang w:val="pl-PL"/>
        </w:rPr>
        <w:t xml:space="preserve"> </w:t>
      </w:r>
      <w:r w:rsidR="003312C4" w:rsidRPr="003312C4">
        <w:rPr>
          <w:sz w:val="24"/>
          <w:lang w:val="pl-PL"/>
        </w:rPr>
        <w:tab/>
      </w:r>
      <w:r w:rsidRPr="003312C4">
        <w:rPr>
          <w:sz w:val="24"/>
          <w:lang w:val="pl-PL"/>
        </w:rPr>
        <w:t xml:space="preserve">A. </w:t>
      </w:r>
      <w:proofErr w:type="spellStart"/>
      <w:r w:rsidRPr="003312C4">
        <w:rPr>
          <w:sz w:val="24"/>
          <w:lang w:val="pl-PL"/>
        </w:rPr>
        <w:t>Dávalos</w:t>
      </w:r>
      <w:proofErr w:type="spellEnd"/>
      <w:r w:rsidRPr="003312C4">
        <w:rPr>
          <w:sz w:val="24"/>
          <w:lang w:val="pl-PL"/>
        </w:rPr>
        <w:t xml:space="preserve">, R. </w:t>
      </w:r>
      <w:proofErr w:type="spellStart"/>
      <w:r w:rsidRPr="003312C4">
        <w:rPr>
          <w:sz w:val="24"/>
          <w:lang w:val="pl-PL"/>
        </w:rPr>
        <w:t>Henriques</w:t>
      </w:r>
      <w:proofErr w:type="spellEnd"/>
      <w:r w:rsidRPr="003312C4">
        <w:rPr>
          <w:sz w:val="24"/>
          <w:lang w:val="pl-PL"/>
        </w:rPr>
        <w:t xml:space="preserve">, M. J. </w:t>
      </w:r>
      <w:proofErr w:type="spellStart"/>
      <w:r w:rsidRPr="003312C4">
        <w:rPr>
          <w:sz w:val="24"/>
          <w:lang w:val="pl-PL"/>
        </w:rPr>
        <w:t>Latasa</w:t>
      </w:r>
      <w:proofErr w:type="spellEnd"/>
      <w:r w:rsidRPr="003312C4">
        <w:rPr>
          <w:sz w:val="24"/>
          <w:lang w:val="pl-PL"/>
        </w:rPr>
        <w:t xml:space="preserve">, M. </w:t>
      </w:r>
      <w:proofErr w:type="spellStart"/>
      <w:r w:rsidRPr="003312C4">
        <w:rPr>
          <w:sz w:val="24"/>
          <w:lang w:val="pl-PL"/>
        </w:rPr>
        <w:t>Laparra</w:t>
      </w:r>
      <w:proofErr w:type="spellEnd"/>
      <w:r w:rsidRPr="003312C4">
        <w:rPr>
          <w:sz w:val="24"/>
          <w:lang w:val="pl-PL"/>
        </w:rPr>
        <w:t xml:space="preserve"> i M. Coca (2019 r.). „</w:t>
      </w:r>
      <w:proofErr w:type="spellStart"/>
      <w:r w:rsidRPr="003312C4">
        <w:rPr>
          <w:sz w:val="24"/>
          <w:lang w:val="pl-PL"/>
        </w:rPr>
        <w:t>Literature</w:t>
      </w:r>
      <w:proofErr w:type="spellEnd"/>
      <w:r w:rsidRPr="003312C4">
        <w:rPr>
          <w:sz w:val="24"/>
          <w:lang w:val="pl-PL"/>
        </w:rPr>
        <w:t xml:space="preserve"> </w:t>
      </w:r>
      <w:proofErr w:type="spellStart"/>
      <w:r w:rsidRPr="003312C4">
        <w:rPr>
          <w:sz w:val="24"/>
          <w:lang w:val="pl-PL"/>
        </w:rPr>
        <w:t>review</w:t>
      </w:r>
      <w:proofErr w:type="spellEnd"/>
      <w:r w:rsidRPr="003312C4">
        <w:rPr>
          <w:sz w:val="24"/>
          <w:lang w:val="pl-PL"/>
        </w:rPr>
        <w:t xml:space="preserve"> of </w:t>
      </w:r>
      <w:proofErr w:type="spellStart"/>
      <w:r w:rsidRPr="003312C4">
        <w:rPr>
          <w:sz w:val="24"/>
          <w:lang w:val="pl-PL"/>
        </w:rPr>
        <w:t>baseline</w:t>
      </w:r>
      <w:proofErr w:type="spellEnd"/>
      <w:r w:rsidRPr="003312C4">
        <w:rPr>
          <w:sz w:val="24"/>
          <w:lang w:val="pl-PL"/>
        </w:rPr>
        <w:t xml:space="preserve"> </w:t>
      </w:r>
      <w:proofErr w:type="spellStart"/>
      <w:r w:rsidRPr="003312C4">
        <w:rPr>
          <w:sz w:val="24"/>
          <w:lang w:val="pl-PL"/>
        </w:rPr>
        <w:t>information</w:t>
      </w:r>
      <w:proofErr w:type="spellEnd"/>
      <w:r w:rsidRPr="003312C4">
        <w:rPr>
          <w:sz w:val="24"/>
          <w:lang w:val="pl-PL"/>
        </w:rPr>
        <w:t xml:space="preserve"> on non-</w:t>
      </w:r>
      <w:proofErr w:type="spellStart"/>
      <w:r w:rsidRPr="003312C4">
        <w:rPr>
          <w:sz w:val="24"/>
          <w:lang w:val="pl-PL"/>
        </w:rPr>
        <w:t>coding</w:t>
      </w:r>
      <w:proofErr w:type="spellEnd"/>
      <w:r w:rsidRPr="003312C4">
        <w:rPr>
          <w:sz w:val="24"/>
          <w:lang w:val="pl-PL"/>
        </w:rPr>
        <w:t xml:space="preserve"> RNA (</w:t>
      </w:r>
      <w:proofErr w:type="spellStart"/>
      <w:r w:rsidRPr="003312C4">
        <w:rPr>
          <w:sz w:val="24"/>
          <w:lang w:val="pl-PL"/>
        </w:rPr>
        <w:t>ncRNA</w:t>
      </w:r>
      <w:proofErr w:type="spellEnd"/>
      <w:r w:rsidRPr="003312C4">
        <w:rPr>
          <w:sz w:val="24"/>
          <w:lang w:val="pl-PL"/>
        </w:rPr>
        <w:t xml:space="preserve">) to </w:t>
      </w:r>
      <w:proofErr w:type="spellStart"/>
      <w:r w:rsidRPr="003312C4">
        <w:rPr>
          <w:sz w:val="24"/>
          <w:lang w:val="pl-PL"/>
        </w:rPr>
        <w:t>support</w:t>
      </w:r>
      <w:proofErr w:type="spellEnd"/>
      <w:r w:rsidRPr="003312C4">
        <w:rPr>
          <w:sz w:val="24"/>
          <w:lang w:val="pl-PL"/>
        </w:rPr>
        <w:t xml:space="preserve"> the </w:t>
      </w:r>
      <w:proofErr w:type="spellStart"/>
      <w:r w:rsidRPr="003312C4">
        <w:rPr>
          <w:sz w:val="24"/>
          <w:lang w:val="pl-PL"/>
        </w:rPr>
        <w:t>risk</w:t>
      </w:r>
      <w:proofErr w:type="spellEnd"/>
      <w:r w:rsidRPr="003312C4">
        <w:rPr>
          <w:sz w:val="24"/>
          <w:lang w:val="pl-PL"/>
        </w:rPr>
        <w:t xml:space="preserve"> </w:t>
      </w:r>
      <w:proofErr w:type="spellStart"/>
      <w:r w:rsidRPr="003312C4">
        <w:rPr>
          <w:sz w:val="24"/>
          <w:lang w:val="pl-PL"/>
        </w:rPr>
        <w:t>assessment</w:t>
      </w:r>
      <w:proofErr w:type="spellEnd"/>
      <w:r w:rsidRPr="003312C4">
        <w:rPr>
          <w:sz w:val="24"/>
          <w:lang w:val="pl-PL"/>
        </w:rPr>
        <w:t xml:space="preserve"> of </w:t>
      </w:r>
      <w:proofErr w:type="spellStart"/>
      <w:r w:rsidRPr="003312C4">
        <w:rPr>
          <w:sz w:val="24"/>
          <w:lang w:val="pl-PL"/>
        </w:rPr>
        <w:t>ncRNA-based</w:t>
      </w:r>
      <w:proofErr w:type="spellEnd"/>
      <w:r w:rsidRPr="003312C4">
        <w:rPr>
          <w:sz w:val="24"/>
          <w:lang w:val="pl-PL"/>
        </w:rPr>
        <w:t xml:space="preserve"> </w:t>
      </w:r>
      <w:proofErr w:type="spellStart"/>
      <w:r w:rsidRPr="003312C4">
        <w:rPr>
          <w:sz w:val="24"/>
          <w:lang w:val="pl-PL"/>
        </w:rPr>
        <w:t>genetically</w:t>
      </w:r>
      <w:proofErr w:type="spellEnd"/>
      <w:r w:rsidRPr="003312C4">
        <w:rPr>
          <w:sz w:val="24"/>
          <w:lang w:val="pl-PL"/>
        </w:rPr>
        <w:t xml:space="preserve"> </w:t>
      </w:r>
      <w:proofErr w:type="spellStart"/>
      <w:r w:rsidRPr="003312C4">
        <w:rPr>
          <w:sz w:val="24"/>
          <w:lang w:val="pl-PL"/>
        </w:rPr>
        <w:t>modified</w:t>
      </w:r>
      <w:proofErr w:type="spellEnd"/>
      <w:r w:rsidRPr="003312C4">
        <w:rPr>
          <w:sz w:val="24"/>
          <w:lang w:val="pl-PL"/>
        </w:rPr>
        <w:t xml:space="preserve"> </w:t>
      </w:r>
      <w:proofErr w:type="spellStart"/>
      <w:r w:rsidRPr="003312C4">
        <w:rPr>
          <w:sz w:val="24"/>
          <w:lang w:val="pl-PL"/>
        </w:rPr>
        <w:t>plants</w:t>
      </w:r>
      <w:proofErr w:type="spellEnd"/>
      <w:r w:rsidRPr="003312C4">
        <w:rPr>
          <w:sz w:val="24"/>
          <w:lang w:val="pl-PL"/>
        </w:rPr>
        <w:t xml:space="preserve"> for food and </w:t>
      </w:r>
      <w:proofErr w:type="spellStart"/>
      <w:r w:rsidRPr="003312C4">
        <w:rPr>
          <w:sz w:val="24"/>
          <w:lang w:val="pl-PL"/>
        </w:rPr>
        <w:t>feed</w:t>
      </w:r>
      <w:proofErr w:type="spellEnd"/>
      <w:r w:rsidRPr="003312C4">
        <w:rPr>
          <w:sz w:val="24"/>
          <w:lang w:val="pl-PL"/>
        </w:rPr>
        <w:t>” [Przegląd literatury zawierającej podstawowe informacje dotyczące niekodowanego RNA (</w:t>
      </w:r>
      <w:proofErr w:type="spellStart"/>
      <w:r w:rsidRPr="003312C4">
        <w:rPr>
          <w:sz w:val="24"/>
          <w:lang w:val="pl-PL"/>
        </w:rPr>
        <w:t>ncRNA</w:t>
      </w:r>
      <w:proofErr w:type="spellEnd"/>
      <w:r w:rsidRPr="003312C4">
        <w:rPr>
          <w:sz w:val="24"/>
          <w:lang w:val="pl-PL"/>
        </w:rPr>
        <w:t xml:space="preserve">) w celu wsparcia oceny ryzyka związanego z roślinami genetycznie modyfikowanymi na bazie </w:t>
      </w:r>
      <w:proofErr w:type="spellStart"/>
      <w:r w:rsidRPr="003312C4">
        <w:rPr>
          <w:sz w:val="24"/>
          <w:lang w:val="pl-PL"/>
        </w:rPr>
        <w:t>ncRNA</w:t>
      </w:r>
      <w:proofErr w:type="spellEnd"/>
      <w:r w:rsidRPr="003312C4">
        <w:rPr>
          <w:sz w:val="24"/>
          <w:lang w:val="pl-PL"/>
        </w:rPr>
        <w:t xml:space="preserve">, przeznaczonymi do stosowania w żywności i paszy]. Publikacje dodatkowe EFSA, 16(8), EN-1688. </w:t>
      </w:r>
      <w:hyperlink r:id="rId4" w:history="1">
        <w:r w:rsidRPr="003312C4">
          <w:rPr>
            <w:rStyle w:val="Hyperlink"/>
            <w:sz w:val="24"/>
            <w:lang w:val="pl-PL"/>
          </w:rPr>
          <w:t>https://doi.org/10.2903/sp.efsa.2019.EN-1688</w:t>
        </w:r>
      </w:hyperlink>
      <w:r w:rsidRPr="003312C4">
        <w:rPr>
          <w:rStyle w:val="Hyperlink"/>
          <w:sz w:val="24"/>
          <w:lang w:val="pl-PL"/>
        </w:rPr>
        <w:t>.</w:t>
      </w:r>
    </w:p>
  </w:footnote>
  <w:footnote w:id="6">
    <w:p w:rsidR="00D112CC" w:rsidRPr="003312C4" w:rsidRDefault="00D112CC" w:rsidP="003312C4">
      <w:pPr>
        <w:pStyle w:val="FootnoteText"/>
        <w:ind w:left="567" w:hanging="567"/>
        <w:rPr>
          <w:sz w:val="24"/>
          <w:szCs w:val="24"/>
          <w:lang w:val="pl-PL"/>
        </w:rPr>
      </w:pPr>
      <w:r w:rsidRPr="003312C4">
        <w:rPr>
          <w:rStyle w:val="FootnoteReference"/>
          <w:sz w:val="24"/>
          <w:lang w:val="pl-PL"/>
        </w:rPr>
        <w:footnoteRef/>
      </w:r>
      <w:r w:rsidR="003312C4" w:rsidRPr="003312C4">
        <w:rPr>
          <w:sz w:val="24"/>
          <w:lang w:val="pl-PL"/>
        </w:rPr>
        <w:t xml:space="preserve"> </w:t>
      </w:r>
      <w:r w:rsidR="003312C4" w:rsidRPr="003312C4">
        <w:rPr>
          <w:sz w:val="24"/>
          <w:lang w:val="pl-PL"/>
        </w:rPr>
        <w:tab/>
      </w:r>
      <w:r w:rsidRPr="003312C4">
        <w:rPr>
          <w:sz w:val="24"/>
          <w:lang w:val="pl-PL"/>
        </w:rPr>
        <w:t xml:space="preserve">Załącznik 8 do opinii naukowej panelu EFSA ds. organizmów modyfikowanych genetycznie dotyczącej oceny genetycznie zmodyfikowanej kukurydzy MON 94804 przeznaczonej do stosowania w żywności i paszy, zgodnie z rozporządzeniem (WE) nr 1829/2003 (wniosek GMFF-2022-10651), Dziennik EFSA 2024;22(4):8714, </w:t>
      </w:r>
      <w:hyperlink r:id="rId5" w:history="1">
        <w:r w:rsidRPr="003312C4">
          <w:rPr>
            <w:rStyle w:val="Hyperlink"/>
            <w:sz w:val="24"/>
            <w:lang w:val="pl-PL"/>
          </w:rPr>
          <w:t>https://doi.org/10.2903/j.efsa.2024.8714</w:t>
        </w:r>
      </w:hyperlink>
      <w:r w:rsidRPr="003312C4">
        <w:rPr>
          <w:sz w:val="24"/>
          <w:lang w:val="pl-PL"/>
        </w:rPr>
        <w:t>.</w:t>
      </w:r>
    </w:p>
  </w:footnote>
  <w:footnote w:id="7">
    <w:p w:rsidR="00D112CC" w:rsidRPr="003312C4" w:rsidRDefault="00D112CC" w:rsidP="003312C4">
      <w:pPr>
        <w:pStyle w:val="FootnoteText"/>
        <w:ind w:left="567" w:hanging="567"/>
        <w:rPr>
          <w:sz w:val="24"/>
          <w:lang w:val="pl-PL"/>
        </w:rPr>
      </w:pPr>
      <w:r w:rsidRPr="003312C4">
        <w:rPr>
          <w:rStyle w:val="FootnoteReference"/>
          <w:sz w:val="24"/>
          <w:lang w:val="pl-PL"/>
        </w:rPr>
        <w:footnoteRef/>
      </w:r>
      <w:r w:rsidR="003312C4" w:rsidRPr="003312C4">
        <w:rPr>
          <w:sz w:val="24"/>
          <w:lang w:val="pl-PL"/>
        </w:rPr>
        <w:t xml:space="preserve"> </w:t>
      </w:r>
      <w:r w:rsidR="003312C4" w:rsidRPr="003312C4">
        <w:rPr>
          <w:sz w:val="24"/>
          <w:lang w:val="pl-PL"/>
        </w:rPr>
        <w:tab/>
      </w:r>
      <w:hyperlink r:id="rId6" w:history="1">
        <w:r w:rsidRPr="003312C4">
          <w:rPr>
            <w:rStyle w:val="Hyperlink"/>
            <w:sz w:val="24"/>
            <w:lang w:val="pl-PL"/>
          </w:rPr>
          <w:t>https://commission.europa.eu/document/2c64e540-c07a-4376-a1da-368d289f4afe_en</w:t>
        </w:r>
      </w:hyperlink>
    </w:p>
  </w:footnote>
  <w:footnote w:id="8">
    <w:p w:rsidR="00D112CC" w:rsidRPr="003312C4" w:rsidRDefault="00D112CC" w:rsidP="003312C4">
      <w:pPr>
        <w:pStyle w:val="FootnoteText"/>
        <w:ind w:left="567" w:hanging="567"/>
        <w:rPr>
          <w:sz w:val="24"/>
          <w:lang w:val="pl-PL"/>
        </w:rPr>
      </w:pPr>
      <w:r w:rsidRPr="003312C4">
        <w:rPr>
          <w:rStyle w:val="FootnoteReference"/>
          <w:sz w:val="24"/>
          <w:lang w:val="pl-PL"/>
        </w:rPr>
        <w:footnoteRef/>
      </w:r>
      <w:r w:rsidR="003312C4" w:rsidRPr="003312C4">
        <w:rPr>
          <w:sz w:val="24"/>
          <w:lang w:val="pl-PL"/>
        </w:rPr>
        <w:t xml:space="preserve"> </w:t>
      </w:r>
      <w:r w:rsidR="003312C4" w:rsidRPr="003312C4">
        <w:rPr>
          <w:sz w:val="24"/>
          <w:lang w:val="pl-PL"/>
        </w:rPr>
        <w:tab/>
      </w:r>
      <w:hyperlink r:id="rId7" w:history="1">
        <w:r w:rsidRPr="003312C4">
          <w:rPr>
            <w:rStyle w:val="Hyperlink"/>
            <w:sz w:val="24"/>
            <w:lang w:val="pl-PL"/>
          </w:rPr>
          <w:t>https://efsa.onlinelibrary.wiley.com/action/downloadSupplement?doi=10.2903%2Fj.‌efsa.2024.8714&amp;file=efs28714-sup-0008-Annex8.pdf</w:t>
        </w:r>
      </w:hyperlink>
      <w:r w:rsidRPr="003312C4">
        <w:rPr>
          <w:rStyle w:val="Hyperlink"/>
          <w:sz w:val="24"/>
          <w:lang w:val="pl-PL"/>
        </w:rPr>
        <w:t>.</w:t>
      </w:r>
    </w:p>
  </w:footnote>
  <w:footnote w:id="9">
    <w:p w:rsidR="00D112CC" w:rsidRPr="003312C4" w:rsidRDefault="00D112CC" w:rsidP="003312C4">
      <w:pPr>
        <w:pStyle w:val="sdfootnote-western"/>
        <w:spacing w:before="0" w:beforeAutospacing="0"/>
        <w:ind w:left="567" w:hanging="567"/>
        <w:rPr>
          <w:rFonts w:ascii="Times New Roman" w:hAnsi="Times New Roman"/>
          <w:color w:val="auto"/>
          <w:sz w:val="24"/>
        </w:rPr>
      </w:pPr>
      <w:r w:rsidRPr="003312C4">
        <w:rPr>
          <w:rStyle w:val="FootnoteReference"/>
          <w:rFonts w:ascii="Times New Roman" w:hAnsi="Times New Roman"/>
          <w:sz w:val="24"/>
        </w:rPr>
        <w:footnoteRef/>
      </w:r>
      <w:r w:rsidR="003312C4" w:rsidRPr="003312C4">
        <w:rPr>
          <w:rFonts w:ascii="Times New Roman" w:hAnsi="Times New Roman"/>
          <w:color w:val="auto"/>
          <w:sz w:val="24"/>
        </w:rPr>
        <w:t xml:space="preserve"> </w:t>
      </w:r>
      <w:r w:rsidR="003312C4" w:rsidRPr="003312C4">
        <w:rPr>
          <w:rFonts w:ascii="Times New Roman" w:hAnsi="Times New Roman"/>
          <w:color w:val="auto"/>
          <w:sz w:val="24"/>
        </w:rPr>
        <w:tab/>
      </w:r>
      <w:r w:rsidRPr="003312C4">
        <w:rPr>
          <w:rFonts w:ascii="Times New Roman" w:hAnsi="Times New Roman"/>
          <w:color w:val="auto"/>
          <w:sz w:val="24"/>
        </w:rPr>
        <w:t xml:space="preserve">Zgodnie z art. 6 ust. 3 rozporządzenia (UE) nr 182/2011 Komisja „może przyjąć”, a nie „przyjmuje” zezwolenie, jeżeli nie opowie się za nim kwalifikowana większość państw członkowskich w komitecie odwoławczym. </w:t>
      </w:r>
    </w:p>
  </w:footnote>
  <w:footnote w:id="10">
    <w:p w:rsidR="00D112CC" w:rsidRPr="003312C4" w:rsidRDefault="00D112CC" w:rsidP="003312C4">
      <w:pPr>
        <w:pStyle w:val="FootnoteText"/>
        <w:ind w:left="567" w:hanging="567"/>
        <w:rPr>
          <w:sz w:val="24"/>
          <w:lang w:val="pl-PL"/>
        </w:rPr>
      </w:pPr>
      <w:r w:rsidRPr="003312C4">
        <w:rPr>
          <w:rStyle w:val="FootnoteReference"/>
          <w:sz w:val="24"/>
          <w:lang w:val="pl-PL"/>
        </w:rPr>
        <w:footnoteRef/>
      </w:r>
      <w:r w:rsidR="003312C4" w:rsidRPr="003312C4">
        <w:rPr>
          <w:sz w:val="24"/>
          <w:lang w:val="pl-PL"/>
        </w:rPr>
        <w:t xml:space="preserve"> </w:t>
      </w:r>
      <w:r w:rsidR="003312C4" w:rsidRPr="003312C4">
        <w:rPr>
          <w:sz w:val="24"/>
          <w:lang w:val="pl-PL"/>
        </w:rPr>
        <w:tab/>
      </w:r>
      <w:r w:rsidRPr="003312C4">
        <w:rPr>
          <w:sz w:val="24"/>
          <w:lang w:val="pl-PL"/>
        </w:rPr>
        <w:t>Rozporządzenie (WE) nr 178/2002 Parlamentu Europejskiego i Rady z 28 stycznia 2002 r. ustanawiające ogólne zasady i wymagania prawa żywnościowego, powołujące Europejski Urząd ds. Bezpieczeństwa Żywności oraz ustanawiające procedury w zakresie bezpieczeństwa żywności (Dz.U. L 31 z 1.2.2002, s. 1, ELI:  </w:t>
      </w:r>
      <w:hyperlink r:id="rId8" w:tooltip="Gives access to this document through its ELI URI." w:history="1">
        <w:r w:rsidRPr="003312C4">
          <w:rPr>
            <w:rStyle w:val="Hyperlink"/>
            <w:sz w:val="24"/>
            <w:lang w:val="pl-PL"/>
          </w:rPr>
          <w:t>http://data.europa.eu/eli/reg/2002/178/oj</w:t>
        </w:r>
      </w:hyperlink>
      <w:r w:rsidRPr="003312C4">
        <w:rPr>
          <w:sz w:val="24"/>
          <w:lang w:val="pl-PL"/>
        </w:rPr>
        <w:t>).</w:t>
      </w:r>
    </w:p>
  </w:footnote>
  <w:footnote w:id="11">
    <w:p w:rsidR="00D112CC" w:rsidRPr="003312C4" w:rsidRDefault="00D112CC" w:rsidP="003312C4">
      <w:pPr>
        <w:pStyle w:val="FootnoteText"/>
        <w:ind w:left="567" w:hanging="567"/>
        <w:rPr>
          <w:sz w:val="24"/>
          <w:lang w:val="pl-PL"/>
        </w:rPr>
      </w:pPr>
      <w:r w:rsidRPr="003312C4">
        <w:rPr>
          <w:rStyle w:val="FootnoteReference"/>
          <w:sz w:val="24"/>
          <w:lang w:val="pl-PL"/>
        </w:rPr>
        <w:footnoteRef/>
      </w:r>
      <w:r w:rsidR="003312C4" w:rsidRPr="003312C4">
        <w:rPr>
          <w:sz w:val="24"/>
          <w:lang w:val="pl-PL"/>
        </w:rPr>
        <w:t xml:space="preserve"> </w:t>
      </w:r>
      <w:r w:rsidR="003312C4" w:rsidRPr="003312C4">
        <w:rPr>
          <w:sz w:val="24"/>
          <w:lang w:val="pl-PL"/>
        </w:rPr>
        <w:tab/>
      </w:r>
      <w:hyperlink r:id="rId9" w:history="1">
        <w:r w:rsidRPr="003312C4">
          <w:rPr>
            <w:rStyle w:val="Hyperlink"/>
            <w:sz w:val="24"/>
            <w:lang w:val="pl-PL"/>
          </w:rPr>
          <w:t>https://tillymetz.lu/wp-content/uploads/2020/09/Co-signed-letter-MEP-Metz.pdf</w:t>
        </w:r>
      </w:hyperlink>
      <w:r w:rsidRPr="003312C4">
        <w:rPr>
          <w:rStyle w:val="Hyperlink"/>
          <w:sz w:val="24"/>
          <w:lang w:val="pl-PL"/>
        </w:rPr>
        <w:t xml:space="preserve">. </w:t>
      </w:r>
    </w:p>
  </w:footnote>
  <w:footnote w:id="12">
    <w:p w:rsidR="00D112CC" w:rsidRPr="003312C4" w:rsidRDefault="00D112CC" w:rsidP="003312C4">
      <w:pPr>
        <w:pStyle w:val="FootnoteText"/>
        <w:ind w:left="567" w:hanging="567"/>
        <w:rPr>
          <w:sz w:val="24"/>
          <w:lang w:val="pl-PL"/>
        </w:rPr>
      </w:pPr>
      <w:r w:rsidRPr="003312C4">
        <w:rPr>
          <w:rStyle w:val="FootnoteReference"/>
          <w:sz w:val="24"/>
          <w:lang w:val="pl-PL"/>
        </w:rPr>
        <w:footnoteRef/>
      </w:r>
      <w:r w:rsidR="003312C4" w:rsidRPr="003312C4">
        <w:rPr>
          <w:sz w:val="24"/>
          <w:lang w:val="pl-PL"/>
        </w:rPr>
        <w:t xml:space="preserve"> </w:t>
      </w:r>
      <w:r w:rsidR="003312C4" w:rsidRPr="003312C4">
        <w:rPr>
          <w:sz w:val="24"/>
          <w:lang w:val="pl-PL"/>
        </w:rPr>
        <w:tab/>
      </w:r>
      <w:r w:rsidRPr="003312C4">
        <w:rPr>
          <w:sz w:val="24"/>
          <w:lang w:val="pl-PL"/>
        </w:rPr>
        <w:t>Rezolucja Parlamentu Europejskiego z 15 stycznia 2020 r. w sprawie Europejskiego Zielonego Ładu (Dz.U. C 270 z 7.7.2021, s. 2), ust.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2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2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2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3/2024"/>
    <w:docVar w:name="dvlangue" w:val="PL"/>
    <w:docVar w:name="dvnumam" w:val="0"/>
    <w:docVar w:name="dvpe" w:val="763.294"/>
    <w:docVar w:name="dvtitre" w:val="Rezolucja Parlamentu Europejskiego z dnia 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(D099729/02 – 2024/2841(RSP))"/>
  </w:docVars>
  <w:rsids>
    <w:rsidRoot w:val="00D3718A"/>
    <w:rsid w:val="00002272"/>
    <w:rsid w:val="00064002"/>
    <w:rsid w:val="000677B9"/>
    <w:rsid w:val="000831BA"/>
    <w:rsid w:val="000A42CC"/>
    <w:rsid w:val="000C6DDF"/>
    <w:rsid w:val="000E7DD9"/>
    <w:rsid w:val="0010095E"/>
    <w:rsid w:val="00125B37"/>
    <w:rsid w:val="00187494"/>
    <w:rsid w:val="001F32AE"/>
    <w:rsid w:val="002767FF"/>
    <w:rsid w:val="002B18FE"/>
    <w:rsid w:val="002B5493"/>
    <w:rsid w:val="003312C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013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01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2CC"/>
    <w:rsid w:val="00D3718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094EF"/>
  <w15:chartTrackingRefBased/>
  <w15:docId w15:val="{F0E7FB89-8AA4-4828-BB0B-DF1A1ABC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12CC"/>
    <w:pPr>
      <w:spacing w:before="480" w:after="240"/>
    </w:pPr>
  </w:style>
  <w:style w:type="paragraph" w:customStyle="1" w:styleId="NormalHanging12a">
    <w:name w:val="NormalHanging12a"/>
    <w:basedOn w:val="Normal"/>
    <w:rsid w:val="00D112CC"/>
    <w:pPr>
      <w:spacing w:after="240"/>
      <w:ind w:left="567" w:hanging="567"/>
    </w:pPr>
  </w:style>
  <w:style w:type="paragraph" w:customStyle="1" w:styleId="NormalBold">
    <w:name w:val="NormalBold"/>
    <w:basedOn w:val="Normal"/>
    <w:rsid w:val="00D112CC"/>
    <w:rPr>
      <w:b/>
    </w:rPr>
  </w:style>
  <w:style w:type="character" w:styleId="Hyperlink">
    <w:name w:val="Hyperlink"/>
    <w:basedOn w:val="DefaultParagraphFont"/>
    <w:uiPriority w:val="99"/>
    <w:rsid w:val="00D112CC"/>
    <w:rPr>
      <w:color w:val="0563C1" w:themeColor="hyperlink"/>
      <w:u w:val="single"/>
    </w:rPr>
  </w:style>
  <w:style w:type="paragraph" w:customStyle="1" w:styleId="sdfootnote-western">
    <w:name w:val="sdfootnote-western"/>
    <w:basedOn w:val="Normal"/>
    <w:rsid w:val="00D112CC"/>
    <w:pPr>
      <w:widowControl/>
      <w:spacing w:before="100" w:beforeAutospacing="1"/>
      <w:ind w:left="346" w:hanging="346"/>
    </w:pPr>
    <w:rPr>
      <w:rFonts w:ascii="Calibri" w:hAnsi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4.8714" TargetMode="External"/><Relationship Id="rId7" Type="http://schemas.openxmlformats.org/officeDocument/2006/relationships/hyperlink" Target="https://efsa.onlinelibrary.wiley.com/action/downloadSupplement?doi=10.2903/j.efsa.2024.8714&amp;file=efs28714-sup-0008-Annex8.pdf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s://commission.europa.eu/document/2c64e540-c07a-4376-a1da-368d289f4afe_en" TargetMode="External"/><Relationship Id="rId5" Type="http://schemas.openxmlformats.org/officeDocument/2006/relationships/hyperlink" Target="https://doi.org/10.2903/j.efsa.2024.8714" TargetMode="External"/><Relationship Id="rId4" Type="http://schemas.openxmlformats.org/officeDocument/2006/relationships/hyperlink" Target="https://doi.org/10.2903/sp.efsa.2019.EN-1688" TargetMode="External"/><Relationship Id="rId9" Type="http://schemas.openxmlformats.org/officeDocument/2006/relationships/hyperlink" Target="https://tillymetz.lu/wp-content/uploads/2020/09/Co-signed-letter-MEP-Metz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6219B-50B1-42EA-A3F4-5DC31896D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1370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KLIMKOWSKI Andrzej</cp:lastModifiedBy>
  <cp:revision>3</cp:revision>
  <cp:lastPrinted>2004-11-19T15:42:00Z</cp:lastPrinted>
  <dcterms:created xsi:type="dcterms:W3CDTF">2024-11-26T13:51:00Z</dcterms:created>
  <dcterms:modified xsi:type="dcterms:W3CDTF">2025-01-08T09:33:00Z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B10-0153/2024</vt:lpwstr>
  </property>
  <property fmtid="{D5CDD505-2E9C-101B-9397-08002B2CF9AE}" pid="4" name="&lt;Type&gt;">
    <vt:lpwstr>RR</vt:lpwstr>
  </property>
</Properties>
</file>