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11476" w14:paraId="42920FF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995E3F8" w14:textId="77777777" w:rsidR="00751A4A" w:rsidRPr="00A11476" w:rsidRDefault="00F16269" w:rsidP="0010095E">
            <w:pPr>
              <w:pStyle w:val="EPName"/>
            </w:pPr>
            <w:bookmarkStart w:id="0" w:name="_GoBack"/>
            <w:bookmarkEnd w:id="0"/>
            <w:r w:rsidRPr="00A11476">
              <w:t>Parlamento Europeu</w:t>
            </w:r>
          </w:p>
          <w:p w14:paraId="4657801A" w14:textId="77777777" w:rsidR="00751A4A" w:rsidRPr="00A1147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11476">
              <w:t>2024</w:t>
            </w:r>
            <w:r w:rsidR="00817416" w:rsidRPr="00A11476">
              <w:t>-202</w:t>
            </w:r>
            <w:r w:rsidRPr="00A11476">
              <w:t>9</w:t>
            </w:r>
          </w:p>
        </w:tc>
        <w:tc>
          <w:tcPr>
            <w:tcW w:w="2268" w:type="dxa"/>
            <w:shd w:val="clear" w:color="auto" w:fill="auto"/>
          </w:tcPr>
          <w:p w14:paraId="25DA4B93" w14:textId="77777777" w:rsidR="00751A4A" w:rsidRPr="00A11476" w:rsidRDefault="00187494" w:rsidP="0010095E">
            <w:pPr>
              <w:pStyle w:val="EPLogo"/>
            </w:pPr>
            <w:r w:rsidRPr="00A11476">
              <w:rPr>
                <w:noProof/>
                <w:lang w:val="en-GB"/>
              </w:rPr>
              <w:drawing>
                <wp:inline distT="0" distB="0" distL="0" distR="0" wp14:anchorId="77662385" wp14:editId="246D9DA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87BF842" w14:textId="77777777" w:rsidR="00D058B8" w:rsidRPr="00A11476" w:rsidRDefault="00D058B8" w:rsidP="004C5D52">
      <w:pPr>
        <w:pStyle w:val="LineTop"/>
      </w:pPr>
    </w:p>
    <w:p w14:paraId="46EFE148" w14:textId="77777777" w:rsidR="00680577" w:rsidRPr="00A11476" w:rsidRDefault="00F16269" w:rsidP="00680577">
      <w:pPr>
        <w:pStyle w:val="EPBodyTA1"/>
      </w:pPr>
      <w:r w:rsidRPr="00A11476">
        <w:t>TEXTOS APROVADOS</w:t>
      </w:r>
    </w:p>
    <w:p w14:paraId="7BA250CF" w14:textId="77777777" w:rsidR="00D058B8" w:rsidRPr="00A11476" w:rsidRDefault="00D058B8" w:rsidP="00D058B8">
      <w:pPr>
        <w:pStyle w:val="LineBottom"/>
      </w:pPr>
    </w:p>
    <w:p w14:paraId="1D03043F" w14:textId="162A771B" w:rsidR="00F16269" w:rsidRPr="00A11476" w:rsidRDefault="00F16269" w:rsidP="00F16269">
      <w:pPr>
        <w:pStyle w:val="ATHeading1"/>
      </w:pPr>
      <w:bookmarkStart w:id="1" w:name="TANumber"/>
      <w:r w:rsidRPr="00A11476">
        <w:t>P10_TA(2024)00</w:t>
      </w:r>
      <w:r w:rsidR="00A11476" w:rsidRPr="00A11476">
        <w:t>45</w:t>
      </w:r>
      <w:bookmarkEnd w:id="1"/>
    </w:p>
    <w:p w14:paraId="17C69FDC" w14:textId="31BD9E13" w:rsidR="00F16269" w:rsidRPr="00A11476" w:rsidRDefault="00F16269" w:rsidP="00F16269">
      <w:pPr>
        <w:pStyle w:val="ATHeading2"/>
      </w:pPr>
      <w:bookmarkStart w:id="2" w:name="title"/>
      <w:r w:rsidRPr="00A11476">
        <w:t>Milho geneticamente modificado MON 94804</w:t>
      </w:r>
      <w:bookmarkEnd w:id="2"/>
    </w:p>
    <w:p w14:paraId="39EF6C86" w14:textId="77777777" w:rsidR="00F16269" w:rsidRPr="00A11476" w:rsidRDefault="00F16269" w:rsidP="00F16269">
      <w:pPr>
        <w:rPr>
          <w:i/>
          <w:vanish/>
        </w:rPr>
      </w:pPr>
      <w:r w:rsidRPr="00A11476">
        <w:rPr>
          <w:i/>
        </w:rPr>
        <w:fldChar w:fldCharType="begin"/>
      </w:r>
      <w:r w:rsidRPr="00A11476">
        <w:rPr>
          <w:i/>
        </w:rPr>
        <w:instrText xml:space="preserve"> TC"(</w:instrText>
      </w:r>
      <w:bookmarkStart w:id="3" w:name="DocNumber"/>
      <w:r w:rsidRPr="00A11476">
        <w:rPr>
          <w:i/>
        </w:rPr>
        <w:instrText>B10-0153/2024</w:instrText>
      </w:r>
      <w:bookmarkEnd w:id="3"/>
      <w:r w:rsidRPr="00A11476">
        <w:rPr>
          <w:i/>
        </w:rPr>
        <w:instrText xml:space="preserve">)"\l3 \n&gt; \* MERGEFORMAT </w:instrText>
      </w:r>
      <w:r w:rsidRPr="00A11476">
        <w:rPr>
          <w:i/>
        </w:rPr>
        <w:fldChar w:fldCharType="end"/>
      </w:r>
    </w:p>
    <w:p w14:paraId="312333F6" w14:textId="77777777" w:rsidR="00F16269" w:rsidRPr="00A11476" w:rsidRDefault="00F16269" w:rsidP="00F16269">
      <w:pPr>
        <w:rPr>
          <w:vanish/>
        </w:rPr>
      </w:pPr>
      <w:bookmarkStart w:id="4" w:name="PE"/>
      <w:r w:rsidRPr="00A11476">
        <w:rPr>
          <w:vanish/>
        </w:rPr>
        <w:t>PE763.294</w:t>
      </w:r>
      <w:bookmarkEnd w:id="4"/>
    </w:p>
    <w:p w14:paraId="2E8D31B2" w14:textId="4FE9A78E" w:rsidR="00F16269" w:rsidRPr="00A11476" w:rsidRDefault="00F16269" w:rsidP="00F16269">
      <w:pPr>
        <w:pStyle w:val="ATHeading3"/>
      </w:pPr>
      <w:bookmarkStart w:id="5" w:name="Sujet"/>
      <w:r w:rsidRPr="00A11476">
        <w:t xml:space="preserve">Resolução do Parlamento Europeu, de </w:t>
      </w:r>
      <w:r w:rsidR="00676FB0" w:rsidRPr="00A11476">
        <w:t>26</w:t>
      </w:r>
      <w:r w:rsidRPr="00A11476">
        <w:t xml:space="preserve"> de </w:t>
      </w:r>
      <w:r w:rsidR="00676FB0" w:rsidRPr="00A11476">
        <w:t>novembro</w:t>
      </w:r>
      <w:r w:rsidRPr="00A11476">
        <w:t xml:space="preserve"> de 2024, sobre o projeto de decisão de execução da Comissão que autoriza a colocação no mercado de produtos que contenham, sejam constituídos por, ou produzidos a partir de </w:t>
      </w:r>
      <w:r w:rsidR="00676FB0" w:rsidRPr="00A11476">
        <w:t xml:space="preserve">milho geneticamente modificado </w:t>
      </w:r>
      <w:r w:rsidRPr="00A11476">
        <w:t>MON 94804 nos termos do Regulamento (CE) n.º 1829/2003 do Parlamento Europeu e do Conselho</w:t>
      </w:r>
      <w:bookmarkEnd w:id="5"/>
      <w:r w:rsidRPr="00A11476">
        <w:t xml:space="preserve"> </w:t>
      </w:r>
      <w:bookmarkStart w:id="6" w:name="References"/>
      <w:r w:rsidRPr="00A11476">
        <w:t>(D099729/02 – 2024/2841(RSP))</w:t>
      </w:r>
      <w:bookmarkEnd w:id="6"/>
    </w:p>
    <w:p w14:paraId="79B83E85" w14:textId="77777777" w:rsidR="00520EA9" w:rsidRPr="00A11476" w:rsidRDefault="00520EA9" w:rsidP="00520EA9">
      <w:pPr>
        <w:pStyle w:val="EPComma"/>
      </w:pPr>
      <w:bookmarkStart w:id="7" w:name="TextBodyBegin"/>
      <w:bookmarkEnd w:id="7"/>
      <w:r w:rsidRPr="00A11476">
        <w:rPr>
          <w:i/>
        </w:rPr>
        <w:t>O Parlamento Europeu</w:t>
      </w:r>
      <w:r w:rsidRPr="00A11476">
        <w:t>,</w:t>
      </w:r>
    </w:p>
    <w:p w14:paraId="2C4371BF" w14:textId="73AE162B" w:rsidR="00520EA9" w:rsidRPr="00A11476" w:rsidRDefault="00520EA9" w:rsidP="00520EA9">
      <w:pPr>
        <w:pStyle w:val="NormalHanging12a"/>
        <w:rPr>
          <w:szCs w:val="24"/>
        </w:rPr>
      </w:pPr>
      <w:r w:rsidRPr="00A11476">
        <w:t>–</w:t>
      </w:r>
      <w:r w:rsidRPr="00A11476">
        <w:tab/>
        <w:t xml:space="preserve">Tendo em conta o projeto de decisão de execução da Comissão que autoriza a colocação no mercado de produtos que contenham, sejam constituídos por, ou produzidos a partir de </w:t>
      </w:r>
      <w:r w:rsidR="007C10F3" w:rsidRPr="00A11476">
        <w:t xml:space="preserve">milho geneticamente modificado </w:t>
      </w:r>
      <w:r w:rsidRPr="00A11476">
        <w:t>MON 94804 nos termos do Regulamento (CE) n.º 1829/2003 do Parlamento Europeu e do Conselho (D099729/02),</w:t>
      </w:r>
    </w:p>
    <w:p w14:paraId="326F88ED" w14:textId="77777777" w:rsidR="00520EA9" w:rsidRPr="00A11476" w:rsidRDefault="00520EA9" w:rsidP="00520EA9">
      <w:pPr>
        <w:pStyle w:val="NormalHanging12a"/>
        <w:rPr>
          <w:szCs w:val="24"/>
        </w:rPr>
      </w:pPr>
      <w:r w:rsidRPr="00A11476">
        <w:t>–</w:t>
      </w:r>
      <w:r w:rsidRPr="00A11476">
        <w:tab/>
        <w:t>Tendo em conta o Regulamento (CE) n.º 1829/2003 do Parlamento Europeu e do Conselho, de 22 de setembro de 2003, relativo a géneros alimentícios e alimentos para animais geneticamente modificados</w:t>
      </w:r>
      <w:r w:rsidRPr="00A11476">
        <w:rPr>
          <w:rStyle w:val="FootnoteReference"/>
          <w:szCs w:val="24"/>
        </w:rPr>
        <w:footnoteReference w:id="1"/>
      </w:r>
      <w:r w:rsidRPr="00A11476">
        <w:t>, nomeadamente o artigo 7.º, n.º 3, e o artigo 19.º, n.º 3,</w:t>
      </w:r>
    </w:p>
    <w:p w14:paraId="7BE4AC15" w14:textId="77777777" w:rsidR="00520EA9" w:rsidRPr="00A11476" w:rsidRDefault="00520EA9" w:rsidP="00520EA9">
      <w:pPr>
        <w:pStyle w:val="NormalHanging12a"/>
        <w:rPr>
          <w:szCs w:val="24"/>
        </w:rPr>
      </w:pPr>
      <w:r w:rsidRPr="00A11476">
        <w:t>–</w:t>
      </w:r>
      <w:r w:rsidRPr="00A11476">
        <w:tab/>
        <w:t xml:space="preserve">Tendo em conta a votação </w:t>
      </w:r>
      <w:r w:rsidRPr="00A11476">
        <w:rPr>
          <w:shd w:val="clear" w:color="auto" w:fill="FFFFFF"/>
        </w:rPr>
        <w:t>no Comité Permanente dos Vegetais, Animais e Alimentos para Consumo Humano e Animal, referido no artigo 35.º do Regulamento (CE) n.º 1829/2003, de 17 de setembro de 2024, na qual não foi emitido parecer</w:t>
      </w:r>
      <w:r w:rsidRPr="00A11476">
        <w:t>,</w:t>
      </w:r>
    </w:p>
    <w:p w14:paraId="0EAAA67B" w14:textId="77777777" w:rsidR="00520EA9" w:rsidRPr="00A11476" w:rsidRDefault="00520EA9" w:rsidP="00520EA9">
      <w:pPr>
        <w:pStyle w:val="NormalHanging12a"/>
        <w:rPr>
          <w:szCs w:val="24"/>
        </w:rPr>
      </w:pPr>
      <w:r w:rsidRPr="00A11476">
        <w:t>–</w:t>
      </w:r>
      <w:r w:rsidRPr="00A11476">
        <w:tab/>
        <w:t>Tendo em conta o Regulamento (UE) n.º 182/2011 do Parlamento Europeu e do Conselho, de 16 de fevereiro de 2011, que estabelece as regras e os princípios gerais relativos aos mecanismos de controlo pelos Estados</w:t>
      </w:r>
      <w:r w:rsidRPr="00A11476">
        <w:noBreakHyphen/>
        <w:t>Membros do exercício das competências de execução pela Comissão</w:t>
      </w:r>
      <w:r w:rsidRPr="00A11476">
        <w:rPr>
          <w:rStyle w:val="FootnoteReference"/>
          <w:szCs w:val="24"/>
        </w:rPr>
        <w:footnoteReference w:id="2"/>
      </w:r>
      <w:r w:rsidRPr="00A11476">
        <w:t>,</w:t>
      </w:r>
    </w:p>
    <w:p w14:paraId="43C1721C" w14:textId="77777777" w:rsidR="00520EA9" w:rsidRPr="00A11476" w:rsidRDefault="00520EA9" w:rsidP="00520EA9">
      <w:pPr>
        <w:pStyle w:val="NormalHanging12a"/>
        <w:rPr>
          <w:szCs w:val="24"/>
        </w:rPr>
      </w:pPr>
      <w:r w:rsidRPr="00A11476">
        <w:t>–</w:t>
      </w:r>
      <w:r w:rsidRPr="00A11476">
        <w:tab/>
        <w:t xml:space="preserve">Tendo em conta o parecer adotado pela Autoridade Europeia para a Segurança dos </w:t>
      </w:r>
      <w:r w:rsidRPr="00A11476">
        <w:lastRenderedPageBreak/>
        <w:t>Alimentos (EFSA) em 13 de março de 2024 e publicado em 26 de abril de 2024</w:t>
      </w:r>
      <w:r w:rsidRPr="00A11476">
        <w:rPr>
          <w:rStyle w:val="FootnoteReference"/>
          <w:szCs w:val="24"/>
        </w:rPr>
        <w:footnoteReference w:id="3"/>
      </w:r>
      <w:r w:rsidRPr="00A11476">
        <w:t>,</w:t>
      </w:r>
    </w:p>
    <w:p w14:paraId="6F436334" w14:textId="77777777" w:rsidR="00520EA9" w:rsidRPr="00A11476" w:rsidRDefault="00520EA9" w:rsidP="00520EA9">
      <w:pPr>
        <w:pStyle w:val="NormalHanging12a"/>
        <w:rPr>
          <w:szCs w:val="24"/>
        </w:rPr>
      </w:pPr>
      <w:r w:rsidRPr="00A11476">
        <w:rPr>
          <w:rFonts w:ascii="Symbol" w:hAnsi="Symbol"/>
        </w:rPr>
        <w:sym w:font="Symbol" w:char="F02D"/>
      </w:r>
      <w:r w:rsidRPr="00A11476">
        <w:rPr>
          <w:rFonts w:ascii="Symbol" w:hAnsi="Symbol"/>
        </w:rPr>
        <w:tab/>
      </w:r>
      <w:r w:rsidRPr="00A11476">
        <w:rPr>
          <w:shd w:val="clear" w:color="auto" w:fill="FFFFFF"/>
        </w:rPr>
        <w:t>Tendo em conta as suas anteriores resoluções que se opõem à autorização de organismos geneticamente modificados («OGM»)</w:t>
      </w:r>
      <w:r w:rsidRPr="00A11476">
        <w:rPr>
          <w:szCs w:val="24"/>
          <w:shd w:val="clear" w:color="auto" w:fill="FFFFFF"/>
          <w:vertAlign w:val="superscript"/>
        </w:rPr>
        <w:footnoteReference w:id="4"/>
      </w:r>
      <w:r w:rsidRPr="00A11476">
        <w:rPr>
          <w:shd w:val="clear" w:color="auto" w:fill="FFFFFF"/>
        </w:rPr>
        <w:t>,</w:t>
      </w:r>
    </w:p>
    <w:p w14:paraId="0741A33A" w14:textId="77777777" w:rsidR="00520EA9" w:rsidRPr="00A11476" w:rsidRDefault="00520EA9" w:rsidP="00520EA9">
      <w:pPr>
        <w:pStyle w:val="NormalHanging12a"/>
        <w:rPr>
          <w:szCs w:val="24"/>
        </w:rPr>
      </w:pPr>
      <w:r w:rsidRPr="00A11476">
        <w:t>–</w:t>
      </w:r>
      <w:r w:rsidRPr="00A11476">
        <w:tab/>
        <w:t>Tendo em conta o artigo 115.º, n.</w:t>
      </w:r>
      <w:r w:rsidRPr="00A11476">
        <w:rPr>
          <w:vertAlign w:val="superscript"/>
        </w:rPr>
        <w:t>os</w:t>
      </w:r>
      <w:r w:rsidRPr="00A11476">
        <w:t xml:space="preserve"> 2 e 3, do seu Regimento,</w:t>
      </w:r>
    </w:p>
    <w:p w14:paraId="7C1F99BF" w14:textId="77777777" w:rsidR="00520EA9" w:rsidRPr="00A11476" w:rsidRDefault="00520EA9" w:rsidP="00520EA9">
      <w:pPr>
        <w:pStyle w:val="NormalHanging12a"/>
        <w:rPr>
          <w:szCs w:val="24"/>
        </w:rPr>
      </w:pPr>
      <w:r w:rsidRPr="00A11476">
        <w:t>–</w:t>
      </w:r>
      <w:r w:rsidRPr="00A11476">
        <w:tab/>
        <w:t>Tendo em conta a proposta de resolução da Comissão do Ambiente, da Saúde Pública e da Segurança Alimentar,</w:t>
      </w:r>
    </w:p>
    <w:p w14:paraId="635A1EA2" w14:textId="77777777" w:rsidR="00520EA9" w:rsidRPr="00A11476" w:rsidRDefault="00520EA9" w:rsidP="00520EA9">
      <w:pPr>
        <w:pStyle w:val="NormalHanging12a"/>
        <w:rPr>
          <w:szCs w:val="24"/>
        </w:rPr>
      </w:pPr>
      <w:r w:rsidRPr="00A11476">
        <w:t>A.</w:t>
      </w:r>
      <w:r w:rsidRPr="00A11476">
        <w:tab/>
        <w:t>Considerando que, em 14 de fevereiro de 2023, a empresa Bayer Agriculture BV, com sede na Bélgica, apresentou, em nome da empresa Bayer CropScience LP, sediada nos Estados Unidos, um pedido à autoridade nacional competente dos Países Baixos para a colocação no mercado de géneros alimentícios, ingredientes alimentares e alimentos para animais que contenham, sejam constituídos por, ou produzidos a partir de milho geneticamente modificado MON 94804 (o «milho GM»), em conformidade com os artigos 5.º e 17.º do Regulamento (CE) n.º 1829/2003 (o «pedido»);</w:t>
      </w:r>
    </w:p>
    <w:p w14:paraId="13561C93" w14:textId="1813B1BF" w:rsidR="00520EA9" w:rsidRPr="00A11476" w:rsidRDefault="00520EA9" w:rsidP="00520EA9">
      <w:pPr>
        <w:pStyle w:val="NormalHanging12a"/>
        <w:rPr>
          <w:szCs w:val="24"/>
        </w:rPr>
      </w:pPr>
      <w:r w:rsidRPr="00A11476">
        <w:t>B.</w:t>
      </w:r>
      <w:r w:rsidRPr="00A11476">
        <w:tab/>
        <w:t xml:space="preserve">Considerando que o pedido também abrangeu a colocação no mercado de produtos que contenham ou sejam constituídos por milho </w:t>
      </w:r>
      <w:r w:rsidR="00667249" w:rsidRPr="00A11476">
        <w:t>GM</w:t>
      </w:r>
      <w:r w:rsidRPr="00A11476">
        <w:t xml:space="preserve"> destinados a outras utilizações que não como géneros alimentícios e alimentos para animais, com exceção do cultivo;</w:t>
      </w:r>
    </w:p>
    <w:p w14:paraId="6992E035" w14:textId="77777777" w:rsidR="00520EA9" w:rsidRPr="00A11476" w:rsidRDefault="00520EA9" w:rsidP="00520EA9">
      <w:pPr>
        <w:pStyle w:val="NormalHanging12a"/>
        <w:rPr>
          <w:szCs w:val="24"/>
        </w:rPr>
      </w:pPr>
      <w:r w:rsidRPr="00A11476">
        <w:t>C.</w:t>
      </w:r>
      <w:r w:rsidRPr="00A11476">
        <w:tab/>
        <w:t>Considerando que em 13 de março de 2024, a EFSA adotou um parecer favorável, que foi publicado em 26 de abril de 2024, concluindo que o milho GM é tão seguro como a sua contraparte convencional e as variedades testadas de milho não geneticamente modificadas no que diz respeito aos potenciais efeitos na saúde humana e animal e no ambiente;</w:t>
      </w:r>
    </w:p>
    <w:p w14:paraId="42B042EC" w14:textId="4696BC2F" w:rsidR="00520EA9" w:rsidRPr="00A11476" w:rsidRDefault="00520EA9" w:rsidP="00520EA9">
      <w:pPr>
        <w:pStyle w:val="NormalHanging12a"/>
        <w:rPr>
          <w:szCs w:val="24"/>
        </w:rPr>
      </w:pPr>
      <w:r w:rsidRPr="00A11476">
        <w:t>D.</w:t>
      </w:r>
      <w:r w:rsidRPr="00A11476">
        <w:tab/>
        <w:t>Considerando que o milho GM foi geneticamente modificado para produzir um mi</w:t>
      </w:r>
      <w:r w:rsidR="00D17822" w:rsidRPr="00A11476">
        <w:t>ARN</w:t>
      </w:r>
      <w:r w:rsidRPr="00A11476">
        <w:t xml:space="preserve"> artificial destinado a suprimir seletivamente dois genes numa família de genes mais larga envolvida na via biossintética do ácido giberelílico (AG), reduzindo assim a altura da planta;</w:t>
      </w:r>
    </w:p>
    <w:p w14:paraId="7F042043" w14:textId="1FBE4213" w:rsidR="00520EA9" w:rsidRPr="00A11476" w:rsidRDefault="00520EA9" w:rsidP="00520EA9">
      <w:pPr>
        <w:pStyle w:val="NormalHanging12a"/>
        <w:rPr>
          <w:b/>
          <w:i/>
          <w:szCs w:val="24"/>
        </w:rPr>
      </w:pPr>
      <w:r w:rsidRPr="00A11476">
        <w:rPr>
          <w:b/>
          <w:i/>
        </w:rPr>
        <w:t xml:space="preserve">Questões pendentes relativas aos efeitos do </w:t>
      </w:r>
      <w:r w:rsidR="00D17822" w:rsidRPr="00A11476">
        <w:rPr>
          <w:b/>
          <w:i/>
        </w:rPr>
        <w:t>miARN</w:t>
      </w:r>
      <w:r w:rsidR="00D17822" w:rsidRPr="00A11476">
        <w:t xml:space="preserve"> </w:t>
      </w:r>
      <w:r w:rsidRPr="00A11476">
        <w:rPr>
          <w:b/>
          <w:i/>
        </w:rPr>
        <w:t>artificial</w:t>
      </w:r>
    </w:p>
    <w:p w14:paraId="5C56A3F2" w14:textId="00690B3E" w:rsidR="00520EA9" w:rsidRPr="00A11476" w:rsidRDefault="00520EA9" w:rsidP="00520EA9">
      <w:pPr>
        <w:pStyle w:val="NormalHanging12a"/>
        <w:rPr>
          <w:szCs w:val="24"/>
        </w:rPr>
      </w:pPr>
      <w:r w:rsidRPr="00A11476">
        <w:t>E.</w:t>
      </w:r>
      <w:r w:rsidRPr="00A11476">
        <w:tab/>
        <w:t xml:space="preserve">Considerando que a introdução do </w:t>
      </w:r>
      <w:r w:rsidR="00D17822" w:rsidRPr="00A11476">
        <w:t>miARN</w:t>
      </w:r>
      <w:r w:rsidRPr="00A11476">
        <w:t xml:space="preserve"> artificial não só interfere com os genes visados, mas também com outras funções reguladoras</w:t>
      </w:r>
      <w:r w:rsidR="00227BED" w:rsidRPr="00A11476">
        <w:t>; considerando que</w:t>
      </w:r>
      <w:r w:rsidRPr="00A11476">
        <w:t xml:space="preserve"> o </w:t>
      </w:r>
      <w:r w:rsidR="00D17822" w:rsidRPr="00A11476">
        <w:t>miARN</w:t>
      </w:r>
      <w:r w:rsidRPr="00A11476">
        <w:t xml:space="preserve"> é objeto de transformação adicional na planta, interagindo assim com enzimas vegetais específicas</w:t>
      </w:r>
      <w:r w:rsidR="00227BED" w:rsidRPr="00A11476">
        <w:t>; considerando que</w:t>
      </w:r>
      <w:r w:rsidRPr="00A11476">
        <w:t>, em muitos casos, os seus efeitos não se limitam ao gene alvo, mas envolvem frequentemente cascatas metabólicas de várias centenas de outras funções genéticas;</w:t>
      </w:r>
    </w:p>
    <w:p w14:paraId="02DC73A1" w14:textId="58E0EF36" w:rsidR="00520EA9" w:rsidRPr="00A11476" w:rsidRDefault="00520EA9" w:rsidP="00520EA9">
      <w:pPr>
        <w:pStyle w:val="NormalHanging12a"/>
        <w:rPr>
          <w:szCs w:val="24"/>
        </w:rPr>
      </w:pPr>
      <w:r w:rsidRPr="00A11476">
        <w:t>F.</w:t>
      </w:r>
      <w:r w:rsidRPr="00A11476">
        <w:tab/>
        <w:t xml:space="preserve">Considerando que o requerente apresentou dados insuficientes e incompletos sobre as interações entre o </w:t>
      </w:r>
      <w:r w:rsidR="00D17822" w:rsidRPr="00A11476">
        <w:t>miARN</w:t>
      </w:r>
      <w:r w:rsidRPr="00A11476">
        <w:t xml:space="preserve"> artificial, os produtos resultantes de outros processos nas </w:t>
      </w:r>
      <w:r w:rsidRPr="00A11476">
        <w:lastRenderedPageBreak/>
        <w:t>células, a persistência dessas moléculas nas células e a sua interferência noutras redes regulatórias;</w:t>
      </w:r>
    </w:p>
    <w:p w14:paraId="5E4C8C80" w14:textId="47027ACF" w:rsidR="00520EA9" w:rsidRPr="00A11476" w:rsidRDefault="00520EA9" w:rsidP="00520EA9">
      <w:pPr>
        <w:pStyle w:val="NormalHanging12a"/>
        <w:rPr>
          <w:szCs w:val="24"/>
        </w:rPr>
      </w:pPr>
      <w:r w:rsidRPr="00A11476">
        <w:t>G.</w:t>
      </w:r>
      <w:r w:rsidRPr="00A11476">
        <w:tab/>
        <w:t xml:space="preserve">Considerando que, para concluir que o </w:t>
      </w:r>
      <w:r w:rsidR="00D17822" w:rsidRPr="00A11476">
        <w:t>miARN</w:t>
      </w:r>
      <w:r w:rsidRPr="00A11476">
        <w:t xml:space="preserve"> não apresenta um risco de toxicidade para os seres humanos ou para os animais, a EFSA parte do princípio de que o </w:t>
      </w:r>
      <w:r w:rsidR="00D17822" w:rsidRPr="00A11476">
        <w:t>miARN</w:t>
      </w:r>
      <w:r w:rsidRPr="00A11476">
        <w:t xml:space="preserve"> artificial seria rapidamente degradado</w:t>
      </w:r>
      <w:r w:rsidR="00227BED" w:rsidRPr="00A11476">
        <w:t>; considerando que</w:t>
      </w:r>
      <w:r w:rsidRPr="00A11476">
        <w:t>, no entanto, vários estudos, incluindo o que é referido para apoiar essa afirmação</w:t>
      </w:r>
      <w:r w:rsidRPr="00A11476">
        <w:rPr>
          <w:rStyle w:val="FootnoteReference"/>
          <w:szCs w:val="24"/>
        </w:rPr>
        <w:footnoteReference w:id="5"/>
      </w:r>
      <w:r w:rsidRPr="00A11476">
        <w:t xml:space="preserve">, mencionam que, apoiado por mecanismos específicos, o </w:t>
      </w:r>
      <w:r w:rsidR="00D17822" w:rsidRPr="00A11476">
        <w:t>miARN</w:t>
      </w:r>
      <w:r w:rsidRPr="00A11476">
        <w:t xml:space="preserve"> pode ser retirado do intestino;</w:t>
      </w:r>
    </w:p>
    <w:p w14:paraId="39B7005E" w14:textId="77777777" w:rsidR="00520EA9" w:rsidRPr="00A11476" w:rsidRDefault="00520EA9" w:rsidP="00520EA9">
      <w:pPr>
        <w:pStyle w:val="NormalHanging12a"/>
        <w:rPr>
          <w:b/>
          <w:i/>
          <w:szCs w:val="24"/>
        </w:rPr>
      </w:pPr>
      <w:r w:rsidRPr="00A11476">
        <w:rPr>
          <w:b/>
          <w:i/>
        </w:rPr>
        <w:t>Questões pendentes relativas aos efeitos de níveis reduzidos de giberelinas</w:t>
      </w:r>
    </w:p>
    <w:p w14:paraId="3C95D5EA" w14:textId="77777777" w:rsidR="00520EA9" w:rsidRPr="00A11476" w:rsidRDefault="00520EA9" w:rsidP="00520EA9">
      <w:pPr>
        <w:pStyle w:val="NormalHanging12a"/>
        <w:rPr>
          <w:szCs w:val="24"/>
        </w:rPr>
      </w:pPr>
      <w:r w:rsidRPr="00A11476">
        <w:t>H.</w:t>
      </w:r>
      <w:r w:rsidRPr="00A11476">
        <w:tab/>
        <w:t>Considerando que, tal como salientado pelos peritos dos Estados</w:t>
      </w:r>
      <w:r w:rsidRPr="00A11476">
        <w:noBreakHyphen/>
        <w:t>Membros</w:t>
      </w:r>
      <w:r w:rsidRPr="00A11476">
        <w:rPr>
          <w:rStyle w:val="FootnoteReference"/>
          <w:szCs w:val="24"/>
        </w:rPr>
        <w:footnoteReference w:id="6"/>
      </w:r>
      <w:r w:rsidRPr="00A11476">
        <w:t xml:space="preserve">, as giberelinas são reguladores importantes de vários processos fisiológicos nas plantas; </w:t>
      </w:r>
    </w:p>
    <w:p w14:paraId="5B3C3B96" w14:textId="452E3E27" w:rsidR="00520EA9" w:rsidRPr="00A11476" w:rsidRDefault="00520EA9" w:rsidP="00520EA9">
      <w:pPr>
        <w:pStyle w:val="NormalHanging12a"/>
        <w:rPr>
          <w:szCs w:val="24"/>
        </w:rPr>
      </w:pPr>
      <w:r w:rsidRPr="00A11476">
        <w:t>I.</w:t>
      </w:r>
      <w:r w:rsidRPr="00A11476">
        <w:tab/>
        <w:t>Considerando que, para além da altura da planta, as giberelinas também regulam a germinação e a floração, desempenham um papel na regulação da tolerância ao stress e fazem parte de um complexo intercâmbio regulatório com outras hormonas vegetais em várias vias de sinalização, por exemplo, processos fisiológicos que afetam a composição da planta</w:t>
      </w:r>
      <w:r w:rsidR="00227BED" w:rsidRPr="00A11476">
        <w:t>; considerando que</w:t>
      </w:r>
      <w:r w:rsidRPr="00A11476">
        <w:t xml:space="preserve"> as giberelinas também estão envolvidas na resposta imunitária das plantas a agentes patogénicos; </w:t>
      </w:r>
    </w:p>
    <w:p w14:paraId="30C6D192" w14:textId="77777777" w:rsidR="00520EA9" w:rsidRPr="00A11476" w:rsidRDefault="00520EA9" w:rsidP="00520EA9">
      <w:pPr>
        <w:pStyle w:val="NormalHanging12a"/>
        <w:rPr>
          <w:szCs w:val="24"/>
        </w:rPr>
      </w:pPr>
      <w:r w:rsidRPr="00A11476">
        <w:t>J.</w:t>
      </w:r>
      <w:r w:rsidRPr="00A11476">
        <w:tab/>
        <w:t>Considerando que a maioria dos impactos nesses diferentes processos não foi explorada pelo requerente, para além dos potenciais efeitos sobre a germinação, a floração e o peso do grão;</w:t>
      </w:r>
    </w:p>
    <w:p w14:paraId="56628CFA" w14:textId="77777777" w:rsidR="00520EA9" w:rsidRPr="00A11476" w:rsidRDefault="00520EA9" w:rsidP="00520EA9">
      <w:pPr>
        <w:pStyle w:val="NormalHanging12a"/>
        <w:rPr>
          <w:szCs w:val="24"/>
        </w:rPr>
      </w:pPr>
      <w:r w:rsidRPr="00A11476">
        <w:t>K.</w:t>
      </w:r>
      <w:r w:rsidRPr="00A11476">
        <w:tab/>
        <w:t>Considerando que a expressão genética e o seu impacto na produção de giberelinas bioativas e o impacto metabólico só foram investigados em condições de campo sem fatores de stress específicos, enquanto o AG é conhecido como estando envolvido em muitas respostas ao stress biótico e abiótico;</w:t>
      </w:r>
    </w:p>
    <w:p w14:paraId="1DC742D7" w14:textId="77777777" w:rsidR="00520EA9" w:rsidRPr="00A11476" w:rsidRDefault="00520EA9" w:rsidP="00520EA9">
      <w:pPr>
        <w:pStyle w:val="NormalHanging12a"/>
        <w:rPr>
          <w:b/>
          <w:i/>
          <w:szCs w:val="24"/>
        </w:rPr>
      </w:pPr>
      <w:r w:rsidRPr="00A11476">
        <w:rPr>
          <w:b/>
          <w:i/>
        </w:rPr>
        <w:t>Reduzir a dependência de alimentos importados para animais</w:t>
      </w:r>
    </w:p>
    <w:p w14:paraId="005BFACA" w14:textId="1A133EAE" w:rsidR="00520EA9" w:rsidRPr="00A11476" w:rsidRDefault="00520EA9" w:rsidP="00520EA9">
      <w:pPr>
        <w:pStyle w:val="NormalHanging12a"/>
        <w:rPr>
          <w:szCs w:val="24"/>
        </w:rPr>
      </w:pPr>
      <w:r w:rsidRPr="00A11476">
        <w:t>L.</w:t>
      </w:r>
      <w:r w:rsidRPr="00A11476">
        <w:tab/>
        <w:t>Considerando que um dos ensinamentos retirados da crise da COVID</w:t>
      </w:r>
      <w:r w:rsidRPr="00A11476">
        <w:noBreakHyphen/>
        <w:t>19 e da guerra ainda em curso na Ucrânia é a necessidade de a União pôr termo à sua dependência de alguns materiais críticos</w:t>
      </w:r>
      <w:r w:rsidR="00227BED" w:rsidRPr="00A11476">
        <w:t>; considerando que</w:t>
      </w:r>
      <w:r w:rsidRPr="00A11476">
        <w:t xml:space="preserve"> na carta de missão ao comissário indigitado Christophe Hansen, a presidente da Comissão, Ursula von der Leyen, lhe solicita que procure encontrar formas de reduzir as importações de matérias</w:t>
      </w:r>
      <w:r w:rsidRPr="00A11476">
        <w:noBreakHyphen/>
        <w:t>primas críticas</w:t>
      </w:r>
      <w:r w:rsidRPr="00A11476">
        <w:rPr>
          <w:rStyle w:val="FootnoteReference"/>
          <w:szCs w:val="24"/>
        </w:rPr>
        <w:footnoteReference w:id="7"/>
      </w:r>
      <w:r w:rsidRPr="00A11476">
        <w:t xml:space="preserve">; </w:t>
      </w:r>
    </w:p>
    <w:p w14:paraId="63B0D233" w14:textId="77777777" w:rsidR="00520EA9" w:rsidRPr="00A11476" w:rsidRDefault="00520EA9" w:rsidP="00520EA9">
      <w:pPr>
        <w:pStyle w:val="NormalHanging12a"/>
        <w:rPr>
          <w:b/>
          <w:i/>
          <w:szCs w:val="24"/>
        </w:rPr>
      </w:pPr>
      <w:r w:rsidRPr="00A11476">
        <w:rPr>
          <w:b/>
          <w:i/>
        </w:rPr>
        <w:t>Observações das autoridades competentes dos Estados</w:t>
      </w:r>
      <w:r w:rsidRPr="00A11476">
        <w:rPr>
          <w:b/>
          <w:i/>
        </w:rPr>
        <w:noBreakHyphen/>
        <w:t>Membros e das partes interessadas</w:t>
      </w:r>
    </w:p>
    <w:p w14:paraId="117CDEED" w14:textId="293DD0B7" w:rsidR="00520EA9" w:rsidRPr="00A11476" w:rsidRDefault="00520EA9" w:rsidP="00520EA9">
      <w:pPr>
        <w:pStyle w:val="NormalHanging12a"/>
        <w:rPr>
          <w:szCs w:val="24"/>
        </w:rPr>
      </w:pPr>
      <w:r w:rsidRPr="00A11476">
        <w:lastRenderedPageBreak/>
        <w:t>M.</w:t>
      </w:r>
      <w:r w:rsidRPr="00A11476">
        <w:tab/>
        <w:t>Considerando que os Estados</w:t>
      </w:r>
      <w:r w:rsidRPr="00A11476">
        <w:noBreakHyphen/>
        <w:t>Membros apresentaram à EFSA muitas observações críticas durante o período de consulta de três meses</w:t>
      </w:r>
      <w:r w:rsidRPr="00A11476">
        <w:rPr>
          <w:rStyle w:val="FootnoteReference"/>
          <w:szCs w:val="24"/>
        </w:rPr>
        <w:footnoteReference w:id="8"/>
      </w:r>
      <w:r w:rsidRPr="00A11476">
        <w:t>, incluindo o facto de as giberelinas serem reguladores importantes de vários processos fisiológicos nas plantas, em especial os relacionados com fatores de stress bióticos e abióticos, e de os dados apresentados pelo requerente estarem incompletos na avaliação do impacto potencial dos níveis reduzidos de giberelinas em todos esses processos e de a variedade nos ensaios de campo ser insuficiente</w:t>
      </w:r>
      <w:r w:rsidR="00227BED" w:rsidRPr="00A11476">
        <w:t>; considerando que</w:t>
      </w:r>
      <w:r w:rsidRPr="00A11476">
        <w:t xml:space="preserve"> os Estados</w:t>
      </w:r>
      <w:r w:rsidRPr="00A11476">
        <w:noBreakHyphen/>
        <w:t xml:space="preserve">Membros criticaram igualmente a falta de dados sobre os riscos colocados por uma eventual estabilidade de longo prazo do </w:t>
      </w:r>
      <w:r w:rsidR="00D17822" w:rsidRPr="00A11476">
        <w:t>miARN</w:t>
      </w:r>
      <w:r w:rsidRPr="00A11476">
        <w:t xml:space="preserve"> artificial na planta ou pelo facto de uma parte não negligenciável do ADN modificado ser suscetível de ser retirada do intestino de animais ou de seres humanos, bem como o facto de os dados fornecidos não provarem que é improvável a transferência de genes das plantas para as bactérias; </w:t>
      </w:r>
    </w:p>
    <w:p w14:paraId="7E80D747" w14:textId="77777777" w:rsidR="00520EA9" w:rsidRPr="00A11476" w:rsidRDefault="00520EA9" w:rsidP="00520EA9">
      <w:pPr>
        <w:pStyle w:val="NormalHanging12a"/>
        <w:rPr>
          <w:szCs w:val="24"/>
        </w:rPr>
      </w:pPr>
      <w:r w:rsidRPr="00A11476">
        <w:t>N.</w:t>
      </w:r>
      <w:r w:rsidRPr="00A11476">
        <w:tab/>
        <w:t>Considerando que o Regulamento (CE) n.º 1829/2003 refere que os géneros alimentícios ou os alimentos para animais geneticamente modificados não devem ter efeitos nocivos para a saúde humana, a saúde animal ou o ambiente e que a Comissão, ao elaborar a sua decisão, deve ter em conta todas as disposições aplicáveis da legislação da União e outros fatores legítimos relevantes para a matéria em apreço;</w:t>
      </w:r>
    </w:p>
    <w:p w14:paraId="2FCFACF0" w14:textId="77777777" w:rsidR="00520EA9" w:rsidRPr="00A11476" w:rsidRDefault="00520EA9" w:rsidP="00520EA9">
      <w:pPr>
        <w:pStyle w:val="NormalHanging12a"/>
        <w:rPr>
          <w:b/>
          <w:i/>
          <w:szCs w:val="24"/>
        </w:rPr>
      </w:pPr>
      <w:r w:rsidRPr="00A11476">
        <w:rPr>
          <w:b/>
          <w:i/>
        </w:rPr>
        <w:t>Processo de decisão não democrático</w:t>
      </w:r>
    </w:p>
    <w:p w14:paraId="4D2A4DA0" w14:textId="437CC5D6" w:rsidR="00520EA9" w:rsidRPr="00A11476" w:rsidRDefault="00520EA9" w:rsidP="00520EA9">
      <w:pPr>
        <w:pStyle w:val="NormalHanging12a"/>
        <w:rPr>
          <w:b/>
          <w:i/>
          <w:szCs w:val="24"/>
        </w:rPr>
      </w:pPr>
      <w:r w:rsidRPr="00A11476">
        <w:t>O.</w:t>
      </w:r>
      <w:r w:rsidRPr="00A11476">
        <w:tab/>
        <w:t>Considerando que, na sua oitava legislatura, o Parlamento adotou um total de 36 resoluções que se opunham à colocação no mercado de OGM destinados à alimentação humana e animal (33 resoluções) e ao cultivo de OGM na União (3 resoluções)</w:t>
      </w:r>
      <w:r w:rsidR="00227BED" w:rsidRPr="00A11476">
        <w:t>; considerando que</w:t>
      </w:r>
      <w:r w:rsidRPr="00A11476">
        <w:t>, na sua nona legislatura, o Parlamento Europeu já aprovou 38 objeções à colocação de OGM no mercado;</w:t>
      </w:r>
    </w:p>
    <w:p w14:paraId="6AF0D62E" w14:textId="77777777" w:rsidR="00520EA9" w:rsidRPr="00A11476" w:rsidRDefault="00520EA9" w:rsidP="00520EA9">
      <w:pPr>
        <w:pStyle w:val="NormalHanging12a"/>
        <w:rPr>
          <w:szCs w:val="24"/>
        </w:rPr>
      </w:pPr>
      <w:r w:rsidRPr="00A11476">
        <w:t>P.</w:t>
      </w:r>
      <w:r w:rsidRPr="00A11476">
        <w:tab/>
        <w:t>Considerando que, apesar de reconhecer a existência de um défice democrático, a falta de apoio dos Estados</w:t>
      </w:r>
      <w:r w:rsidRPr="00A11476">
        <w:noBreakHyphen/>
        <w:t>Membros e as objeções do Parlamento, a Comissão continua a autorizar OGM;</w:t>
      </w:r>
    </w:p>
    <w:p w14:paraId="3455817F" w14:textId="77777777" w:rsidR="00520EA9" w:rsidRPr="00A11476" w:rsidRDefault="00520EA9" w:rsidP="00520EA9">
      <w:pPr>
        <w:pStyle w:val="NormalHanging12a"/>
        <w:rPr>
          <w:szCs w:val="24"/>
        </w:rPr>
      </w:pPr>
      <w:r w:rsidRPr="00A11476">
        <w:t>Q.</w:t>
      </w:r>
      <w:r w:rsidRPr="00A11476">
        <w:tab/>
        <w:t>Considerando que não é necessária nenhuma alteração à legislação para que a Comissão possa decidir não autorizar OGM quando não existe uma maioria qualificada de Estados</w:t>
      </w:r>
      <w:r w:rsidRPr="00A11476">
        <w:noBreakHyphen/>
        <w:t>Membros a favor no Comité de Recurso</w:t>
      </w:r>
      <w:r w:rsidRPr="00A11476">
        <w:rPr>
          <w:rStyle w:val="FootnoteReference"/>
          <w:szCs w:val="24"/>
        </w:rPr>
        <w:footnoteReference w:id="9"/>
      </w:r>
      <w:r w:rsidRPr="00A11476">
        <w:t>;</w:t>
      </w:r>
    </w:p>
    <w:p w14:paraId="4F55B66F" w14:textId="77777777" w:rsidR="00520EA9" w:rsidRPr="00A11476" w:rsidRDefault="00520EA9" w:rsidP="00520EA9">
      <w:pPr>
        <w:pStyle w:val="NormalHanging12a"/>
        <w:rPr>
          <w:szCs w:val="24"/>
        </w:rPr>
      </w:pPr>
      <w:r w:rsidRPr="00A11476">
        <w:t>R.</w:t>
      </w:r>
      <w:r w:rsidRPr="00A11476">
        <w:tab/>
      </w:r>
      <w:r w:rsidRPr="00A11476">
        <w:rPr>
          <w:shd w:val="clear" w:color="auto" w:fill="FFFFFF"/>
        </w:rPr>
        <w:t>Considerando que a votação de 17 de setembro de 2024 do Comité Permanente dos Vegetais, Animais e Alimentos para Consumo Humano e Animal a que se refere o artigo 35.º do Regulamento (CE) n.º 1829/2003, não ter resultado na emissão de um parecer, o que significa que a autorização não teve o apoio de uma maioria qualificada de Estados</w:t>
      </w:r>
      <w:r w:rsidRPr="00A11476">
        <w:rPr>
          <w:shd w:val="clear" w:color="auto" w:fill="FFFFFF"/>
        </w:rPr>
        <w:noBreakHyphen/>
        <w:t xml:space="preserve">Membros; </w:t>
      </w:r>
    </w:p>
    <w:p w14:paraId="26449D3D" w14:textId="24BE75EA" w:rsidR="00520EA9" w:rsidRPr="00A11476" w:rsidRDefault="00520EA9" w:rsidP="00520EA9">
      <w:pPr>
        <w:pStyle w:val="NormalHanging12a"/>
        <w:rPr>
          <w:szCs w:val="24"/>
        </w:rPr>
      </w:pPr>
      <w:r w:rsidRPr="00A11476">
        <w:t>1.</w:t>
      </w:r>
      <w:r w:rsidRPr="00A11476">
        <w:tab/>
      </w:r>
      <w:r w:rsidR="00EE6133" w:rsidRPr="00A11476">
        <w:t xml:space="preserve">Considera </w:t>
      </w:r>
      <w:r w:rsidRPr="00A11476">
        <w:t>que o projeto de decisão de execução da Comissão excede as competências de execução previstas no Regulamento (CE) n.º 1829/2003;</w:t>
      </w:r>
    </w:p>
    <w:p w14:paraId="3150E9A1" w14:textId="39BE5D50" w:rsidR="00520EA9" w:rsidRPr="00A11476" w:rsidRDefault="00520EA9" w:rsidP="00520EA9">
      <w:pPr>
        <w:pStyle w:val="NormalHanging12a"/>
        <w:rPr>
          <w:szCs w:val="24"/>
        </w:rPr>
      </w:pPr>
      <w:r w:rsidRPr="00A11476">
        <w:lastRenderedPageBreak/>
        <w:t>2.</w:t>
      </w:r>
      <w:r w:rsidRPr="00A11476">
        <w:tab/>
        <w:t xml:space="preserve">Considera que o projeto de decisão de execução da Comissão não </w:t>
      </w:r>
      <w:r w:rsidR="00EE6133" w:rsidRPr="00A11476">
        <w:t xml:space="preserve">está em conformidade </w:t>
      </w:r>
      <w:r w:rsidRPr="00A11476">
        <w:t xml:space="preserve"> com o direito da União, pois não é compatível com o objetivo do Regulamento (CE) n.º 1829/2003, o qual, de acordo com os princípios gerais estabelecidos no Regulamento (CE) n.º 178/2002 do Parlamento Europeu e do Conselho</w:t>
      </w:r>
      <w:r w:rsidRPr="00A11476">
        <w:rPr>
          <w:rStyle w:val="FootnoteReference"/>
          <w:szCs w:val="24"/>
        </w:rPr>
        <w:footnoteReference w:id="10"/>
      </w:r>
      <w:r w:rsidRPr="00A11476">
        <w:t>, consiste em estabelecer uma base para garantir um nível elevado de proteção da vida e da saúde humanas, da saúde e do bem</w:t>
      </w:r>
      <w:r w:rsidRPr="00A11476">
        <w:noBreakHyphen/>
        <w:t>estar dos animais, do ambiente e dos interesses dos consumidores no que diz respeito aos géneros alimentícios e alimentos para animais geneticamente modificados, assegurando simultaneamente o funcionamento eficaz do mercado interno;</w:t>
      </w:r>
    </w:p>
    <w:p w14:paraId="081F8F5F" w14:textId="77777777" w:rsidR="00520EA9" w:rsidRPr="00A11476" w:rsidRDefault="00520EA9" w:rsidP="00520EA9">
      <w:pPr>
        <w:pStyle w:val="NormalHanging12a"/>
        <w:rPr>
          <w:szCs w:val="24"/>
        </w:rPr>
      </w:pPr>
      <w:r w:rsidRPr="00A11476">
        <w:t>3.</w:t>
      </w:r>
      <w:r w:rsidRPr="00A11476">
        <w:tab/>
        <w:t>Solicita à Comissão que retire o seu projeto de decisão de execução e que apresente um novo projeto ao comité;</w:t>
      </w:r>
    </w:p>
    <w:p w14:paraId="3DCBE6BC" w14:textId="77777777" w:rsidR="00520EA9" w:rsidRPr="00A11476" w:rsidRDefault="00520EA9" w:rsidP="00520EA9">
      <w:pPr>
        <w:pStyle w:val="NormalHanging12a"/>
        <w:rPr>
          <w:szCs w:val="24"/>
        </w:rPr>
      </w:pPr>
      <w:r w:rsidRPr="00A11476">
        <w:t>4.</w:t>
      </w:r>
      <w:r w:rsidRPr="00A11476">
        <w:tab/>
        <w:t>Congratula</w:t>
      </w:r>
      <w:r w:rsidRPr="00A11476">
        <w:noBreakHyphen/>
        <w:t>se com o facto de a Comissão ter finalmente reconhecido, numa carta com data de 11 de setembro de 2020 dirigida aos deputados, a necessidade de ter em conta a sustentabilidade nas decisões de autorização de OGM</w:t>
      </w:r>
      <w:r w:rsidRPr="00A11476">
        <w:rPr>
          <w:rStyle w:val="FootnoteReference"/>
          <w:szCs w:val="24"/>
        </w:rPr>
        <w:footnoteReference w:id="11"/>
      </w:r>
      <w:r w:rsidRPr="00A11476">
        <w:t>; manifesta, no entanto, profunda deceção pelo facto de, desde então, a Comissão ter continuado a autorizar a importação de OGM para a União, apesar das constantes objeções levantadas pelo Parlamento e do voto contra da maioria dos Estados</w:t>
      </w:r>
      <w:r w:rsidRPr="00A11476">
        <w:noBreakHyphen/>
        <w:t>Membros;</w:t>
      </w:r>
    </w:p>
    <w:p w14:paraId="525F8F1D" w14:textId="77777777" w:rsidR="00520EA9" w:rsidRPr="00A11476" w:rsidRDefault="00520EA9" w:rsidP="00520EA9">
      <w:pPr>
        <w:pStyle w:val="NormalHanging12a"/>
        <w:rPr>
          <w:szCs w:val="24"/>
        </w:rPr>
      </w:pPr>
      <w:r w:rsidRPr="00A11476">
        <w:t>5.</w:t>
      </w:r>
      <w:r w:rsidRPr="00A11476">
        <w:tab/>
        <w:t>Insta novamente a Comissão a ter em conta as obrigações da União decorrentes dos acordos internacionais, como o Acordo de Paris sobre o Clima, a Convenção das Nações Unidas sobre a Diversidade Biológica e os Objetivos de Desenvolvimento Sustentável das Nações Unidas; reitera o seu apelo de que os projetos de atos de execução sejam acompanhados por uma exposição de motivos que explique como respeitam o princípio de «não prejudicar»</w:t>
      </w:r>
      <w:r w:rsidRPr="00A11476">
        <w:rPr>
          <w:rStyle w:val="FootnoteReference"/>
          <w:szCs w:val="24"/>
        </w:rPr>
        <w:footnoteReference w:id="12"/>
      </w:r>
      <w:r w:rsidRPr="00A11476">
        <w:t xml:space="preserve">; </w:t>
      </w:r>
    </w:p>
    <w:p w14:paraId="37023D0D" w14:textId="77777777" w:rsidR="00E365E1" w:rsidRPr="00A11476" w:rsidRDefault="00520EA9" w:rsidP="00676FB0">
      <w:pPr>
        <w:pStyle w:val="NormalHanging12a"/>
      </w:pPr>
      <w:r w:rsidRPr="00A11476">
        <w:t>6.</w:t>
      </w:r>
      <w:r w:rsidRPr="00A11476">
        <w:tab/>
        <w:t>Encarrega a sua Presidente de transmitir a presente resolução ao Conselho, à Comissão e aos governos e parlamentos dos Estados</w:t>
      </w:r>
      <w:r w:rsidRPr="00A11476">
        <w:noBreakHyphen/>
        <w:t>Membros.</w:t>
      </w:r>
    </w:p>
    <w:sectPr w:rsidR="00E365E1" w:rsidRPr="00A11476" w:rsidSect="00A8712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0C0EF7" w14:textId="77777777" w:rsidR="00F16269" w:rsidRPr="00A8712C" w:rsidRDefault="00F16269">
      <w:r w:rsidRPr="00A8712C">
        <w:separator/>
      </w:r>
    </w:p>
  </w:endnote>
  <w:endnote w:type="continuationSeparator" w:id="0">
    <w:p w14:paraId="0A03BA6F" w14:textId="77777777" w:rsidR="00F16269" w:rsidRPr="00A8712C" w:rsidRDefault="00F16269">
      <w:r w:rsidRPr="00A8712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4E50D7" w14:textId="77777777" w:rsidR="00064002" w:rsidRPr="00A8712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CEDEAF" w14:textId="77777777" w:rsidR="00064002" w:rsidRPr="00A8712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7A4B26" w14:textId="77777777" w:rsidR="00064002" w:rsidRPr="00A8712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AAE03C" w14:textId="77777777" w:rsidR="00F16269" w:rsidRPr="00A8712C" w:rsidRDefault="00F16269">
      <w:r w:rsidRPr="00A8712C">
        <w:separator/>
      </w:r>
    </w:p>
  </w:footnote>
  <w:footnote w:type="continuationSeparator" w:id="0">
    <w:p w14:paraId="2963899C" w14:textId="77777777" w:rsidR="00F16269" w:rsidRPr="00A8712C" w:rsidRDefault="00F16269">
      <w:r w:rsidRPr="00A8712C">
        <w:continuationSeparator/>
      </w:r>
    </w:p>
  </w:footnote>
  <w:footnote w:id="1">
    <w:p w14:paraId="492DF126" w14:textId="77777777" w:rsidR="00520EA9" w:rsidRPr="00A11476" w:rsidRDefault="00520EA9" w:rsidP="00A8712C">
      <w:pPr>
        <w:pStyle w:val="FootnoteText"/>
        <w:ind w:left="567" w:hanging="567"/>
        <w:rPr>
          <w:sz w:val="24"/>
          <w:szCs w:val="22"/>
          <w:lang w:val="fi-FI"/>
        </w:rPr>
      </w:pPr>
      <w:r w:rsidRPr="00A8712C">
        <w:rPr>
          <w:rStyle w:val="FootnoteReference"/>
          <w:sz w:val="24"/>
          <w:szCs w:val="22"/>
          <w:lang w:val="pt-PT"/>
        </w:rPr>
        <w:footnoteRef/>
      </w:r>
      <w:r w:rsidR="00A8712C" w:rsidRPr="00A11476">
        <w:rPr>
          <w:sz w:val="24"/>
          <w:szCs w:val="22"/>
          <w:lang w:val="fi-FI"/>
        </w:rPr>
        <w:t xml:space="preserve"> </w:t>
      </w:r>
      <w:r w:rsidR="00A8712C" w:rsidRPr="00A11476">
        <w:rPr>
          <w:sz w:val="24"/>
          <w:szCs w:val="22"/>
          <w:lang w:val="fi-FI"/>
        </w:rPr>
        <w:tab/>
      </w:r>
      <w:r w:rsidRPr="00A11476">
        <w:rPr>
          <w:sz w:val="24"/>
          <w:szCs w:val="22"/>
          <w:lang w:val="fi-FI"/>
        </w:rPr>
        <w:t xml:space="preserve">JO L 268 de 18.10.2003, p. 1, ELI: </w:t>
      </w:r>
      <w:hyperlink r:id="rId1" w:tooltip="Dá acesso a este documento através do respetivo URI do ELI." w:history="1">
        <w:r w:rsidRPr="00A11476">
          <w:rPr>
            <w:rStyle w:val="Hyperlink"/>
            <w:sz w:val="24"/>
            <w:szCs w:val="22"/>
            <w:lang w:val="fi-FI"/>
          </w:rPr>
          <w:t>http://data.europa.eu/eli/reg/2003/1829/oj</w:t>
        </w:r>
      </w:hyperlink>
      <w:r w:rsidRPr="00A11476">
        <w:rPr>
          <w:sz w:val="24"/>
          <w:szCs w:val="22"/>
          <w:lang w:val="fi-FI"/>
        </w:rPr>
        <w:t xml:space="preserve">. </w:t>
      </w:r>
    </w:p>
  </w:footnote>
  <w:footnote w:id="2">
    <w:p w14:paraId="0289150D" w14:textId="77777777" w:rsidR="00520EA9" w:rsidRPr="00A11476" w:rsidRDefault="00520EA9" w:rsidP="00A8712C">
      <w:pPr>
        <w:pStyle w:val="FootnoteText"/>
        <w:ind w:left="567" w:hanging="567"/>
        <w:rPr>
          <w:sz w:val="24"/>
          <w:szCs w:val="22"/>
          <w:lang w:val="fi-FI"/>
        </w:rPr>
      </w:pPr>
      <w:r w:rsidRPr="00A8712C">
        <w:rPr>
          <w:rStyle w:val="FootnoteReference"/>
          <w:sz w:val="24"/>
          <w:szCs w:val="22"/>
          <w:lang w:val="pt-PT"/>
        </w:rPr>
        <w:footnoteRef/>
      </w:r>
      <w:r w:rsidR="00A8712C" w:rsidRPr="00A11476">
        <w:rPr>
          <w:sz w:val="24"/>
          <w:szCs w:val="22"/>
          <w:lang w:val="fi-FI"/>
        </w:rPr>
        <w:t xml:space="preserve"> </w:t>
      </w:r>
      <w:r w:rsidR="00A8712C" w:rsidRPr="00A11476">
        <w:rPr>
          <w:sz w:val="24"/>
          <w:szCs w:val="22"/>
          <w:lang w:val="fi-FI"/>
        </w:rPr>
        <w:tab/>
      </w:r>
      <w:r w:rsidRPr="00A11476">
        <w:rPr>
          <w:sz w:val="24"/>
          <w:szCs w:val="22"/>
          <w:lang w:val="fi-FI"/>
        </w:rPr>
        <w:t xml:space="preserve">JO L 55 de 28.2.2011, p. 13, ELI: </w:t>
      </w:r>
      <w:hyperlink r:id="rId2" w:tooltip="Dá acesso a este documento através do respetivo URI do ELI." w:history="1">
        <w:r w:rsidRPr="00A11476">
          <w:rPr>
            <w:rStyle w:val="Hyperlink"/>
            <w:sz w:val="24"/>
            <w:szCs w:val="22"/>
            <w:lang w:val="fi-FI"/>
          </w:rPr>
          <w:t>http://data.europa.eu/eli/reg/2011/182/oj</w:t>
        </w:r>
      </w:hyperlink>
      <w:r w:rsidRPr="00A11476">
        <w:rPr>
          <w:sz w:val="24"/>
          <w:szCs w:val="22"/>
          <w:lang w:val="fi-FI"/>
        </w:rPr>
        <w:t xml:space="preserve">. </w:t>
      </w:r>
    </w:p>
  </w:footnote>
  <w:footnote w:id="3">
    <w:p w14:paraId="5FF949D2" w14:textId="77777777" w:rsidR="00520EA9" w:rsidRPr="00A8712C" w:rsidRDefault="00520EA9" w:rsidP="00A8712C">
      <w:pPr>
        <w:pStyle w:val="FootnoteText"/>
        <w:ind w:left="567" w:hanging="567"/>
        <w:rPr>
          <w:sz w:val="24"/>
          <w:szCs w:val="22"/>
          <w:lang w:val="pt-PT"/>
        </w:rPr>
      </w:pPr>
      <w:r w:rsidRPr="00A8712C">
        <w:rPr>
          <w:rStyle w:val="FootnoteReference"/>
          <w:sz w:val="24"/>
          <w:szCs w:val="22"/>
          <w:lang w:val="pt-PT"/>
        </w:rPr>
        <w:footnoteRef/>
      </w:r>
      <w:r w:rsidR="00A8712C" w:rsidRPr="00A8712C">
        <w:rPr>
          <w:sz w:val="24"/>
          <w:szCs w:val="22"/>
          <w:lang w:val="pt-PT"/>
        </w:rPr>
        <w:t xml:space="preserve"> </w:t>
      </w:r>
      <w:r w:rsidR="00A8712C" w:rsidRPr="00A8712C">
        <w:rPr>
          <w:sz w:val="24"/>
          <w:szCs w:val="22"/>
          <w:lang w:val="pt-PT"/>
        </w:rPr>
        <w:tab/>
      </w:r>
      <w:r w:rsidRPr="00A8712C">
        <w:rPr>
          <w:sz w:val="24"/>
          <w:szCs w:val="22"/>
          <w:lang w:val="pt-PT"/>
        </w:rPr>
        <w:t>Parecer científico do Painel dos Organismos Geneticamente Modificados da EFSA sobre a avaliação do milho geneticamente modificado MON 94804 para utilização na alimentação humana ou animal, ao abrigo do Regulamento (CE) n.º 1829/2003 (pedido GMFF</w:t>
      </w:r>
      <w:r w:rsidRPr="00A8712C">
        <w:rPr>
          <w:sz w:val="24"/>
          <w:szCs w:val="22"/>
          <w:lang w:val="pt-PT"/>
        </w:rPr>
        <w:noBreakHyphen/>
        <w:t>2022</w:t>
      </w:r>
      <w:r w:rsidRPr="00A8712C">
        <w:rPr>
          <w:sz w:val="24"/>
          <w:szCs w:val="22"/>
          <w:lang w:val="pt-PT"/>
        </w:rPr>
        <w:noBreakHyphen/>
        <w:t xml:space="preserve">10651), EFSA Journal, 2024;22(4):8714, </w:t>
      </w:r>
      <w:hyperlink r:id="rId3" w:history="1">
        <w:r w:rsidRPr="00A8712C">
          <w:rPr>
            <w:rStyle w:val="Hyperlink"/>
            <w:sz w:val="24"/>
            <w:szCs w:val="22"/>
            <w:lang w:val="pt-PT"/>
          </w:rPr>
          <w:t>https://doi.org/10.2903/j.efsa.2024.8714</w:t>
        </w:r>
      </w:hyperlink>
      <w:r w:rsidRPr="00A8712C">
        <w:rPr>
          <w:sz w:val="24"/>
          <w:szCs w:val="22"/>
          <w:lang w:val="pt-PT"/>
        </w:rPr>
        <w:t>.</w:t>
      </w:r>
    </w:p>
  </w:footnote>
  <w:footnote w:id="4">
    <w:p w14:paraId="7991DCAC" w14:textId="77777777" w:rsidR="00520EA9" w:rsidRPr="00A8712C" w:rsidRDefault="00520EA9" w:rsidP="00A8712C">
      <w:pPr>
        <w:pStyle w:val="FootnoteText"/>
        <w:ind w:left="567" w:hanging="567"/>
        <w:rPr>
          <w:sz w:val="24"/>
          <w:szCs w:val="22"/>
          <w:lang w:val="pt-PT"/>
        </w:rPr>
      </w:pPr>
      <w:r w:rsidRPr="00A8712C">
        <w:rPr>
          <w:rStyle w:val="FootnoteReference"/>
          <w:sz w:val="24"/>
          <w:szCs w:val="22"/>
          <w:lang w:val="pt-PT"/>
        </w:rPr>
        <w:footnoteRef/>
      </w:r>
      <w:r w:rsidR="00A8712C" w:rsidRPr="00A8712C">
        <w:rPr>
          <w:sz w:val="24"/>
          <w:szCs w:val="22"/>
          <w:lang w:val="pt-PT"/>
        </w:rPr>
        <w:t xml:space="preserve"> </w:t>
      </w:r>
      <w:r w:rsidR="00A8712C" w:rsidRPr="00A8712C">
        <w:rPr>
          <w:sz w:val="24"/>
          <w:szCs w:val="22"/>
          <w:lang w:val="pt-PT"/>
        </w:rPr>
        <w:tab/>
      </w:r>
      <w:r w:rsidRPr="00A8712C">
        <w:rPr>
          <w:sz w:val="24"/>
          <w:szCs w:val="22"/>
          <w:lang w:val="pt-PT"/>
        </w:rPr>
        <w:t>Na sua oitava legislatura o Parlamento adotou 36 resoluções e na nona legislatura 38 resoluções que se opõem à autorização de OGM.</w:t>
      </w:r>
      <w:r w:rsidRPr="00A8712C">
        <w:rPr>
          <w:color w:val="000000" w:themeColor="text1"/>
          <w:sz w:val="24"/>
          <w:szCs w:val="22"/>
          <w:lang w:val="pt-PT"/>
        </w:rPr>
        <w:t xml:space="preserve"> </w:t>
      </w:r>
    </w:p>
  </w:footnote>
  <w:footnote w:id="5">
    <w:p w14:paraId="6BCBAC17" w14:textId="77777777" w:rsidR="00520EA9" w:rsidRPr="00A11476" w:rsidRDefault="00520EA9" w:rsidP="00A8712C">
      <w:pPr>
        <w:pStyle w:val="FootnoteText"/>
        <w:ind w:left="567" w:hanging="567"/>
        <w:rPr>
          <w:sz w:val="24"/>
          <w:szCs w:val="22"/>
          <w:lang w:val="pt-PT"/>
        </w:rPr>
      </w:pPr>
      <w:r w:rsidRPr="00A8712C">
        <w:rPr>
          <w:rStyle w:val="FootnoteReference"/>
          <w:sz w:val="24"/>
          <w:szCs w:val="22"/>
          <w:lang w:val="pt-PT"/>
        </w:rPr>
        <w:footnoteRef/>
      </w:r>
      <w:r w:rsidR="00A8712C" w:rsidRPr="00A8712C">
        <w:rPr>
          <w:sz w:val="24"/>
          <w:szCs w:val="22"/>
          <w:lang w:val="pt-PT"/>
        </w:rPr>
        <w:t xml:space="preserve"> </w:t>
      </w:r>
      <w:r w:rsidR="00A8712C" w:rsidRPr="00A8712C">
        <w:rPr>
          <w:sz w:val="24"/>
          <w:szCs w:val="22"/>
          <w:lang w:val="pt-PT"/>
        </w:rPr>
        <w:tab/>
      </w:r>
      <w:r w:rsidRPr="00A8712C">
        <w:rPr>
          <w:sz w:val="24"/>
          <w:szCs w:val="22"/>
          <w:lang w:val="pt-PT"/>
        </w:rPr>
        <w:t xml:space="preserve">Dávalos, A., Henriques, R., Latasa, M. J., Laparra, M., &amp; Coca, M. (2019). Análise da literatura das informações de base sobre ARN não codificador (ncRNA) para apoiar a avaliação de risco das plantas geneticamente modificadas à base de ncRNA para géneros alimentícios e alimentos para animais. </w:t>
      </w:r>
      <w:r w:rsidRPr="00A11476">
        <w:rPr>
          <w:sz w:val="24"/>
          <w:szCs w:val="22"/>
        </w:rPr>
        <w:t>EFSA Supporting Publications, 16(8), EN</w:t>
      </w:r>
      <w:r w:rsidRPr="00A11476">
        <w:rPr>
          <w:sz w:val="24"/>
          <w:szCs w:val="22"/>
        </w:rPr>
        <w:noBreakHyphen/>
        <w:t xml:space="preserve">1688. </w:t>
      </w:r>
      <w:hyperlink r:id="rId4" w:history="1">
        <w:r w:rsidRPr="00A11476">
          <w:rPr>
            <w:rStyle w:val="Hyperlink"/>
            <w:sz w:val="24"/>
            <w:szCs w:val="22"/>
            <w:lang w:val="pt-PT"/>
          </w:rPr>
          <w:t>https://doi.org/10.2903/sp.efsa.2019.EN</w:t>
        </w:r>
        <w:r w:rsidRPr="00A11476">
          <w:rPr>
            <w:rStyle w:val="Hyperlink"/>
            <w:sz w:val="24"/>
            <w:szCs w:val="22"/>
            <w:lang w:val="pt-PT"/>
          </w:rPr>
          <w:noBreakHyphen/>
          <w:t>1688</w:t>
        </w:r>
      </w:hyperlink>
      <w:r w:rsidRPr="00A11476">
        <w:rPr>
          <w:rStyle w:val="Hyperlink"/>
          <w:sz w:val="24"/>
          <w:szCs w:val="22"/>
          <w:lang w:val="pt-PT"/>
        </w:rPr>
        <w:t>.</w:t>
      </w:r>
    </w:p>
  </w:footnote>
  <w:footnote w:id="6">
    <w:p w14:paraId="7F95E710" w14:textId="77777777" w:rsidR="00520EA9" w:rsidRPr="00A8712C" w:rsidRDefault="00520EA9" w:rsidP="00A8712C">
      <w:pPr>
        <w:pStyle w:val="FootnoteText"/>
        <w:ind w:left="567" w:hanging="567"/>
        <w:rPr>
          <w:sz w:val="24"/>
          <w:szCs w:val="22"/>
          <w:lang w:val="pt-PT"/>
        </w:rPr>
      </w:pPr>
      <w:r w:rsidRPr="00A8712C">
        <w:rPr>
          <w:rStyle w:val="FootnoteReference"/>
          <w:sz w:val="24"/>
          <w:szCs w:val="22"/>
          <w:lang w:val="pt-PT"/>
        </w:rPr>
        <w:footnoteRef/>
      </w:r>
      <w:r w:rsidR="00A8712C" w:rsidRPr="00A8712C">
        <w:rPr>
          <w:sz w:val="24"/>
          <w:szCs w:val="22"/>
          <w:lang w:val="pt-PT"/>
        </w:rPr>
        <w:t xml:space="preserve"> </w:t>
      </w:r>
      <w:r w:rsidR="00A8712C" w:rsidRPr="00A8712C">
        <w:rPr>
          <w:sz w:val="24"/>
          <w:szCs w:val="22"/>
          <w:lang w:val="pt-PT"/>
        </w:rPr>
        <w:tab/>
      </w:r>
      <w:r w:rsidRPr="00A8712C">
        <w:rPr>
          <w:sz w:val="24"/>
          <w:szCs w:val="22"/>
          <w:lang w:val="pt-PT"/>
        </w:rPr>
        <w:t>Anexo 8 do parecer científico do Painel dos Organismos Geneticamente Modificados da EFSA sobre a avaliação do milho geneticamente modificado MON 94804 para utilização na alimentação humana ou animal, ao abrigo do Regulamento (CE) n.º 1829/2003 (pedido GMFF</w:t>
      </w:r>
      <w:r w:rsidRPr="00A8712C">
        <w:rPr>
          <w:sz w:val="24"/>
          <w:szCs w:val="22"/>
          <w:lang w:val="pt-PT"/>
        </w:rPr>
        <w:noBreakHyphen/>
        <w:t>2022</w:t>
      </w:r>
      <w:r w:rsidRPr="00A8712C">
        <w:rPr>
          <w:sz w:val="24"/>
          <w:szCs w:val="22"/>
          <w:lang w:val="pt-PT"/>
        </w:rPr>
        <w:noBreakHyphen/>
        <w:t xml:space="preserve">10651), EFSA Journal, 2024;22(4):8714, </w:t>
      </w:r>
      <w:hyperlink r:id="rId5" w:history="1">
        <w:r w:rsidRPr="00A8712C">
          <w:rPr>
            <w:rStyle w:val="Hyperlink"/>
            <w:sz w:val="24"/>
            <w:szCs w:val="22"/>
            <w:lang w:val="pt-PT"/>
          </w:rPr>
          <w:t>https://doi.org/10.2903/j.efsa.2024.8714</w:t>
        </w:r>
      </w:hyperlink>
      <w:r w:rsidRPr="00A8712C">
        <w:rPr>
          <w:sz w:val="24"/>
          <w:szCs w:val="22"/>
          <w:lang w:val="pt-PT"/>
        </w:rPr>
        <w:t>.</w:t>
      </w:r>
    </w:p>
  </w:footnote>
  <w:footnote w:id="7">
    <w:p w14:paraId="34CE42A1" w14:textId="77777777" w:rsidR="00520EA9" w:rsidRPr="00A8712C" w:rsidRDefault="00520EA9" w:rsidP="00A8712C">
      <w:pPr>
        <w:pStyle w:val="FootnoteText"/>
        <w:ind w:left="567" w:hanging="567"/>
        <w:rPr>
          <w:sz w:val="24"/>
          <w:szCs w:val="22"/>
          <w:lang w:val="pt-PT"/>
        </w:rPr>
      </w:pPr>
      <w:r w:rsidRPr="00A8712C">
        <w:rPr>
          <w:rStyle w:val="FootnoteReference"/>
          <w:sz w:val="24"/>
          <w:szCs w:val="22"/>
          <w:lang w:val="pt-PT"/>
        </w:rPr>
        <w:footnoteRef/>
      </w:r>
      <w:r w:rsidR="00A8712C" w:rsidRPr="00A8712C">
        <w:rPr>
          <w:sz w:val="24"/>
          <w:lang w:val="pt-PT"/>
        </w:rPr>
        <w:t xml:space="preserve"> </w:t>
      </w:r>
      <w:r w:rsidR="00A8712C" w:rsidRPr="00A8712C">
        <w:rPr>
          <w:sz w:val="24"/>
          <w:lang w:val="pt-PT"/>
        </w:rPr>
        <w:tab/>
      </w:r>
      <w:hyperlink r:id="rId6" w:history="1">
        <w:r w:rsidRPr="00A8712C">
          <w:rPr>
            <w:rStyle w:val="Hyperlink"/>
            <w:sz w:val="24"/>
            <w:szCs w:val="22"/>
            <w:lang w:val="pt-PT"/>
          </w:rPr>
          <w:t>https://commission.europa.eu/document/2c64e540</w:t>
        </w:r>
        <w:r w:rsidRPr="00A8712C">
          <w:rPr>
            <w:rStyle w:val="Hyperlink"/>
            <w:sz w:val="24"/>
            <w:szCs w:val="22"/>
            <w:lang w:val="pt-PT"/>
          </w:rPr>
          <w:noBreakHyphen/>
          <w:t>c07a</w:t>
        </w:r>
        <w:r w:rsidRPr="00A8712C">
          <w:rPr>
            <w:rStyle w:val="Hyperlink"/>
            <w:sz w:val="24"/>
            <w:szCs w:val="22"/>
            <w:lang w:val="pt-PT"/>
          </w:rPr>
          <w:noBreakHyphen/>
          <w:t>4376</w:t>
        </w:r>
        <w:r w:rsidRPr="00A8712C">
          <w:rPr>
            <w:rStyle w:val="Hyperlink"/>
            <w:sz w:val="24"/>
            <w:szCs w:val="22"/>
            <w:lang w:val="pt-PT"/>
          </w:rPr>
          <w:noBreakHyphen/>
          <w:t>a1da</w:t>
        </w:r>
        <w:r w:rsidRPr="00A8712C">
          <w:rPr>
            <w:rStyle w:val="Hyperlink"/>
            <w:sz w:val="24"/>
            <w:szCs w:val="22"/>
            <w:lang w:val="pt-PT"/>
          </w:rPr>
          <w:noBreakHyphen/>
          <w:t>368d289f4afe_en</w:t>
        </w:r>
      </w:hyperlink>
    </w:p>
  </w:footnote>
  <w:footnote w:id="8">
    <w:p w14:paraId="67DEF107" w14:textId="69F36B8A" w:rsidR="00520EA9" w:rsidRPr="00A8712C" w:rsidRDefault="00520EA9" w:rsidP="00A8712C">
      <w:pPr>
        <w:pStyle w:val="FootnoteText"/>
        <w:ind w:left="567" w:hanging="567"/>
        <w:rPr>
          <w:sz w:val="24"/>
          <w:szCs w:val="22"/>
          <w:lang w:val="pt-PT"/>
        </w:rPr>
      </w:pPr>
      <w:r w:rsidRPr="00A8712C">
        <w:rPr>
          <w:rStyle w:val="FootnoteReference"/>
          <w:sz w:val="24"/>
          <w:szCs w:val="22"/>
          <w:lang w:val="pt-PT"/>
        </w:rPr>
        <w:footnoteRef/>
      </w:r>
      <w:r w:rsidR="00A8712C" w:rsidRPr="00A8712C">
        <w:rPr>
          <w:sz w:val="24"/>
          <w:lang w:val="pt-PT"/>
        </w:rPr>
        <w:t xml:space="preserve"> </w:t>
      </w:r>
      <w:r w:rsidR="00A8712C" w:rsidRPr="00A8712C">
        <w:rPr>
          <w:sz w:val="24"/>
          <w:lang w:val="pt-PT"/>
        </w:rPr>
        <w:tab/>
      </w:r>
      <w:hyperlink r:id="rId7" w:history="1">
        <w:r w:rsidR="00227BED" w:rsidRPr="00227BED">
          <w:rPr>
            <w:rStyle w:val="Hyperlink"/>
            <w:sz w:val="24"/>
            <w:szCs w:val="22"/>
            <w:lang w:val="pt-PT"/>
          </w:rPr>
          <w:t>https://efsa.onlinelibrary.wiley.com/action/downloadSupplement?doi=10.2903%2Fj.</w:t>
        </w:r>
        <w:r w:rsidR="00227BED" w:rsidRPr="00C10380">
          <w:rPr>
            <w:rStyle w:val="Hyperlink"/>
            <w:sz w:val="24"/>
            <w:szCs w:val="22"/>
            <w:lang w:val="pt-PT"/>
          </w:rPr>
          <w:t>efsa.2024.8714&amp;file=efs28714</w:t>
        </w:r>
        <w:r w:rsidR="00227BED" w:rsidRPr="00C10380">
          <w:rPr>
            <w:rStyle w:val="Hyperlink"/>
            <w:sz w:val="24"/>
            <w:szCs w:val="22"/>
            <w:lang w:val="pt-PT"/>
          </w:rPr>
          <w:noBreakHyphen/>
          <w:t>sup</w:t>
        </w:r>
        <w:r w:rsidR="00227BED" w:rsidRPr="00C10380">
          <w:rPr>
            <w:rStyle w:val="Hyperlink"/>
            <w:sz w:val="24"/>
            <w:szCs w:val="22"/>
            <w:lang w:val="pt-PT"/>
          </w:rPr>
          <w:noBreakHyphen/>
          <w:t>0008</w:t>
        </w:r>
        <w:r w:rsidR="00227BED" w:rsidRPr="00C10380">
          <w:rPr>
            <w:rStyle w:val="Hyperlink"/>
            <w:sz w:val="24"/>
            <w:szCs w:val="22"/>
            <w:lang w:val="pt-PT"/>
          </w:rPr>
          <w:noBreakHyphen/>
          <w:t>Annex8.pdf</w:t>
        </w:r>
      </w:hyperlink>
      <w:r w:rsidRPr="00A8712C">
        <w:rPr>
          <w:rStyle w:val="Hyperlink"/>
          <w:sz w:val="24"/>
          <w:szCs w:val="22"/>
          <w:lang w:val="pt-PT"/>
        </w:rPr>
        <w:t>.</w:t>
      </w:r>
    </w:p>
  </w:footnote>
  <w:footnote w:id="9">
    <w:p w14:paraId="6ED191E0" w14:textId="77777777" w:rsidR="00520EA9" w:rsidRPr="00A8712C" w:rsidRDefault="00520EA9" w:rsidP="00A8712C">
      <w:pPr>
        <w:pStyle w:val="sdfootnote-western"/>
        <w:spacing w:before="0" w:beforeAutospacing="0"/>
        <w:ind w:left="567" w:hanging="567"/>
        <w:rPr>
          <w:rFonts w:ascii="Times New Roman" w:hAnsi="Times New Roman"/>
          <w:color w:val="auto"/>
          <w:sz w:val="24"/>
          <w:szCs w:val="24"/>
        </w:rPr>
      </w:pPr>
      <w:r w:rsidRPr="00A8712C">
        <w:rPr>
          <w:rStyle w:val="FootnoteReference"/>
          <w:rFonts w:ascii="Times New Roman" w:hAnsi="Times New Roman"/>
          <w:sz w:val="24"/>
          <w:szCs w:val="24"/>
        </w:rPr>
        <w:footnoteRef/>
      </w:r>
      <w:r w:rsidR="00A8712C" w:rsidRPr="00A8712C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A8712C" w:rsidRPr="00A8712C">
        <w:rPr>
          <w:rFonts w:ascii="Times New Roman" w:hAnsi="Times New Roman"/>
          <w:color w:val="auto"/>
          <w:sz w:val="24"/>
          <w:szCs w:val="24"/>
        </w:rPr>
        <w:tab/>
      </w:r>
      <w:r w:rsidRPr="00A8712C">
        <w:rPr>
          <w:rFonts w:ascii="Times New Roman" w:hAnsi="Times New Roman"/>
          <w:color w:val="auto"/>
          <w:sz w:val="24"/>
          <w:szCs w:val="24"/>
        </w:rPr>
        <w:t xml:space="preserve">A Comissão «pode», e não «deve», conceder uma autorização se não existir uma maioria qualificada de Estados‑Membros a favor no Comité de Recurso, de acordo com o artigo 6.º, n.º 3, do Regulamento (UE) n.º 182/2011. </w:t>
      </w:r>
    </w:p>
  </w:footnote>
  <w:footnote w:id="10">
    <w:p w14:paraId="78D633A2" w14:textId="77777777" w:rsidR="00520EA9" w:rsidRPr="00A8712C" w:rsidRDefault="00520EA9" w:rsidP="00A8712C">
      <w:pPr>
        <w:pStyle w:val="FootnoteText"/>
        <w:ind w:left="567" w:hanging="567"/>
        <w:rPr>
          <w:sz w:val="24"/>
          <w:szCs w:val="24"/>
          <w:lang w:val="pt-PT"/>
        </w:rPr>
      </w:pPr>
      <w:r w:rsidRPr="00A8712C">
        <w:rPr>
          <w:rStyle w:val="FootnoteReference"/>
          <w:sz w:val="24"/>
          <w:szCs w:val="24"/>
          <w:lang w:val="pt-PT"/>
        </w:rPr>
        <w:footnoteRef/>
      </w:r>
      <w:r w:rsidR="00A8712C" w:rsidRPr="00A8712C">
        <w:rPr>
          <w:sz w:val="24"/>
          <w:szCs w:val="24"/>
          <w:lang w:val="pt-PT"/>
        </w:rPr>
        <w:t xml:space="preserve"> </w:t>
      </w:r>
      <w:r w:rsidR="00A8712C" w:rsidRPr="00A8712C">
        <w:rPr>
          <w:sz w:val="24"/>
          <w:szCs w:val="24"/>
          <w:lang w:val="pt-PT"/>
        </w:rPr>
        <w:tab/>
      </w:r>
      <w:r w:rsidRPr="00A8712C">
        <w:rPr>
          <w:sz w:val="24"/>
          <w:szCs w:val="24"/>
          <w:lang w:val="pt-PT"/>
        </w:rPr>
        <w:t>Regulamento (CE) n.º 178/2002 do Parlamento Europeu e do Conselho, de 28 de janeiro de 2002, que determina os princípios e normas gerais da legislação alimentar, cria a Autoridade Europeia para a Segurança dos Alimentos e estabelece procedimentos em matéria de segurança dos géneros alimentícios (JO L 31 de 1.2.2002, p. 1, ELI:  </w:t>
      </w:r>
      <w:hyperlink r:id="rId8" w:tooltip="Dá acesso a este documento através do respetivo URI do ELI." w:history="1">
        <w:r w:rsidRPr="00A8712C">
          <w:rPr>
            <w:rStyle w:val="Hyperlink"/>
            <w:sz w:val="24"/>
            <w:szCs w:val="24"/>
            <w:lang w:val="pt-PT"/>
          </w:rPr>
          <w:t>http://data.europa.eu/eli/reg/2002/178/oj</w:t>
        </w:r>
      </w:hyperlink>
      <w:r w:rsidRPr="00A8712C">
        <w:rPr>
          <w:sz w:val="24"/>
          <w:szCs w:val="24"/>
          <w:lang w:val="pt-PT"/>
        </w:rPr>
        <w:t>).</w:t>
      </w:r>
    </w:p>
  </w:footnote>
  <w:footnote w:id="11">
    <w:p w14:paraId="4C87D865" w14:textId="77777777" w:rsidR="00520EA9" w:rsidRPr="00A8712C" w:rsidRDefault="00520EA9" w:rsidP="00A8712C">
      <w:pPr>
        <w:pStyle w:val="FootnoteText"/>
        <w:ind w:left="567" w:hanging="567"/>
        <w:rPr>
          <w:sz w:val="24"/>
          <w:szCs w:val="22"/>
          <w:lang w:val="pt-PT"/>
        </w:rPr>
      </w:pPr>
      <w:r w:rsidRPr="00A8712C">
        <w:rPr>
          <w:rStyle w:val="FootnoteReference"/>
          <w:sz w:val="24"/>
          <w:szCs w:val="24"/>
          <w:lang w:val="pt-PT"/>
        </w:rPr>
        <w:footnoteRef/>
      </w:r>
      <w:r w:rsidR="00A8712C" w:rsidRPr="00A8712C">
        <w:rPr>
          <w:sz w:val="24"/>
          <w:lang w:val="pt-PT"/>
        </w:rPr>
        <w:t xml:space="preserve"> </w:t>
      </w:r>
      <w:r w:rsidR="00A8712C" w:rsidRPr="00A8712C">
        <w:rPr>
          <w:sz w:val="24"/>
          <w:lang w:val="pt-PT"/>
        </w:rPr>
        <w:tab/>
      </w:r>
      <w:hyperlink r:id="rId9" w:history="1">
        <w:r w:rsidRPr="00A8712C">
          <w:rPr>
            <w:rStyle w:val="Hyperlink"/>
            <w:sz w:val="24"/>
            <w:szCs w:val="24"/>
            <w:lang w:val="pt-PT"/>
          </w:rPr>
          <w:t>https://tillymetz.lu/wp</w:t>
        </w:r>
        <w:r w:rsidRPr="00A8712C">
          <w:rPr>
            <w:rStyle w:val="Hyperlink"/>
            <w:sz w:val="24"/>
            <w:szCs w:val="24"/>
            <w:lang w:val="pt-PT"/>
          </w:rPr>
          <w:noBreakHyphen/>
          <w:t>content/uploads/2020/09/Co</w:t>
        </w:r>
        <w:r w:rsidRPr="00A8712C">
          <w:rPr>
            <w:rStyle w:val="Hyperlink"/>
            <w:sz w:val="24"/>
            <w:szCs w:val="24"/>
            <w:lang w:val="pt-PT"/>
          </w:rPr>
          <w:noBreakHyphen/>
          <w:t>signed</w:t>
        </w:r>
        <w:r w:rsidRPr="00A8712C">
          <w:rPr>
            <w:rStyle w:val="Hyperlink"/>
            <w:sz w:val="24"/>
            <w:szCs w:val="24"/>
            <w:lang w:val="pt-PT"/>
          </w:rPr>
          <w:noBreakHyphen/>
          <w:t>letter</w:t>
        </w:r>
        <w:r w:rsidRPr="00A8712C">
          <w:rPr>
            <w:rStyle w:val="Hyperlink"/>
            <w:sz w:val="24"/>
            <w:szCs w:val="24"/>
            <w:lang w:val="pt-PT"/>
          </w:rPr>
          <w:noBreakHyphen/>
          <w:t>MEP</w:t>
        </w:r>
        <w:r w:rsidRPr="00A8712C">
          <w:rPr>
            <w:rStyle w:val="Hyperlink"/>
            <w:sz w:val="24"/>
            <w:szCs w:val="24"/>
            <w:lang w:val="pt-PT"/>
          </w:rPr>
          <w:noBreakHyphen/>
          <w:t>Metz.pdf</w:t>
        </w:r>
      </w:hyperlink>
      <w:r w:rsidRPr="00A8712C">
        <w:rPr>
          <w:rStyle w:val="Hyperlink"/>
          <w:sz w:val="24"/>
          <w:szCs w:val="24"/>
          <w:lang w:val="pt-PT"/>
        </w:rPr>
        <w:t>.</w:t>
      </w:r>
      <w:r w:rsidRPr="00A8712C">
        <w:rPr>
          <w:rStyle w:val="Hyperlink"/>
          <w:sz w:val="24"/>
          <w:szCs w:val="22"/>
          <w:lang w:val="pt-PT"/>
        </w:rPr>
        <w:t xml:space="preserve"> </w:t>
      </w:r>
    </w:p>
  </w:footnote>
  <w:footnote w:id="12">
    <w:p w14:paraId="12856EFD" w14:textId="77777777" w:rsidR="00520EA9" w:rsidRPr="00A8712C" w:rsidRDefault="00520EA9" w:rsidP="00A8712C">
      <w:pPr>
        <w:pStyle w:val="FootnoteText"/>
        <w:ind w:left="567" w:hanging="567"/>
        <w:rPr>
          <w:sz w:val="24"/>
          <w:szCs w:val="22"/>
          <w:lang w:val="pt-PT"/>
        </w:rPr>
      </w:pPr>
      <w:r w:rsidRPr="00A8712C">
        <w:rPr>
          <w:rStyle w:val="FootnoteReference"/>
          <w:sz w:val="24"/>
          <w:szCs w:val="22"/>
          <w:lang w:val="pt-PT"/>
        </w:rPr>
        <w:footnoteRef/>
      </w:r>
      <w:r w:rsidR="00A8712C" w:rsidRPr="00A8712C">
        <w:rPr>
          <w:sz w:val="24"/>
          <w:szCs w:val="22"/>
          <w:lang w:val="pt-PT"/>
        </w:rPr>
        <w:t xml:space="preserve"> </w:t>
      </w:r>
      <w:r w:rsidR="00A8712C" w:rsidRPr="00A8712C">
        <w:rPr>
          <w:sz w:val="24"/>
          <w:szCs w:val="22"/>
          <w:lang w:val="pt-PT"/>
        </w:rPr>
        <w:tab/>
      </w:r>
      <w:r w:rsidRPr="00A8712C">
        <w:rPr>
          <w:sz w:val="24"/>
          <w:szCs w:val="22"/>
          <w:lang w:val="pt-PT"/>
        </w:rPr>
        <w:t>Resolução do Parlamento Europeu, de 15 de janeiro de 2020, sobre o Pacto Ecológico Europeu, n.º 102 (JO C 270 de 7.7.2021, p. 2).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A4CA27" w14:textId="77777777" w:rsidR="00064002" w:rsidRPr="00A8712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F68BD7" w14:textId="77777777" w:rsidR="00064002" w:rsidRPr="00A8712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05000F" w14:textId="77777777" w:rsidR="00064002" w:rsidRPr="00A8712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53/2024"/>
    <w:docVar w:name="dvlangue" w:val="PT"/>
    <w:docVar w:name="dvnumam" w:val="0"/>
    <w:docVar w:name="dvpe" w:val="763.294"/>
    <w:docVar w:name="dvtitre" w:val="Resolução do Parlamento Europeu, de ... de ... de 2024, sobre o projeto de decisão de execução da Comissão que autoriza a colocação no mercado de produtos que contenham, sejam constituídos por, ou produzidos a partir de MON 94804, nos termos do Regulamento (CE) n.º 1829/2003 do Parlamento Europeu e do Conselho(D099729/02 – 2024/2841(RSP))"/>
  </w:docVars>
  <w:rsids>
    <w:rsidRoot w:val="00F1626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27BED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0EA9"/>
    <w:rsid w:val="00545827"/>
    <w:rsid w:val="00560270"/>
    <w:rsid w:val="005C2568"/>
    <w:rsid w:val="005F1B17"/>
    <w:rsid w:val="006037C0"/>
    <w:rsid w:val="006631B6"/>
    <w:rsid w:val="00667249"/>
    <w:rsid w:val="00676FB0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C10F3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0904"/>
    <w:rsid w:val="00930C23"/>
    <w:rsid w:val="0093193B"/>
    <w:rsid w:val="009509D8"/>
    <w:rsid w:val="00950B64"/>
    <w:rsid w:val="00981893"/>
    <w:rsid w:val="00A11476"/>
    <w:rsid w:val="00A1687D"/>
    <w:rsid w:val="00A43E52"/>
    <w:rsid w:val="00A4678D"/>
    <w:rsid w:val="00A778C7"/>
    <w:rsid w:val="00A8712C"/>
    <w:rsid w:val="00AB441E"/>
    <w:rsid w:val="00AB6293"/>
    <w:rsid w:val="00AE0928"/>
    <w:rsid w:val="00AF3B82"/>
    <w:rsid w:val="00B12E95"/>
    <w:rsid w:val="00B13297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7822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6133"/>
    <w:rsid w:val="00F04346"/>
    <w:rsid w:val="00F075DC"/>
    <w:rsid w:val="00F149E9"/>
    <w:rsid w:val="00F1626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E5252D"/>
  <w15:chartTrackingRefBased/>
  <w15:docId w15:val="{F248FC2F-AB30-43E5-A4D0-7BE16D1AD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20EA9"/>
    <w:pPr>
      <w:spacing w:before="480" w:after="240"/>
    </w:pPr>
  </w:style>
  <w:style w:type="paragraph" w:customStyle="1" w:styleId="NormalHanging12a">
    <w:name w:val="NormalHanging12a"/>
    <w:basedOn w:val="Normal"/>
    <w:rsid w:val="00520EA9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520EA9"/>
    <w:rPr>
      <w:color w:val="0563C1" w:themeColor="hyperlink"/>
      <w:u w:val="single"/>
    </w:rPr>
  </w:style>
  <w:style w:type="paragraph" w:customStyle="1" w:styleId="sdfootnote-western">
    <w:name w:val="sdfootnote-western"/>
    <w:basedOn w:val="Normal"/>
    <w:rsid w:val="00520EA9"/>
    <w:pPr>
      <w:widowControl/>
      <w:spacing w:before="100" w:beforeAutospacing="1"/>
      <w:ind w:left="346" w:hanging="346"/>
    </w:pPr>
    <w:rPr>
      <w:rFonts w:ascii="Calibri" w:hAnsi="Calibri"/>
      <w:color w:val="000000"/>
      <w:sz w:val="20"/>
    </w:rPr>
  </w:style>
  <w:style w:type="character" w:styleId="CommentReference">
    <w:name w:val="annotation reference"/>
    <w:basedOn w:val="DefaultParagraphFont"/>
    <w:rsid w:val="00676FB0"/>
    <w:rPr>
      <w:sz w:val="16"/>
      <w:szCs w:val="16"/>
    </w:rPr>
  </w:style>
  <w:style w:type="paragraph" w:styleId="CommentText">
    <w:name w:val="annotation text"/>
    <w:basedOn w:val="Normal"/>
    <w:link w:val="CommentTextChar"/>
    <w:rsid w:val="00676FB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76FB0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676F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76FB0"/>
    <w:rPr>
      <w:b/>
      <w:bCs/>
      <w:lang w:val="pt-PT"/>
    </w:rPr>
  </w:style>
  <w:style w:type="paragraph" w:styleId="BalloonText">
    <w:name w:val="Balloon Text"/>
    <w:basedOn w:val="Normal"/>
    <w:link w:val="BalloonTextChar"/>
    <w:rsid w:val="00676FB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76FB0"/>
    <w:rPr>
      <w:rFonts w:ascii="Segoe UI" w:hAnsi="Segoe UI" w:cs="Segoe UI"/>
      <w:sz w:val="18"/>
      <w:szCs w:val="18"/>
      <w:lang w:val="pt-PT"/>
    </w:rPr>
  </w:style>
  <w:style w:type="character" w:styleId="FollowedHyperlink">
    <w:name w:val="FollowedHyperlink"/>
    <w:basedOn w:val="DefaultParagraphFont"/>
    <w:rsid w:val="007C10F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reg/2002/178/oj" TargetMode="External"/><Relationship Id="rId3" Type="http://schemas.openxmlformats.org/officeDocument/2006/relationships/hyperlink" Target="https://doi.org/10.2903/j.efsa.2024.8714" TargetMode="External"/><Relationship Id="rId7" Type="http://schemas.openxmlformats.org/officeDocument/2006/relationships/hyperlink" Target="https://efsa.onlinelibrary.wiley.com/action/downloadSupplement?doi=10.2903%2Fj.efsa.2024.8714&amp;file=efs28714sup0008Annex8.pdf" TargetMode="External"/><Relationship Id="rId2" Type="http://schemas.openxmlformats.org/officeDocument/2006/relationships/hyperlink" Target="http://data.europa.eu/eli/reg/2011/182/oj" TargetMode="External"/><Relationship Id="rId1" Type="http://schemas.openxmlformats.org/officeDocument/2006/relationships/hyperlink" Target="http://data.europa.eu/eli/reg/2003/1829/oj" TargetMode="External"/><Relationship Id="rId6" Type="http://schemas.openxmlformats.org/officeDocument/2006/relationships/hyperlink" Target="https://commission.europa.eu/document/2c64e540-c07a-4376-a1da-368d289f4afe_en" TargetMode="External"/><Relationship Id="rId5" Type="http://schemas.openxmlformats.org/officeDocument/2006/relationships/hyperlink" Target="https://doi.org/10.2903/j.efsa.2024.8714" TargetMode="External"/><Relationship Id="rId4" Type="http://schemas.openxmlformats.org/officeDocument/2006/relationships/hyperlink" Target="https://doi.org/10.2903/sp.efsa.2019.EN-1688" TargetMode="External"/><Relationship Id="rId9" Type="http://schemas.openxmlformats.org/officeDocument/2006/relationships/hyperlink" Target="https://tillymetz.lu/wp-content/uploads/2020/09/Co-signed-letter-MEP-Metz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8D520F-7F06-4087-B129-FEA25A8A86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1711</Words>
  <Characters>9225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10915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</cp:lastModifiedBy>
  <cp:revision>2</cp:revision>
  <cp:lastPrinted>2004-11-19T15:42:00Z</cp:lastPrinted>
  <dcterms:created xsi:type="dcterms:W3CDTF">2024-11-26T11:21:00Z</dcterms:created>
  <dcterms:modified xsi:type="dcterms:W3CDTF">2024-11-26T11:21:00Z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B10-0153/2024</vt:lpwstr>
  </property>
  <property fmtid="{D5CDD505-2E9C-101B-9397-08002B2CF9AE}" pid="4" name="&lt;Type&gt;">
    <vt:lpwstr>RR</vt:lpwstr>
  </property>
</Properties>
</file>