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11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11D7" w:rsidRDefault="00B0312A" w:rsidP="0010095E">
            <w:pPr>
              <w:pStyle w:val="EPName"/>
            </w:pPr>
            <w:bookmarkStart w:id="0" w:name="_GoBack"/>
            <w:bookmarkEnd w:id="0"/>
            <w:r w:rsidRPr="001D11D7">
              <w:t>Európsky parlament</w:t>
            </w:r>
          </w:p>
          <w:p w:rsidR="00751A4A" w:rsidRPr="001D11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11D7">
              <w:t>2024</w:t>
            </w:r>
            <w:r w:rsidR="00817416" w:rsidRPr="001D11D7">
              <w:t>-202</w:t>
            </w:r>
            <w:r w:rsidRPr="001D11D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D11D7" w:rsidRDefault="00187494" w:rsidP="0010095E">
            <w:pPr>
              <w:pStyle w:val="EPLogo"/>
            </w:pPr>
            <w:r w:rsidRPr="001D11D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11D7" w:rsidRDefault="00D058B8" w:rsidP="004C5D52">
      <w:pPr>
        <w:pStyle w:val="LineTop"/>
      </w:pPr>
    </w:p>
    <w:p w:rsidR="00680577" w:rsidRPr="001D11D7" w:rsidRDefault="00B0312A" w:rsidP="00680577">
      <w:pPr>
        <w:pStyle w:val="EPBodyTA1"/>
      </w:pPr>
      <w:r w:rsidRPr="001D11D7">
        <w:t>PRIJATÉ TEXTY</w:t>
      </w:r>
    </w:p>
    <w:p w:rsidR="00D058B8" w:rsidRPr="001D11D7" w:rsidRDefault="00D058B8" w:rsidP="00D058B8">
      <w:pPr>
        <w:pStyle w:val="LineBottom"/>
      </w:pPr>
    </w:p>
    <w:p w:rsidR="00B0312A" w:rsidRPr="001D11D7" w:rsidRDefault="00B0312A" w:rsidP="00B0312A">
      <w:pPr>
        <w:pStyle w:val="ATHeading1"/>
      </w:pPr>
      <w:bookmarkStart w:id="1" w:name="TANumber"/>
      <w:r w:rsidRPr="001D11D7">
        <w:t>P10_TA(2024)00</w:t>
      </w:r>
      <w:r w:rsidR="004A2A3A" w:rsidRPr="001D11D7">
        <w:t>45</w:t>
      </w:r>
      <w:bookmarkEnd w:id="1"/>
    </w:p>
    <w:p w:rsidR="00B0312A" w:rsidRPr="001D11D7" w:rsidRDefault="00B0312A" w:rsidP="00B0312A">
      <w:pPr>
        <w:pStyle w:val="ATHeading2"/>
      </w:pPr>
      <w:bookmarkStart w:id="2" w:name="title"/>
      <w:r w:rsidRPr="001D11D7">
        <w:t>Geneticky modifikovaná kukurica MON 94804</w:t>
      </w:r>
      <w:bookmarkEnd w:id="2"/>
    </w:p>
    <w:p w:rsidR="00B0312A" w:rsidRPr="001D11D7" w:rsidRDefault="00B0312A" w:rsidP="00B0312A">
      <w:pPr>
        <w:rPr>
          <w:i/>
          <w:vanish/>
        </w:rPr>
      </w:pPr>
      <w:r w:rsidRPr="001D11D7">
        <w:rPr>
          <w:i/>
        </w:rPr>
        <w:fldChar w:fldCharType="begin"/>
      </w:r>
      <w:r w:rsidRPr="001D11D7">
        <w:rPr>
          <w:i/>
        </w:rPr>
        <w:instrText xml:space="preserve"> TC"(</w:instrText>
      </w:r>
      <w:bookmarkStart w:id="3" w:name="DocNumber"/>
      <w:r w:rsidRPr="001D11D7">
        <w:rPr>
          <w:i/>
        </w:rPr>
        <w:instrText>B10-0153/2024</w:instrText>
      </w:r>
      <w:bookmarkEnd w:id="3"/>
      <w:r w:rsidRPr="001D11D7">
        <w:rPr>
          <w:i/>
        </w:rPr>
        <w:instrText xml:space="preserve">)"\l3 \n&gt; \* MERGEFORMAT </w:instrText>
      </w:r>
      <w:r w:rsidRPr="001D11D7">
        <w:rPr>
          <w:i/>
        </w:rPr>
        <w:fldChar w:fldCharType="end"/>
      </w:r>
    </w:p>
    <w:p w:rsidR="00B0312A" w:rsidRPr="001D11D7" w:rsidRDefault="00B0312A" w:rsidP="00B0312A">
      <w:pPr>
        <w:rPr>
          <w:vanish/>
        </w:rPr>
      </w:pPr>
      <w:bookmarkStart w:id="4" w:name="PE"/>
      <w:r w:rsidRPr="001D11D7">
        <w:rPr>
          <w:vanish/>
        </w:rPr>
        <w:t>PE763.294</w:t>
      </w:r>
      <w:bookmarkEnd w:id="4"/>
    </w:p>
    <w:p w:rsidR="00B0312A" w:rsidRPr="001D11D7" w:rsidRDefault="00B0312A" w:rsidP="00B0312A">
      <w:pPr>
        <w:pStyle w:val="ATHeading3"/>
      </w:pPr>
      <w:bookmarkStart w:id="5" w:name="Sujet"/>
      <w:r w:rsidRPr="001D11D7">
        <w:t>Uznesenie Európskeho parlamentu z</w:t>
      </w:r>
      <w:r w:rsidR="003D6E56" w:rsidRPr="001D11D7">
        <w:t> 26</w:t>
      </w:r>
      <w:r w:rsidRPr="001D11D7">
        <w:t>. novembra 2024 o návrhu vykonávacieho rozhodnutia Komisie, ktorým sa podľa nariadenia Európskeho parlamentu a Rady (ES) č. 1829/2003 povoľuje umiestniť na trh produkty, ktoré obsahujú geneticky modifikovanú kukuricu MON 94804, sú z nej zložené alebo vyrobené</w:t>
      </w:r>
      <w:bookmarkEnd w:id="5"/>
      <w:r w:rsidRPr="001D11D7">
        <w:t xml:space="preserve"> </w:t>
      </w:r>
      <w:bookmarkStart w:id="6" w:name="References"/>
      <w:r w:rsidRPr="001D11D7">
        <w:t>(D099729/02 – 2024/2841(RSP))</w:t>
      </w:r>
      <w:bookmarkEnd w:id="6"/>
    </w:p>
    <w:p w:rsidR="00C82C5D" w:rsidRPr="001D11D7" w:rsidRDefault="00C82C5D" w:rsidP="00C82C5D">
      <w:pPr>
        <w:pStyle w:val="EPComma"/>
      </w:pPr>
      <w:bookmarkStart w:id="7" w:name="TextBodyBegin"/>
      <w:bookmarkEnd w:id="7"/>
      <w:r w:rsidRPr="001D11D7">
        <w:rPr>
          <w:i/>
        </w:rPr>
        <w:t>Európsky parlament</w:t>
      </w:r>
      <w:r w:rsidRPr="001D11D7">
        <w:t>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–</w:t>
      </w:r>
      <w:r w:rsidRPr="001D11D7">
        <w:tab/>
        <w:t>so zreteľom na návrh vykonávacieho rozhodnutia Komisie, ktorým sa podľa nariadenia Európskeho parlamentu a Rady (ES) č. 1829/2003 povoľuje umiestniť na trh produkty, ktoré obsahujú geneticky modifikovanú kukuricu MON 94804, sú z nej zložené alebo vyrobené (D099729/02),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–</w:t>
      </w:r>
      <w:r w:rsidRPr="001D11D7">
        <w:tab/>
        <w:t>so zreteľom na nariadenie Európskeho parlamentu a Rady (ES) č. 1829/2003 z 22. septembra 2003 o geneticky modifikovaných potravinách a krmivách</w:t>
      </w:r>
      <w:r w:rsidRPr="001D11D7">
        <w:rPr>
          <w:rStyle w:val="FootnoteReference"/>
          <w:szCs w:val="24"/>
        </w:rPr>
        <w:footnoteReference w:id="1"/>
      </w:r>
      <w:r w:rsidRPr="001D11D7">
        <w:t>, a najmä na jeho článok 7 ods. 3 a článok 19 ods. 3,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–</w:t>
      </w:r>
      <w:r w:rsidRPr="001D11D7">
        <w:tab/>
        <w:t xml:space="preserve">so zreteľom na </w:t>
      </w:r>
      <w:r w:rsidRPr="001D11D7">
        <w:rPr>
          <w:shd w:val="clear" w:color="auto" w:fill="FFFFFF"/>
        </w:rPr>
        <w:t>hlasovanie Stáleho výboru pre rastliny, zvieratá, potraviny a krmivá podľa článku 35 nariadenia (ES) č. 1829/2003, ktoré sa konalo 17. septembra 2024 a na ktorom sa rozhodlo, že sa nevydá žiadne stanovisko</w:t>
      </w:r>
      <w:r w:rsidRPr="001D11D7">
        <w:t>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–</w:t>
      </w:r>
      <w:r w:rsidRPr="001D11D7">
        <w:tab/>
        <w:t>so zreteľom na článok 11 nariadenia Európskeho parlamentu a Rady (EÚ) č. 182/2011 zo 16. februára 2011, ktorým sa ustanovujú pravidlá a všeobecné zásady mechanizmu, na základe ktorého členské štáty kontrolujú vykonávanie vykonávacích právomocí Komisie</w:t>
      </w:r>
      <w:r w:rsidRPr="001D11D7">
        <w:rPr>
          <w:rStyle w:val="FootnoteReference"/>
          <w:szCs w:val="24"/>
        </w:rPr>
        <w:footnoteReference w:id="2"/>
      </w:r>
      <w:r w:rsidRPr="001D11D7">
        <w:t>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–</w:t>
      </w:r>
      <w:r w:rsidRPr="001D11D7">
        <w:tab/>
        <w:t>so zreteľom na stanovisko, ktoré prijal Európsky úrad pre bezpečnosť potravín (EFSA) 13. marca 2024 a ktoré bolo uverejnené 26. apríla 2024</w:t>
      </w:r>
      <w:r w:rsidRPr="001D11D7">
        <w:rPr>
          <w:rStyle w:val="FootnoteReference"/>
          <w:szCs w:val="24"/>
        </w:rPr>
        <w:footnoteReference w:id="3"/>
      </w:r>
      <w:r w:rsidRPr="001D11D7">
        <w:t>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rPr>
          <w:rFonts w:ascii="Symbol" w:hAnsi="Symbol"/>
        </w:rPr>
        <w:lastRenderedPageBreak/>
        <w:t></w:t>
      </w:r>
      <w:r w:rsidRPr="001D11D7">
        <w:rPr>
          <w:rFonts w:ascii="Symbol" w:hAnsi="Symbol"/>
        </w:rPr>
        <w:tab/>
      </w:r>
      <w:r w:rsidRPr="001D11D7">
        <w:rPr>
          <w:shd w:val="clear" w:color="auto" w:fill="FFFFFF"/>
        </w:rPr>
        <w:t>so zreteľom na svoje predchádzajúce uznesenia, v ktorých namieta proti povoľovaniu geneticky modifikovaných organizmov (GMO)</w:t>
      </w:r>
      <w:r w:rsidRPr="001D11D7">
        <w:rPr>
          <w:szCs w:val="24"/>
          <w:shd w:val="clear" w:color="auto" w:fill="FFFFFF"/>
          <w:vertAlign w:val="superscript"/>
        </w:rPr>
        <w:footnoteReference w:id="4"/>
      </w:r>
      <w:r w:rsidRPr="001D11D7">
        <w:rPr>
          <w:shd w:val="clear" w:color="auto" w:fill="FFFFFF"/>
        </w:rPr>
        <w:t>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–</w:t>
      </w:r>
      <w:r w:rsidRPr="001D11D7">
        <w:tab/>
        <w:t>so zreteľom na článok 115 ods. 2 a 3 rokovacieho poriadku,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–</w:t>
      </w:r>
      <w:r w:rsidRPr="001D11D7">
        <w:tab/>
        <w:t>so zreteľom na návrh uznesenia Výboru pre životné prostredie, verejné zdravie a bezpečnosť potravín,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A.</w:t>
      </w:r>
      <w:r w:rsidRPr="001D11D7">
        <w:tab/>
        <w:t xml:space="preserve">keďže spoločnosť Bayer </w:t>
      </w:r>
      <w:proofErr w:type="spellStart"/>
      <w:r w:rsidRPr="001D11D7">
        <w:t>Agriculture</w:t>
      </w:r>
      <w:proofErr w:type="spellEnd"/>
      <w:r w:rsidRPr="001D11D7">
        <w:t xml:space="preserve"> BV so sídlom v Belgicku predložila 14. februára 2023 v mene spoločnosti Bayer </w:t>
      </w:r>
      <w:proofErr w:type="spellStart"/>
      <w:r w:rsidRPr="001D11D7">
        <w:t>CropScience</w:t>
      </w:r>
      <w:proofErr w:type="spellEnd"/>
      <w:r w:rsidRPr="001D11D7">
        <w:t xml:space="preserve"> LP so sídlom v Spojených štátoch príslušnému vnútroštátnemu orgánu Holandska v súlade s článkami 5 a 17 nariadenia (ES) č. 1829/2003 žiadosť o umiestnenie na trh týkajúcu sa potravín, zložiek potravín a krmív, ktoré obsahujú geneticky modifikovanú kukuricu MON 94804, sú z nej zložené alebo vyrobené (ďalej len „žiadosť“).;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B.</w:t>
      </w:r>
      <w:r w:rsidRPr="001D11D7">
        <w:tab/>
        <w:t>keďže sa táto žiadosť týkala povolenia umiestňovať na trh produkty, ktoré obsahujú geneticky modifikovanú kukuricu alebo sú z nej zložené, aj na iné použitia, než sú potraviny a krmivá, s výnimkou kultivácie;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C.</w:t>
      </w:r>
      <w:r w:rsidRPr="001D11D7">
        <w:tab/>
        <w:t>keďže úrad EFSA prijal 13. marca 2024 kladné stanovisko, ktoré bolo uverejnené 26. apríla 2024, pričom dospel k záveru, že geneticky modifikovaná kukurica je rovnako bezpečná ako jej tradičný ekvivalent a testované geneticky nemodifikované odrody kukurice, pokiaľ ide o potenciálne účinky na zdravie ľudí a zvierat a na životné prostredie;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D.</w:t>
      </w:r>
      <w:r w:rsidRPr="001D11D7">
        <w:tab/>
        <w:t xml:space="preserve">keďže geneticky modifikovaná kukurica bola geneticky vyvinutá tak, aby produkovala umelú </w:t>
      </w:r>
      <w:proofErr w:type="spellStart"/>
      <w:r w:rsidRPr="001D11D7">
        <w:t>miRNA</w:t>
      </w:r>
      <w:proofErr w:type="spellEnd"/>
      <w:r w:rsidRPr="001D11D7">
        <w:t xml:space="preserve"> určenú na selektívne potlačenie dvoch génov v rámci väčšej génovej skupiny zapojených do </w:t>
      </w:r>
      <w:proofErr w:type="spellStart"/>
      <w:r w:rsidRPr="001D11D7">
        <w:t>biosyntézy</w:t>
      </w:r>
      <w:proofErr w:type="spellEnd"/>
      <w:r w:rsidRPr="001D11D7">
        <w:t xml:space="preserve"> kyseliny </w:t>
      </w:r>
      <w:proofErr w:type="spellStart"/>
      <w:r w:rsidRPr="001D11D7">
        <w:t>giberelínovej</w:t>
      </w:r>
      <w:proofErr w:type="spellEnd"/>
      <w:r w:rsidRPr="001D11D7">
        <w:t xml:space="preserve"> (GA), čím sa zníži výška rastliny;</w:t>
      </w:r>
    </w:p>
    <w:p w:rsidR="00C82C5D" w:rsidRPr="001D11D7" w:rsidRDefault="00C82C5D" w:rsidP="00C82C5D">
      <w:pPr>
        <w:pStyle w:val="NormalHanging12a"/>
        <w:rPr>
          <w:b/>
          <w:i/>
          <w:szCs w:val="24"/>
        </w:rPr>
      </w:pPr>
      <w:r w:rsidRPr="001D11D7">
        <w:rPr>
          <w:b/>
          <w:i/>
        </w:rPr>
        <w:t xml:space="preserve">Nevyriešené otázky týkajúce sa účinkov umelej </w:t>
      </w:r>
      <w:proofErr w:type="spellStart"/>
      <w:r w:rsidRPr="001D11D7">
        <w:rPr>
          <w:b/>
          <w:i/>
        </w:rPr>
        <w:t>miRNA</w:t>
      </w:r>
      <w:proofErr w:type="spellEnd"/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E.</w:t>
      </w:r>
      <w:r w:rsidRPr="001D11D7">
        <w:tab/>
        <w:t xml:space="preserve">keďže zavedenie umelej </w:t>
      </w:r>
      <w:proofErr w:type="spellStart"/>
      <w:r w:rsidRPr="001D11D7">
        <w:t>miRNA</w:t>
      </w:r>
      <w:proofErr w:type="spellEnd"/>
      <w:r w:rsidRPr="001D11D7">
        <w:t xml:space="preserve"> nielenže zasahuje do cielených génov, ale zahŕňa aj iné regulačné funkcie; keďže </w:t>
      </w:r>
      <w:proofErr w:type="spellStart"/>
      <w:r w:rsidRPr="001D11D7">
        <w:t>miRNA</w:t>
      </w:r>
      <w:proofErr w:type="spellEnd"/>
      <w:r w:rsidRPr="001D11D7">
        <w:t xml:space="preserve"> sa v rastline ďalej pretvára, a tým </w:t>
      </w:r>
      <w:proofErr w:type="spellStart"/>
      <w:r w:rsidRPr="001D11D7">
        <w:t>interaguje</w:t>
      </w:r>
      <w:proofErr w:type="spellEnd"/>
      <w:r w:rsidRPr="001D11D7">
        <w:t xml:space="preserve"> so špecifickými rastlinnými enzýmami; keďže jej účinky sa v mnohých prípadoch neobmedzujú na cieľový gén, ale často zahŕňajú metabolické kaskády niekoľkých stoviek ďalších génových funkcií;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F.</w:t>
      </w:r>
      <w:r w:rsidRPr="001D11D7">
        <w:tab/>
        <w:t xml:space="preserve">keďže žiadateľ predkladá nedostatočné a neúplné údaje o interakciách medzi umelou </w:t>
      </w:r>
      <w:proofErr w:type="spellStart"/>
      <w:r w:rsidRPr="001D11D7">
        <w:t>miRNA</w:t>
      </w:r>
      <w:proofErr w:type="spellEnd"/>
      <w:r w:rsidRPr="001D11D7">
        <w:t>, produktmi vznikajúcimi z ďalších procesov v bunkách, pretrvávaním týchto molekúl v bunkách a ich interferenciou v iných regulačných sieťach;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G.</w:t>
      </w:r>
      <w:r w:rsidRPr="001D11D7">
        <w:tab/>
        <w:t xml:space="preserve">keďže záver úradu EFSA, že umelá </w:t>
      </w:r>
      <w:proofErr w:type="spellStart"/>
      <w:r w:rsidRPr="001D11D7">
        <w:t>miRNA</w:t>
      </w:r>
      <w:proofErr w:type="spellEnd"/>
      <w:r w:rsidRPr="001D11D7">
        <w:t xml:space="preserve"> nepredstavuje riziko toxicity pre ľudí a zvieratá, sa opiera o domnienku, že umelá </w:t>
      </w:r>
      <w:proofErr w:type="spellStart"/>
      <w:r w:rsidRPr="001D11D7">
        <w:t>miRNA</w:t>
      </w:r>
      <w:proofErr w:type="spellEnd"/>
      <w:r w:rsidRPr="001D11D7">
        <w:t xml:space="preserve"> rýchlo degraduje; keďže však vo </w:t>
      </w:r>
      <w:r w:rsidRPr="001D11D7">
        <w:lastRenderedPageBreak/>
        <w:t>viacerých štúdiách vrátane štúdie, ktorú cituje na podporu tohto tvrdenia</w:t>
      </w:r>
      <w:r w:rsidRPr="001D11D7">
        <w:rPr>
          <w:rStyle w:val="FootnoteReference"/>
          <w:szCs w:val="24"/>
        </w:rPr>
        <w:footnoteReference w:id="5"/>
      </w:r>
      <w:r w:rsidRPr="001D11D7">
        <w:t xml:space="preserve">, sa uvádza, že </w:t>
      </w:r>
      <w:proofErr w:type="spellStart"/>
      <w:r w:rsidRPr="001D11D7">
        <w:t>miRNA</w:t>
      </w:r>
      <w:proofErr w:type="spellEnd"/>
      <w:r w:rsidRPr="001D11D7">
        <w:t xml:space="preserve"> možno odobrať z čriev za podpory určitých mechanizmov;</w:t>
      </w:r>
    </w:p>
    <w:p w:rsidR="00C82C5D" w:rsidRPr="001D11D7" w:rsidRDefault="00C82C5D" w:rsidP="00C82C5D">
      <w:pPr>
        <w:pStyle w:val="NormalHanging12a"/>
        <w:rPr>
          <w:b/>
          <w:i/>
          <w:szCs w:val="24"/>
        </w:rPr>
      </w:pPr>
      <w:r w:rsidRPr="001D11D7">
        <w:rPr>
          <w:b/>
          <w:i/>
        </w:rPr>
        <w:t xml:space="preserve">Nevyriešené otázky týkajúce sa účinkov zníženej hladiny </w:t>
      </w:r>
      <w:proofErr w:type="spellStart"/>
      <w:r w:rsidRPr="001D11D7">
        <w:rPr>
          <w:b/>
          <w:i/>
        </w:rPr>
        <w:t>giberelínov</w:t>
      </w:r>
      <w:proofErr w:type="spellEnd"/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H.</w:t>
      </w:r>
      <w:r w:rsidRPr="001D11D7">
        <w:tab/>
        <w:t>keďže, ako zdôraznili odborníci z členských štátov</w:t>
      </w:r>
      <w:r w:rsidRPr="001D11D7">
        <w:rPr>
          <w:rStyle w:val="FootnoteReference"/>
          <w:szCs w:val="24"/>
        </w:rPr>
        <w:footnoteReference w:id="6"/>
      </w:r>
      <w:r w:rsidRPr="001D11D7">
        <w:t xml:space="preserve">, </w:t>
      </w:r>
      <w:proofErr w:type="spellStart"/>
      <w:r w:rsidRPr="001D11D7">
        <w:t>gibberelíny</w:t>
      </w:r>
      <w:proofErr w:type="spellEnd"/>
      <w:r w:rsidRPr="001D11D7">
        <w:t xml:space="preserve"> sú hlavnými regulátormi rôznych fyziologických procesov v rastlinách; 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I.</w:t>
      </w:r>
      <w:r w:rsidRPr="001D11D7">
        <w:tab/>
        <w:t xml:space="preserve">keďže okrem vzrastu rastlín </w:t>
      </w:r>
      <w:proofErr w:type="spellStart"/>
      <w:r w:rsidRPr="001D11D7">
        <w:t>giberelíny</w:t>
      </w:r>
      <w:proofErr w:type="spellEnd"/>
      <w:r w:rsidRPr="001D11D7">
        <w:t xml:space="preserve"> regulujú aj klíčivosť a kvitnutie, zohrávajú úlohu pri regulácii tolerancie stresu a sú súčasťou procesov komplexnej regulácie na krížovú komunikáciu s inými rastlinnými hormónmi na rôznych signálnych dráhach, akými sú fyziologické procesy ovplyvňujúce zloženie rastlín; keďže </w:t>
      </w:r>
      <w:proofErr w:type="spellStart"/>
      <w:r w:rsidRPr="001D11D7">
        <w:t>giberelíny</w:t>
      </w:r>
      <w:proofErr w:type="spellEnd"/>
      <w:r w:rsidRPr="001D11D7">
        <w:t xml:space="preserve"> sú tiež zapojené do imunitnej reakcie rastlín na patogény; 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J.</w:t>
      </w:r>
      <w:r w:rsidRPr="001D11D7">
        <w:tab/>
        <w:t>keďže žiadateľ nepreskúmal väčšinu vplyvov na tieto rôzne procesy okrem potenciálnych účinkov na klíčivosť, kvitnutie a hmotnosť zŕn;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K.</w:t>
      </w:r>
      <w:r w:rsidRPr="001D11D7">
        <w:tab/>
        <w:t xml:space="preserve">keďže </w:t>
      </w:r>
      <w:proofErr w:type="spellStart"/>
      <w:r w:rsidRPr="001D11D7">
        <w:t>expresia</w:t>
      </w:r>
      <w:proofErr w:type="spellEnd"/>
      <w:r w:rsidRPr="001D11D7">
        <w:t xml:space="preserve"> génov a jej vplyv na produkciu </w:t>
      </w:r>
      <w:proofErr w:type="spellStart"/>
      <w:r w:rsidRPr="001D11D7">
        <w:t>bioaktívnych</w:t>
      </w:r>
      <w:proofErr w:type="spellEnd"/>
      <w:r w:rsidRPr="001D11D7">
        <w:t xml:space="preserve"> </w:t>
      </w:r>
      <w:proofErr w:type="spellStart"/>
      <w:r w:rsidRPr="001D11D7">
        <w:t>giberelínov</w:t>
      </w:r>
      <w:proofErr w:type="spellEnd"/>
      <w:r w:rsidRPr="001D11D7">
        <w:t xml:space="preserve"> a metabolický vplyv sa skúmali len v poľných podmienkach bez osobitných stresových faktorov, pričom je známe, že geneticky modifikované organizmy sa podieľajú na mnohých biotických a abiotických stresových reakciách;</w:t>
      </w:r>
    </w:p>
    <w:p w:rsidR="00C82C5D" w:rsidRPr="001D11D7" w:rsidRDefault="00C82C5D" w:rsidP="00C82C5D">
      <w:pPr>
        <w:pStyle w:val="NormalHanging12a"/>
        <w:rPr>
          <w:b/>
          <w:i/>
          <w:szCs w:val="24"/>
        </w:rPr>
      </w:pPr>
      <w:r w:rsidRPr="001D11D7">
        <w:rPr>
          <w:b/>
          <w:i/>
        </w:rPr>
        <w:t>Zníženie závislosti od dovážaných krmív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L.</w:t>
      </w:r>
      <w:r w:rsidRPr="001D11D7">
        <w:tab/>
        <w:t xml:space="preserve">keďže jedným z ponaučení z krízy spôsobenej ochorením COVID-19 a zo stále prebiehajúcej vojny na Ukrajine je potreba, aby Únia ukončila závislosť od niektorých kritických materiálov; keďže v poverovacom liste dezignovanému komisárovi </w:t>
      </w:r>
      <w:proofErr w:type="spellStart"/>
      <w:r w:rsidRPr="001D11D7">
        <w:t>Christophovi</w:t>
      </w:r>
      <w:proofErr w:type="spellEnd"/>
      <w:r w:rsidRPr="001D11D7">
        <w:t xml:space="preserve"> </w:t>
      </w:r>
      <w:proofErr w:type="spellStart"/>
      <w:r w:rsidRPr="001D11D7">
        <w:t>Hansenovi</w:t>
      </w:r>
      <w:proofErr w:type="spellEnd"/>
      <w:r w:rsidRPr="001D11D7">
        <w:t xml:space="preserve"> ho predsedníčka Komisie </w:t>
      </w:r>
      <w:proofErr w:type="spellStart"/>
      <w:r w:rsidRPr="001D11D7">
        <w:t>Ursula</w:t>
      </w:r>
      <w:proofErr w:type="spellEnd"/>
      <w:r w:rsidRPr="001D11D7">
        <w:t xml:space="preserve"> von der </w:t>
      </w:r>
      <w:proofErr w:type="spellStart"/>
      <w:r w:rsidRPr="001D11D7">
        <w:t>Leyenová</w:t>
      </w:r>
      <w:proofErr w:type="spellEnd"/>
      <w:r w:rsidRPr="001D11D7">
        <w:t xml:space="preserve"> žiada o to, aby preskúmal spôsoby, ako znížiť dovoz kritických komodít</w:t>
      </w:r>
      <w:r w:rsidRPr="001D11D7">
        <w:rPr>
          <w:rStyle w:val="FootnoteReference"/>
          <w:szCs w:val="24"/>
        </w:rPr>
        <w:footnoteReference w:id="7"/>
      </w:r>
      <w:r w:rsidRPr="001D11D7">
        <w:t xml:space="preserve">; </w:t>
      </w:r>
    </w:p>
    <w:p w:rsidR="00C82C5D" w:rsidRPr="001D11D7" w:rsidRDefault="00C82C5D" w:rsidP="00C82C5D">
      <w:pPr>
        <w:pStyle w:val="NormalHanging12a"/>
        <w:rPr>
          <w:b/>
          <w:i/>
          <w:szCs w:val="24"/>
        </w:rPr>
      </w:pPr>
      <w:r w:rsidRPr="001D11D7">
        <w:rPr>
          <w:b/>
          <w:i/>
        </w:rPr>
        <w:t>Pripomienky príslušného orgánu členského štátu a zainteresovaných strán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M.</w:t>
      </w:r>
      <w:r w:rsidRPr="001D11D7">
        <w:tab/>
        <w:t>keďže členské štáty predložili úradu EFSA počas trojmesačného konzultačného obdobia</w:t>
      </w:r>
      <w:r w:rsidRPr="001D11D7">
        <w:rPr>
          <w:rStyle w:val="FootnoteReference"/>
          <w:szCs w:val="24"/>
        </w:rPr>
        <w:footnoteReference w:id="8"/>
      </w:r>
      <w:r w:rsidRPr="001D11D7">
        <w:t xml:space="preserve"> mnohé kritické pripomienky vrátane toho, že </w:t>
      </w:r>
      <w:proofErr w:type="spellStart"/>
      <w:r w:rsidRPr="001D11D7">
        <w:t>giberelíny</w:t>
      </w:r>
      <w:proofErr w:type="spellEnd"/>
      <w:r w:rsidRPr="001D11D7">
        <w:t xml:space="preserve"> sú hlavnými regulátormi rôznych fyziologických procesov v rastlinách, najmä v súvislosti s biotickými a abiotickými stresujúcimi faktormi, že údaje, ktoré poskytol žiadateľ, sú </w:t>
      </w:r>
      <w:r w:rsidRPr="001D11D7">
        <w:lastRenderedPageBreak/>
        <w:t xml:space="preserve">neúplné pri posudzovaní potenciálneho vplyvu znížených hladín </w:t>
      </w:r>
      <w:proofErr w:type="spellStart"/>
      <w:r w:rsidRPr="001D11D7">
        <w:t>giberelínov</w:t>
      </w:r>
      <w:proofErr w:type="spellEnd"/>
      <w:r w:rsidRPr="001D11D7">
        <w:t xml:space="preserve"> na všetky tieto procesy a že rozmanitosť v poľných skúškach je nedostatočná; keďže členské štáty tiež kritizovali nedostatok údajov o rizikách, ktoré predstavuje možná dlhodobá stabilita umelej </w:t>
      </w:r>
      <w:proofErr w:type="spellStart"/>
      <w:r w:rsidRPr="001D11D7">
        <w:t>miRNA</w:t>
      </w:r>
      <w:proofErr w:type="spellEnd"/>
      <w:r w:rsidRPr="001D11D7">
        <w:t xml:space="preserve"> v rastline alebo skutočnosť, že nezanedbateľná časť modifikovanej DNA je náchylná na odber z čriev zvierat alebo ľudí, ako aj to, že poskytnuté údaje nepreukazujú, že prenos génov z rastliny na baktérie je nepravdepodobný; 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N.</w:t>
      </w:r>
      <w:r w:rsidRPr="001D11D7">
        <w:tab/>
        <w:t>keďže v nariadení (ES) č. 1829/2003 sa uvádza, že geneticky modifikované potraviny alebo krmivá nesmú mať nepriaznivé účinky na ľudské zdravie, zdravie zvierat alebo na životné prostredie, a vyžaduje sa, aby Komisia pri príprave svojho rozhodnutia vzala do úvahy všetky relevantné ustanovenia práva Únie a iné oprávnené skutočnosti, ktoré sú podstatné na prerokovanie záležitosti;</w:t>
      </w:r>
    </w:p>
    <w:p w:rsidR="00C82C5D" w:rsidRPr="001D11D7" w:rsidRDefault="00C82C5D" w:rsidP="00C82C5D">
      <w:pPr>
        <w:pStyle w:val="NormalHanging12a"/>
        <w:rPr>
          <w:b/>
          <w:i/>
          <w:szCs w:val="24"/>
        </w:rPr>
      </w:pPr>
      <w:r w:rsidRPr="001D11D7">
        <w:rPr>
          <w:b/>
          <w:i/>
        </w:rPr>
        <w:t>Nedemokratické rozhodovanie</w:t>
      </w:r>
    </w:p>
    <w:p w:rsidR="00C82C5D" w:rsidRPr="001D11D7" w:rsidRDefault="00C82C5D" w:rsidP="00C82C5D">
      <w:pPr>
        <w:pStyle w:val="NormalHanging12a"/>
        <w:rPr>
          <w:b/>
          <w:i/>
          <w:szCs w:val="24"/>
        </w:rPr>
      </w:pPr>
      <w:r w:rsidRPr="001D11D7">
        <w:t>O.</w:t>
      </w:r>
      <w:r w:rsidRPr="001D11D7">
        <w:tab/>
        <w:t xml:space="preserve">keďže </w:t>
      </w:r>
      <w:r w:rsidR="006D49E3" w:rsidRPr="001D11D7">
        <w:t>Európsky p</w:t>
      </w:r>
      <w:r w:rsidRPr="001D11D7">
        <w:t xml:space="preserve">arlament vo svojom ôsmom volebnom období prijal celkovo 36 uznesení, v ktorých namietal proti tomu, aby sa GMO uvádzali na trh na použitie v potravinách a krmivách (33 uznesení) a GMO sa v Únii pestovali (tri uznesenia); keďže v deviatom volebnom období </w:t>
      </w:r>
      <w:r w:rsidR="006D49E3" w:rsidRPr="001D11D7">
        <w:t>Európsky p</w:t>
      </w:r>
      <w:r w:rsidRPr="001D11D7">
        <w:t>arlament prijal 38 námietok proti uvedeniu GMO na trh;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P.</w:t>
      </w:r>
      <w:r w:rsidRPr="001D11D7">
        <w:tab/>
        <w:t xml:space="preserve">keďže Komisia naďalej povoľuje GMO, hoci si sama uvedomuje nedostatky z hľadiska demokracie, nízku podporu členských štátov a námietky </w:t>
      </w:r>
      <w:r w:rsidR="006D49E3" w:rsidRPr="001D11D7">
        <w:t>Európskeho p</w:t>
      </w:r>
      <w:r w:rsidRPr="001D11D7">
        <w:t>arlamentu;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Q.</w:t>
      </w:r>
      <w:r w:rsidRPr="001D11D7">
        <w:tab/>
        <w:t>keďže nie je potrebná žiadna zmena právnych predpisov, aby Komisia nemala možnosť povoľovať GMO, ak sa v odvolacom výbore nedosiahne kvalifikovaná väčšina členských štátov v prospech povolenia</w:t>
      </w:r>
      <w:r w:rsidRPr="001D11D7">
        <w:rPr>
          <w:rStyle w:val="FootnoteReference"/>
          <w:szCs w:val="24"/>
        </w:rPr>
        <w:footnoteReference w:id="9"/>
      </w:r>
      <w:r w:rsidRPr="001D11D7">
        <w:t>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R.</w:t>
      </w:r>
      <w:r w:rsidRPr="001D11D7">
        <w:tab/>
      </w:r>
      <w:r w:rsidRPr="001D11D7">
        <w:rPr>
          <w:shd w:val="clear" w:color="auto" w:fill="FFFFFF"/>
        </w:rPr>
        <w:t xml:space="preserve">keďže Stály výbor pre potravinový reťazec a zdravie zvierat uvedený v článku 35 nariadenia (ES) č. 1829/2003 pri hlasovaní 17. septembra 2024 nezaujal žiadne stanovisko, čo znamená, že povolenie nepodporila kvalifikovaná väčšina členských štátov; 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1.</w:t>
      </w:r>
      <w:r w:rsidRPr="001D11D7">
        <w:tab/>
        <w:t>domnieva sa, že návrh vykonávacieho rozhodnutia Komisie prekračuje rámec vykonávacích právomocí stanovených v nariadení (ES) č. 1829/2003;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2.</w:t>
      </w:r>
      <w:r w:rsidRPr="001D11D7">
        <w:tab/>
        <w:t>domnieva sa, že návrh vykonávacieho rozhodnutia Komisie nie je v súlade s právom Únie, pretože nie je zlučiteľný s cieľom nariadenia (ES) č. 1829/2003, ktorým je podľa všeobecných zásad uvedených v nariadení Európskeho parlamentu a Rady (ES) č. 178/2002</w:t>
      </w:r>
      <w:r w:rsidRPr="001D11D7">
        <w:rPr>
          <w:rStyle w:val="FootnoteReference"/>
          <w:szCs w:val="24"/>
        </w:rPr>
        <w:footnoteReference w:id="10"/>
      </w:r>
      <w:r w:rsidRPr="001D11D7">
        <w:t xml:space="preserve"> poskytovať základ na zabezpečenie vysokej miery ochrany ľudského života a zdravia, zdravia a dobrých životných podmienok zvierat, životného prostredia a záujmov spotrebiteľov v súvislosti s geneticky modifikovanými potravinami a krmivami a súčasne zabezpečovať efektívne fungovanie vnútorného trhu;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lastRenderedPageBreak/>
        <w:t>3.</w:t>
      </w:r>
      <w:r w:rsidRPr="001D11D7">
        <w:tab/>
        <w:t>žiada Komisiu, aby stiahla svoj návrh vykonávacieho rozhodnutia a aby predložila výboru nový návrh;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4.</w:t>
      </w:r>
      <w:r w:rsidRPr="001D11D7">
        <w:tab/>
        <w:t>víta to, že Komisia v liste z 11. septembra 2020 adresovanom poslancom konečne uznala, že pri rozhodovaní o povoleniach pre GMO treba zohľadňovať otázku udržateľnosti</w:t>
      </w:r>
      <w:r w:rsidRPr="001D11D7">
        <w:rPr>
          <w:rStyle w:val="FootnoteReference"/>
          <w:szCs w:val="24"/>
        </w:rPr>
        <w:footnoteReference w:id="11"/>
      </w:r>
      <w:r w:rsidRPr="001D11D7">
        <w:t>; vyjadruje však hlboké sklamanie nad tým, že Komisia naďalej povoľuje dovoz GMO do Únie napriek neprestajným námietkam Európskeho parlamentu a väčšiny členských štátov hlasujúcich proti;</w:t>
      </w:r>
    </w:p>
    <w:p w:rsidR="00C82C5D" w:rsidRPr="001D11D7" w:rsidRDefault="00C82C5D" w:rsidP="00C82C5D">
      <w:pPr>
        <w:pStyle w:val="NormalHanging12a"/>
        <w:rPr>
          <w:szCs w:val="24"/>
        </w:rPr>
      </w:pPr>
      <w:r w:rsidRPr="001D11D7">
        <w:t>5.</w:t>
      </w:r>
      <w:r w:rsidRPr="001D11D7">
        <w:tab/>
        <w:t>opätovne vyzýva Komisiu, aby zohľadnila záväzky Únie vyplývajúce z medzinárodných dohôd, ako je Parížska dohoda o zmene klímy, Dohovor OSN o biologickej diverzite a ciele OSN v oblasti udržateľného rozvoja; opakuje svoju výzvu, aby bola k návrhom vykonávacích aktov priložená dôvodová správa, v ktorej sa vysvetlí, ako sa v nich dodržiava zásada „nespôsobovať škodu“</w:t>
      </w:r>
      <w:r w:rsidRPr="001D11D7">
        <w:rPr>
          <w:rStyle w:val="FootnoteReference"/>
          <w:szCs w:val="24"/>
        </w:rPr>
        <w:footnoteReference w:id="12"/>
      </w:r>
      <w:r w:rsidRPr="001D11D7">
        <w:t xml:space="preserve">; </w:t>
      </w:r>
    </w:p>
    <w:p w:rsidR="000D67F0" w:rsidRPr="001D11D7" w:rsidRDefault="00C82C5D" w:rsidP="000D67F0">
      <w:pPr>
        <w:pStyle w:val="NormalHanging12a"/>
      </w:pPr>
      <w:r w:rsidRPr="001D11D7">
        <w:t>6.</w:t>
      </w:r>
      <w:r w:rsidRPr="001D11D7">
        <w:tab/>
        <w:t>poveruje svoju predsedníčku, aby postúpila toto uznesenie Rade, Komisii a vládam a parlamentom členských štátov.</w:t>
      </w:r>
    </w:p>
    <w:sectPr w:rsidR="000D67F0" w:rsidRPr="001D11D7" w:rsidSect="000D67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12A" w:rsidRPr="000D67F0" w:rsidRDefault="00B0312A">
      <w:r w:rsidRPr="000D67F0">
        <w:separator/>
      </w:r>
    </w:p>
  </w:endnote>
  <w:endnote w:type="continuationSeparator" w:id="0">
    <w:p w:rsidR="00B0312A" w:rsidRPr="000D67F0" w:rsidRDefault="00B0312A">
      <w:r w:rsidRPr="000D67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7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7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7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12A" w:rsidRPr="000D67F0" w:rsidRDefault="00B0312A">
      <w:r w:rsidRPr="000D67F0">
        <w:separator/>
      </w:r>
    </w:p>
  </w:footnote>
  <w:footnote w:type="continuationSeparator" w:id="0">
    <w:p w:rsidR="00B0312A" w:rsidRPr="000D67F0" w:rsidRDefault="00B0312A">
      <w:r w:rsidRPr="000D67F0">
        <w:continuationSeparator/>
      </w:r>
    </w:p>
  </w:footnote>
  <w:footnote w:id="1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Pr="000D67F0">
        <w:rPr>
          <w:sz w:val="24"/>
          <w:lang w:val="sk-SK"/>
        </w:rPr>
        <w:t xml:space="preserve">Ú. v. EÚ L 268, 18.10.2003, s. 1, ELI: </w:t>
      </w:r>
      <w:r w:rsidR="001D11D7">
        <w:fldChar w:fldCharType="begin"/>
      </w:r>
      <w:r w:rsidR="001D11D7" w:rsidRPr="001D11D7">
        <w:rPr>
          <w:lang w:val="fi-FI"/>
        </w:rPr>
        <w:instrText xml:space="preserve"> HYPERLINK "http://data.europa.eu/eli/reg/2003/1829/oj" \o "Umožňuje prístup k tomuto dokumentu prostredníctvom jednotného identifikátora zdroja ELI."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http://data.europa.eu/eli/reg/2003/1829/oj</w:t>
      </w:r>
      <w:r w:rsidR="001D11D7">
        <w:rPr>
          <w:rStyle w:val="Hyperlink"/>
          <w:sz w:val="24"/>
          <w:lang w:val="sk-SK"/>
        </w:rPr>
        <w:fldChar w:fldCharType="end"/>
      </w:r>
      <w:r w:rsidRPr="000D67F0">
        <w:rPr>
          <w:sz w:val="24"/>
          <w:lang w:val="sk-SK"/>
        </w:rPr>
        <w:t xml:space="preserve">. </w:t>
      </w:r>
    </w:p>
  </w:footnote>
  <w:footnote w:id="2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Pr="000D67F0">
        <w:rPr>
          <w:sz w:val="24"/>
          <w:lang w:val="sk-SK"/>
        </w:rPr>
        <w:t xml:space="preserve">Ú. v. EÚ L 55, 28.2.2011, s. 13, ELI: </w:t>
      </w:r>
      <w:r w:rsidR="001D11D7">
        <w:fldChar w:fldCharType="begin"/>
      </w:r>
      <w:r w:rsidR="001D11D7" w:rsidRPr="001D11D7">
        <w:rPr>
          <w:lang w:val="fi-FI"/>
        </w:rPr>
        <w:instrText xml:space="preserve"> HYPERLINK "http</w:instrText>
      </w:r>
      <w:r w:rsidR="001D11D7" w:rsidRPr="001D11D7">
        <w:rPr>
          <w:lang w:val="fi-FI"/>
        </w:rPr>
        <w:instrText xml:space="preserve">://data.europa.eu/eli/reg/2011/182/oj" \o "Umožňuje prístup k tomuto dokumentu prostredníctvom jednotného identifikátora zdroja ELI."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http://data.europa.eu/eli/reg/2011/182/oj</w:t>
      </w:r>
      <w:r w:rsidR="001D11D7">
        <w:rPr>
          <w:rStyle w:val="Hyperlink"/>
          <w:sz w:val="24"/>
          <w:lang w:val="sk-SK"/>
        </w:rPr>
        <w:fldChar w:fldCharType="end"/>
      </w:r>
      <w:r w:rsidRPr="000D67F0">
        <w:rPr>
          <w:sz w:val="24"/>
          <w:lang w:val="sk-SK"/>
        </w:rPr>
        <w:t xml:space="preserve">. </w:t>
      </w:r>
    </w:p>
  </w:footnote>
  <w:footnote w:id="3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Pr="000D67F0">
        <w:rPr>
          <w:sz w:val="24"/>
          <w:lang w:val="sk-SK"/>
        </w:rPr>
        <w:t xml:space="preserve">Vedecké stanovisko pracovnej skupiny EFSA pre geneticky modifikované organizmy k posúdeniu geneticky modifikovanej kukurice MON 94804 na použitie v potravinách alebo krmivách podľa nariadenia (ES) č. 1829/2003 (žiadosť GMFF-2022-10651), vestník EFSA 2024; 22(4):8714,  </w:t>
      </w:r>
      <w:r w:rsidR="001D11D7">
        <w:fldChar w:fldCharType="begin"/>
      </w:r>
      <w:r w:rsidR="001D11D7" w:rsidRPr="001D11D7">
        <w:rPr>
          <w:lang w:val="sk-SK"/>
        </w:rPr>
        <w:instrText xml:space="preserve"> HYPERLINK "https://doi.org/10.2903/j.efsa.2024.8714"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https://doi.org/10.2903/j.efsa.2024.8714</w:t>
      </w:r>
      <w:r w:rsidR="001D11D7">
        <w:rPr>
          <w:rStyle w:val="Hyperlink"/>
          <w:sz w:val="24"/>
          <w:lang w:val="sk-SK"/>
        </w:rPr>
        <w:fldChar w:fldCharType="end"/>
      </w:r>
      <w:r w:rsidRPr="000D67F0">
        <w:rPr>
          <w:sz w:val="24"/>
          <w:lang w:val="sk-SK"/>
        </w:rPr>
        <w:t>.</w:t>
      </w:r>
    </w:p>
  </w:footnote>
  <w:footnote w:id="4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color w:val="000000" w:themeColor="text1"/>
          <w:sz w:val="24"/>
          <w:lang w:val="sk-SK"/>
        </w:rPr>
        <w:t xml:space="preserve"> </w:t>
      </w:r>
      <w:r w:rsidR="000D67F0" w:rsidRPr="000D67F0">
        <w:rPr>
          <w:color w:val="000000" w:themeColor="text1"/>
          <w:sz w:val="24"/>
          <w:lang w:val="sk-SK"/>
        </w:rPr>
        <w:tab/>
      </w:r>
      <w:r w:rsidR="006D49E3">
        <w:rPr>
          <w:color w:val="000000" w:themeColor="text1"/>
          <w:sz w:val="24"/>
          <w:lang w:val="sk-SK"/>
        </w:rPr>
        <w:t>Európsky p</w:t>
      </w:r>
      <w:r w:rsidRPr="000D67F0">
        <w:rPr>
          <w:color w:val="000000" w:themeColor="text1"/>
          <w:sz w:val="24"/>
          <w:lang w:val="sk-SK"/>
        </w:rPr>
        <w:t xml:space="preserve">arlament prijal vo svojom ôsmom volebnom období 36 uznesení a v deviatom volebnom období 38 uznesení, v ktorých namieta proti povoľovaniu GMO. </w:t>
      </w:r>
    </w:p>
  </w:footnote>
  <w:footnote w:id="5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proofErr w:type="spellStart"/>
      <w:r w:rsidRPr="000D67F0">
        <w:rPr>
          <w:sz w:val="24"/>
          <w:lang w:val="sk-SK"/>
        </w:rPr>
        <w:t>Dávalos</w:t>
      </w:r>
      <w:proofErr w:type="spellEnd"/>
      <w:r w:rsidRPr="000D67F0">
        <w:rPr>
          <w:sz w:val="24"/>
          <w:lang w:val="sk-SK"/>
        </w:rPr>
        <w:t xml:space="preserve">, A., </w:t>
      </w:r>
      <w:proofErr w:type="spellStart"/>
      <w:r w:rsidRPr="000D67F0">
        <w:rPr>
          <w:sz w:val="24"/>
          <w:lang w:val="sk-SK"/>
        </w:rPr>
        <w:t>Henriques</w:t>
      </w:r>
      <w:proofErr w:type="spellEnd"/>
      <w:r w:rsidRPr="000D67F0">
        <w:rPr>
          <w:sz w:val="24"/>
          <w:lang w:val="sk-SK"/>
        </w:rPr>
        <w:t xml:space="preserve">, R., </w:t>
      </w:r>
      <w:proofErr w:type="spellStart"/>
      <w:r w:rsidRPr="000D67F0">
        <w:rPr>
          <w:sz w:val="24"/>
          <w:lang w:val="sk-SK"/>
        </w:rPr>
        <w:t>Latasa</w:t>
      </w:r>
      <w:proofErr w:type="spellEnd"/>
      <w:r w:rsidRPr="000D67F0">
        <w:rPr>
          <w:sz w:val="24"/>
          <w:lang w:val="sk-SK"/>
        </w:rPr>
        <w:t xml:space="preserve">, M. J., </w:t>
      </w:r>
      <w:proofErr w:type="spellStart"/>
      <w:r w:rsidRPr="000D67F0">
        <w:rPr>
          <w:sz w:val="24"/>
          <w:lang w:val="sk-SK"/>
        </w:rPr>
        <w:t>Laparra</w:t>
      </w:r>
      <w:proofErr w:type="spellEnd"/>
      <w:r w:rsidRPr="000D67F0">
        <w:rPr>
          <w:sz w:val="24"/>
          <w:lang w:val="sk-SK"/>
        </w:rPr>
        <w:t xml:space="preserve">, M., &amp; </w:t>
      </w:r>
      <w:proofErr w:type="spellStart"/>
      <w:r w:rsidRPr="000D67F0">
        <w:rPr>
          <w:sz w:val="24"/>
          <w:lang w:val="sk-SK"/>
        </w:rPr>
        <w:t>Coca</w:t>
      </w:r>
      <w:proofErr w:type="spellEnd"/>
      <w:r w:rsidRPr="000D67F0">
        <w:rPr>
          <w:sz w:val="24"/>
          <w:lang w:val="sk-SK"/>
        </w:rPr>
        <w:t xml:space="preserve">, M. (2019). </w:t>
      </w:r>
      <w:proofErr w:type="spellStart"/>
      <w:r w:rsidRPr="000D67F0">
        <w:rPr>
          <w:sz w:val="24"/>
          <w:lang w:val="sk-SK"/>
        </w:rPr>
        <w:t>Literature</w:t>
      </w:r>
      <w:proofErr w:type="spellEnd"/>
      <w:r w:rsidRPr="000D67F0">
        <w:rPr>
          <w:sz w:val="24"/>
          <w:lang w:val="sk-SK"/>
        </w:rPr>
        <w:t xml:space="preserve"> </w:t>
      </w:r>
      <w:proofErr w:type="spellStart"/>
      <w:r w:rsidRPr="000D67F0">
        <w:rPr>
          <w:sz w:val="24"/>
          <w:lang w:val="sk-SK"/>
        </w:rPr>
        <w:t>review</w:t>
      </w:r>
      <w:proofErr w:type="spellEnd"/>
      <w:r w:rsidRPr="000D67F0">
        <w:rPr>
          <w:sz w:val="24"/>
          <w:lang w:val="sk-SK"/>
        </w:rPr>
        <w:t xml:space="preserve"> of </w:t>
      </w:r>
      <w:proofErr w:type="spellStart"/>
      <w:r w:rsidRPr="000D67F0">
        <w:rPr>
          <w:sz w:val="24"/>
          <w:lang w:val="sk-SK"/>
        </w:rPr>
        <w:t>baseline</w:t>
      </w:r>
      <w:proofErr w:type="spellEnd"/>
      <w:r w:rsidRPr="000D67F0">
        <w:rPr>
          <w:sz w:val="24"/>
          <w:lang w:val="sk-SK"/>
        </w:rPr>
        <w:t xml:space="preserve"> </w:t>
      </w:r>
      <w:proofErr w:type="spellStart"/>
      <w:r w:rsidRPr="000D67F0">
        <w:rPr>
          <w:sz w:val="24"/>
          <w:lang w:val="sk-SK"/>
        </w:rPr>
        <w:t>information</w:t>
      </w:r>
      <w:proofErr w:type="spellEnd"/>
      <w:r w:rsidRPr="000D67F0">
        <w:rPr>
          <w:sz w:val="24"/>
          <w:lang w:val="sk-SK"/>
        </w:rPr>
        <w:t xml:space="preserve"> on </w:t>
      </w:r>
      <w:proofErr w:type="spellStart"/>
      <w:r w:rsidRPr="000D67F0">
        <w:rPr>
          <w:sz w:val="24"/>
          <w:lang w:val="sk-SK"/>
        </w:rPr>
        <w:t>non-coding</w:t>
      </w:r>
      <w:proofErr w:type="spellEnd"/>
      <w:r w:rsidRPr="000D67F0">
        <w:rPr>
          <w:sz w:val="24"/>
          <w:lang w:val="sk-SK"/>
        </w:rPr>
        <w:t xml:space="preserve"> RNA (</w:t>
      </w:r>
      <w:proofErr w:type="spellStart"/>
      <w:r w:rsidRPr="000D67F0">
        <w:rPr>
          <w:sz w:val="24"/>
          <w:lang w:val="sk-SK"/>
        </w:rPr>
        <w:t>ncRNA</w:t>
      </w:r>
      <w:proofErr w:type="spellEnd"/>
      <w:r w:rsidRPr="000D67F0">
        <w:rPr>
          <w:sz w:val="24"/>
          <w:lang w:val="sk-SK"/>
        </w:rPr>
        <w:t xml:space="preserve">) to </w:t>
      </w:r>
      <w:proofErr w:type="spellStart"/>
      <w:r w:rsidRPr="000D67F0">
        <w:rPr>
          <w:sz w:val="24"/>
          <w:lang w:val="sk-SK"/>
        </w:rPr>
        <w:t>support</w:t>
      </w:r>
      <w:proofErr w:type="spellEnd"/>
      <w:r w:rsidRPr="000D67F0">
        <w:rPr>
          <w:sz w:val="24"/>
          <w:lang w:val="sk-SK"/>
        </w:rPr>
        <w:t xml:space="preserve"> </w:t>
      </w:r>
      <w:proofErr w:type="spellStart"/>
      <w:r w:rsidRPr="000D67F0">
        <w:rPr>
          <w:sz w:val="24"/>
          <w:lang w:val="sk-SK"/>
        </w:rPr>
        <w:t>the</w:t>
      </w:r>
      <w:proofErr w:type="spellEnd"/>
      <w:r w:rsidRPr="000D67F0">
        <w:rPr>
          <w:sz w:val="24"/>
          <w:lang w:val="sk-SK"/>
        </w:rPr>
        <w:t xml:space="preserve"> risk </w:t>
      </w:r>
      <w:proofErr w:type="spellStart"/>
      <w:r w:rsidRPr="000D67F0">
        <w:rPr>
          <w:sz w:val="24"/>
          <w:lang w:val="sk-SK"/>
        </w:rPr>
        <w:t>assessment</w:t>
      </w:r>
      <w:proofErr w:type="spellEnd"/>
      <w:r w:rsidRPr="000D67F0">
        <w:rPr>
          <w:sz w:val="24"/>
          <w:lang w:val="sk-SK"/>
        </w:rPr>
        <w:t xml:space="preserve"> of </w:t>
      </w:r>
      <w:proofErr w:type="spellStart"/>
      <w:r w:rsidRPr="000D67F0">
        <w:rPr>
          <w:sz w:val="24"/>
          <w:lang w:val="sk-SK"/>
        </w:rPr>
        <w:t>ncRNA-based</w:t>
      </w:r>
      <w:proofErr w:type="spellEnd"/>
      <w:r w:rsidRPr="000D67F0">
        <w:rPr>
          <w:sz w:val="24"/>
          <w:lang w:val="sk-SK"/>
        </w:rPr>
        <w:t xml:space="preserve"> </w:t>
      </w:r>
      <w:proofErr w:type="spellStart"/>
      <w:r w:rsidRPr="000D67F0">
        <w:rPr>
          <w:sz w:val="24"/>
          <w:lang w:val="sk-SK"/>
        </w:rPr>
        <w:t>genetically</w:t>
      </w:r>
      <w:proofErr w:type="spellEnd"/>
      <w:r w:rsidRPr="000D67F0">
        <w:rPr>
          <w:sz w:val="24"/>
          <w:lang w:val="sk-SK"/>
        </w:rPr>
        <w:t xml:space="preserve"> </w:t>
      </w:r>
      <w:proofErr w:type="spellStart"/>
      <w:r w:rsidRPr="000D67F0">
        <w:rPr>
          <w:sz w:val="24"/>
          <w:lang w:val="sk-SK"/>
        </w:rPr>
        <w:t>modified</w:t>
      </w:r>
      <w:proofErr w:type="spellEnd"/>
      <w:r w:rsidRPr="000D67F0">
        <w:rPr>
          <w:sz w:val="24"/>
          <w:lang w:val="sk-SK"/>
        </w:rPr>
        <w:t xml:space="preserve"> </w:t>
      </w:r>
      <w:proofErr w:type="spellStart"/>
      <w:r w:rsidRPr="000D67F0">
        <w:rPr>
          <w:sz w:val="24"/>
          <w:lang w:val="sk-SK"/>
        </w:rPr>
        <w:t>plants</w:t>
      </w:r>
      <w:proofErr w:type="spellEnd"/>
      <w:r w:rsidRPr="000D67F0">
        <w:rPr>
          <w:sz w:val="24"/>
          <w:lang w:val="sk-SK"/>
        </w:rPr>
        <w:t xml:space="preserve"> </w:t>
      </w:r>
      <w:proofErr w:type="spellStart"/>
      <w:r w:rsidRPr="000D67F0">
        <w:rPr>
          <w:sz w:val="24"/>
          <w:lang w:val="sk-SK"/>
        </w:rPr>
        <w:t>for</w:t>
      </w:r>
      <w:proofErr w:type="spellEnd"/>
      <w:r w:rsidRPr="000D67F0">
        <w:rPr>
          <w:sz w:val="24"/>
          <w:lang w:val="sk-SK"/>
        </w:rPr>
        <w:t xml:space="preserve"> </w:t>
      </w:r>
      <w:proofErr w:type="spellStart"/>
      <w:r w:rsidRPr="000D67F0">
        <w:rPr>
          <w:sz w:val="24"/>
          <w:lang w:val="sk-SK"/>
        </w:rPr>
        <w:t>food</w:t>
      </w:r>
      <w:proofErr w:type="spellEnd"/>
      <w:r w:rsidRPr="000D67F0">
        <w:rPr>
          <w:sz w:val="24"/>
          <w:lang w:val="sk-SK"/>
        </w:rPr>
        <w:t xml:space="preserve"> and </w:t>
      </w:r>
      <w:proofErr w:type="spellStart"/>
      <w:r w:rsidRPr="000D67F0">
        <w:rPr>
          <w:sz w:val="24"/>
          <w:lang w:val="sk-SK"/>
        </w:rPr>
        <w:t>feed</w:t>
      </w:r>
      <w:proofErr w:type="spellEnd"/>
      <w:r w:rsidRPr="000D67F0">
        <w:rPr>
          <w:sz w:val="24"/>
          <w:lang w:val="sk-SK"/>
        </w:rPr>
        <w:t xml:space="preserve"> [Prehľad literatúry obsahujúcej základné informácie o nekódujúcej RNA (</w:t>
      </w:r>
      <w:proofErr w:type="spellStart"/>
      <w:r w:rsidRPr="000D67F0">
        <w:rPr>
          <w:sz w:val="24"/>
          <w:lang w:val="sk-SK"/>
        </w:rPr>
        <w:t>ncRNA</w:t>
      </w:r>
      <w:proofErr w:type="spellEnd"/>
      <w:r w:rsidRPr="000D67F0">
        <w:rPr>
          <w:sz w:val="24"/>
          <w:lang w:val="sk-SK"/>
        </w:rPr>
        <w:t xml:space="preserve">) na podporu posúdenia rizika geneticky modifikovaných rastlín na báze </w:t>
      </w:r>
      <w:proofErr w:type="spellStart"/>
      <w:r w:rsidRPr="000D67F0">
        <w:rPr>
          <w:sz w:val="24"/>
          <w:lang w:val="sk-SK"/>
        </w:rPr>
        <w:t>ncRNA</w:t>
      </w:r>
      <w:proofErr w:type="spellEnd"/>
      <w:r w:rsidRPr="000D67F0">
        <w:rPr>
          <w:sz w:val="24"/>
          <w:lang w:val="sk-SK"/>
        </w:rPr>
        <w:t xml:space="preserve"> v prípade potravín a krmív]. Podporné publikácie úradu EFSA, 16(8), EN-1688. </w:t>
      </w:r>
      <w:r w:rsidR="001D11D7">
        <w:fldChar w:fldCharType="begin"/>
      </w:r>
      <w:r w:rsidR="001D11D7" w:rsidRPr="001D11D7">
        <w:rPr>
          <w:lang w:val="sk-SK"/>
        </w:rPr>
        <w:instrText xml:space="preserve"> HYPERLINK "https://doi.org/10.2903/sp.efsa.2019.EN-1688"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https://doi.org/10.2903/sp.efsa.2019.EN-1688</w:t>
      </w:r>
      <w:r w:rsidR="001D11D7">
        <w:rPr>
          <w:rStyle w:val="Hyperlink"/>
          <w:sz w:val="24"/>
          <w:lang w:val="sk-SK"/>
        </w:rPr>
        <w:fldChar w:fldCharType="end"/>
      </w:r>
      <w:r w:rsidRPr="000D67F0">
        <w:rPr>
          <w:rStyle w:val="Hyperlink"/>
          <w:sz w:val="24"/>
          <w:lang w:val="sk-SK"/>
        </w:rPr>
        <w:t>.</w:t>
      </w:r>
    </w:p>
  </w:footnote>
  <w:footnote w:id="6">
    <w:p w:rsidR="00C82C5D" w:rsidRPr="000D67F0" w:rsidRDefault="00C82C5D" w:rsidP="000D67F0">
      <w:pPr>
        <w:pStyle w:val="FootnoteText"/>
        <w:ind w:left="567" w:hanging="567"/>
        <w:rPr>
          <w:sz w:val="24"/>
          <w:szCs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Pr="000D67F0">
        <w:rPr>
          <w:sz w:val="24"/>
          <w:lang w:val="sk-SK"/>
        </w:rPr>
        <w:t xml:space="preserve">Príloha 8 k vedeckému stanovisku pracovnej skupiny úradu EFSA pre geneticky modifikované organizmy k posúdeniu geneticky modifikovanej kukurice MON 94804 na použitie v potravinách alebo krmivách podľa nariadenia (ES) č. 1829/2003 (žiadosť GMFF-2022-10651), vestník EFSA 2024; 22(4):8714, </w:t>
      </w:r>
      <w:r w:rsidR="001D11D7">
        <w:fldChar w:fldCharType="begin"/>
      </w:r>
      <w:r w:rsidR="001D11D7" w:rsidRPr="001D11D7">
        <w:rPr>
          <w:lang w:val="sk-SK"/>
        </w:rPr>
        <w:instrText xml:space="preserve"> HYPERLINK "https://doi.org/10.2903/j.efsa.2024.8714"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https://doi.org/10.2903/j.efsa.2024.8714</w:t>
      </w:r>
      <w:r w:rsidR="001D11D7">
        <w:rPr>
          <w:rStyle w:val="Hyperlink"/>
          <w:sz w:val="24"/>
          <w:lang w:val="sk-SK"/>
        </w:rPr>
        <w:fldChar w:fldCharType="end"/>
      </w:r>
      <w:r w:rsidRPr="000D67F0">
        <w:rPr>
          <w:sz w:val="24"/>
          <w:lang w:val="sk-SK"/>
        </w:rPr>
        <w:t>.</w:t>
      </w:r>
    </w:p>
  </w:footnote>
  <w:footnote w:id="7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="001D11D7">
        <w:fldChar w:fldCharType="begin"/>
      </w:r>
      <w:r w:rsidR="001D11D7" w:rsidRPr="001D11D7">
        <w:rPr>
          <w:lang w:val="sk-SK"/>
        </w:rPr>
        <w:instrText xml:space="preserve"> HYPERLINK "https://commission.europa.eu/document/2c64e540-c07a-4376-a1da-368d289f4afe_en"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https://commission.europa.eu/document/2c64e540-c07a-4376-a1da-368d289f4afe_en</w:t>
      </w:r>
      <w:r w:rsidR="001D11D7">
        <w:rPr>
          <w:rStyle w:val="Hyperlink"/>
          <w:sz w:val="24"/>
          <w:lang w:val="sk-SK"/>
        </w:rPr>
        <w:fldChar w:fldCharType="end"/>
      </w:r>
    </w:p>
  </w:footnote>
  <w:footnote w:id="8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="001D11D7">
        <w:fldChar w:fldCharType="begin"/>
      </w:r>
      <w:r w:rsidR="001D11D7" w:rsidRPr="001D11D7">
        <w:rPr>
          <w:lang w:val="sk-SK"/>
        </w:rPr>
        <w:instrText xml:space="preserve"> HYPERLINK "https://efsa.onlinelibrary.wiley.com/action/downloadSupplement?doi=10.2903/j.efsa.2024.8714&amp;file=efs28714-sup-0008-Annex8.pdf"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https://efsa.onlinelibrary.wiley.com/action/downloadSupplement?doi=10.2903%2Fj.‌efsa.2024.8714&amp;file=efs28714-sup-0008-Annex8.pdf</w:t>
      </w:r>
      <w:r w:rsidR="001D11D7">
        <w:rPr>
          <w:rStyle w:val="Hyperlink"/>
          <w:sz w:val="24"/>
          <w:lang w:val="sk-SK"/>
        </w:rPr>
        <w:fldChar w:fldCharType="end"/>
      </w:r>
      <w:r w:rsidRPr="000D67F0">
        <w:rPr>
          <w:rStyle w:val="Hyperlink"/>
          <w:sz w:val="24"/>
          <w:lang w:val="sk-SK"/>
        </w:rPr>
        <w:t>.</w:t>
      </w:r>
    </w:p>
  </w:footnote>
  <w:footnote w:id="9">
    <w:p w:rsidR="00C82C5D" w:rsidRPr="000D67F0" w:rsidRDefault="00C82C5D" w:rsidP="000D67F0">
      <w:pPr>
        <w:pStyle w:val="sdfootnote-western"/>
        <w:spacing w:before="0" w:beforeAutospacing="0"/>
        <w:ind w:left="567" w:hanging="567"/>
        <w:rPr>
          <w:rFonts w:ascii="Times New Roman" w:hAnsi="Times New Roman"/>
          <w:color w:val="auto"/>
          <w:sz w:val="24"/>
        </w:rPr>
      </w:pPr>
      <w:r w:rsidRPr="000D67F0">
        <w:rPr>
          <w:rStyle w:val="FootnoteReference"/>
          <w:rFonts w:ascii="Times New Roman" w:hAnsi="Times New Roman"/>
          <w:sz w:val="24"/>
        </w:rPr>
        <w:footnoteRef/>
      </w:r>
      <w:r w:rsidR="000D67F0" w:rsidRPr="000D67F0">
        <w:rPr>
          <w:rFonts w:ascii="Times New Roman" w:hAnsi="Times New Roman"/>
          <w:color w:val="auto"/>
          <w:sz w:val="24"/>
        </w:rPr>
        <w:t xml:space="preserve"> </w:t>
      </w:r>
      <w:r w:rsidR="000D67F0" w:rsidRPr="000D67F0">
        <w:rPr>
          <w:rFonts w:ascii="Times New Roman" w:hAnsi="Times New Roman"/>
          <w:color w:val="auto"/>
          <w:sz w:val="24"/>
        </w:rPr>
        <w:tab/>
      </w:r>
      <w:r w:rsidRPr="000D67F0">
        <w:rPr>
          <w:rFonts w:ascii="Times New Roman" w:hAnsi="Times New Roman"/>
          <w:color w:val="auto"/>
          <w:sz w:val="24"/>
        </w:rPr>
        <w:t xml:space="preserve">Ak udelenie povolenia v odvolacom výbore neschváli kvalifikovaná väčšina členských štátov, Komisia podľa článku 6 ods. 3 nariadenia (EÚ) č. 182/2011 môže, ale nemusí dané povolenie udeliť. </w:t>
      </w:r>
    </w:p>
  </w:footnote>
  <w:footnote w:id="10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Pr="000D67F0">
        <w:rPr>
          <w:sz w:val="24"/>
          <w:lang w:val="sk-SK"/>
        </w:rPr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 v. ES L 31, 1.2.2002, s. 1, ELI:  </w:t>
      </w:r>
      <w:r w:rsidR="001D11D7">
        <w:fldChar w:fldCharType="begin"/>
      </w:r>
      <w:r w:rsidR="001D11D7" w:rsidRPr="001D11D7">
        <w:rPr>
          <w:lang w:val="sk-SK"/>
        </w:rPr>
        <w:instrText xml:space="preserve"> HYPERLINK "http://data.europa.eu/eli/reg/2002/178/oj" \o "Umožňuje prístup k tomuto dokumentu prostredníctvom jednotného identifikátora zdroja ELI."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http://data.europa.eu/eli/reg/2002/178/oj</w:t>
      </w:r>
      <w:r w:rsidR="001D11D7">
        <w:rPr>
          <w:rStyle w:val="Hyperlink"/>
          <w:sz w:val="24"/>
          <w:lang w:val="sk-SK"/>
        </w:rPr>
        <w:fldChar w:fldCharType="end"/>
      </w:r>
      <w:r w:rsidRPr="000D67F0">
        <w:rPr>
          <w:sz w:val="24"/>
          <w:lang w:val="sk-SK"/>
        </w:rPr>
        <w:t>).</w:t>
      </w:r>
    </w:p>
  </w:footnote>
  <w:footnote w:id="11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="001D11D7">
        <w:fldChar w:fldCharType="begin"/>
      </w:r>
      <w:r w:rsidR="001D11D7" w:rsidRPr="001D11D7">
        <w:rPr>
          <w:lang w:val="sk-SK"/>
        </w:rPr>
        <w:instrText xml:space="preserve"> HYPERLINK "https://tillymetz.lu/wp-content/uploads/2020/09/Co-signed-letter-MEP-Metz.pdf" </w:instrText>
      </w:r>
      <w:r w:rsidR="001D11D7">
        <w:fldChar w:fldCharType="separate"/>
      </w:r>
      <w:r w:rsidRPr="000D67F0">
        <w:rPr>
          <w:rStyle w:val="Hyperlink"/>
          <w:sz w:val="24"/>
          <w:lang w:val="sk-SK"/>
        </w:rPr>
        <w:t>https://tillymetz.lu/wp-content/uploads/2020/09/Co-signed-letter-MEP-Metz.pdf</w:t>
      </w:r>
      <w:r w:rsidR="001D11D7">
        <w:rPr>
          <w:rStyle w:val="Hyperlink"/>
          <w:sz w:val="24"/>
          <w:lang w:val="sk-SK"/>
        </w:rPr>
        <w:fldChar w:fldCharType="end"/>
      </w:r>
      <w:r w:rsidRPr="000D67F0">
        <w:rPr>
          <w:rStyle w:val="Hyperlink"/>
          <w:sz w:val="24"/>
          <w:lang w:val="sk-SK"/>
        </w:rPr>
        <w:t xml:space="preserve">. </w:t>
      </w:r>
    </w:p>
  </w:footnote>
  <w:footnote w:id="12">
    <w:p w:rsidR="00C82C5D" w:rsidRPr="000D67F0" w:rsidRDefault="00C82C5D" w:rsidP="000D67F0">
      <w:pPr>
        <w:pStyle w:val="FootnoteText"/>
        <w:ind w:left="567" w:hanging="567"/>
        <w:rPr>
          <w:sz w:val="24"/>
          <w:lang w:val="sk-SK"/>
        </w:rPr>
      </w:pPr>
      <w:r w:rsidRPr="000D67F0">
        <w:rPr>
          <w:rStyle w:val="FootnoteReference"/>
          <w:sz w:val="24"/>
          <w:lang w:val="sk-SK"/>
        </w:rPr>
        <w:footnoteRef/>
      </w:r>
      <w:r w:rsidR="000D67F0" w:rsidRPr="000D67F0">
        <w:rPr>
          <w:sz w:val="24"/>
          <w:lang w:val="sk-SK"/>
        </w:rPr>
        <w:t xml:space="preserve"> </w:t>
      </w:r>
      <w:r w:rsidR="000D67F0" w:rsidRPr="000D67F0">
        <w:rPr>
          <w:sz w:val="24"/>
          <w:lang w:val="sk-SK"/>
        </w:rPr>
        <w:tab/>
      </w:r>
      <w:r w:rsidRPr="000D67F0">
        <w:rPr>
          <w:sz w:val="24"/>
          <w:lang w:val="sk-SK"/>
        </w:rPr>
        <w:t>Uznesenie Európskeho parlamentu z 15. januára 2020 o Európskej zelenej dohode (Ú. v. EÚ C 270, 7.7.2021, s. 2), odsek 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7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7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7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3/2024"/>
    <w:docVar w:name="dvlangue" w:val="SK"/>
    <w:docVar w:name="dvnumam" w:val="0"/>
    <w:docVar w:name="dvpe" w:val="763.294"/>
    <w:docVar w:name="dvtitre" w:val="Uznesenie Európskeho parlamentu z xx. novembra 2024 o návrhu vykonávacieho rozhodnutia Komisie, ktorým sa podľa nariadenia Európskeho parlamentu a Rady (ES) č. 1829/2003 povoľuje umiestniť na trh produkty, ktoré obsahujú geneticky modifikovanú kukuricu MON 94804, sú z nej zložené alebo vyrobené(D099729/02 – 2024/2841(RSP))"/>
  </w:docVars>
  <w:rsids>
    <w:rsidRoot w:val="00B0312A"/>
    <w:rsid w:val="00002272"/>
    <w:rsid w:val="00064002"/>
    <w:rsid w:val="000677B9"/>
    <w:rsid w:val="000831BA"/>
    <w:rsid w:val="000A42CC"/>
    <w:rsid w:val="000D67F0"/>
    <w:rsid w:val="000E7DD9"/>
    <w:rsid w:val="0010095E"/>
    <w:rsid w:val="00125B37"/>
    <w:rsid w:val="00187494"/>
    <w:rsid w:val="001D11D7"/>
    <w:rsid w:val="001F32AE"/>
    <w:rsid w:val="002767FF"/>
    <w:rsid w:val="002B18FE"/>
    <w:rsid w:val="002B5493"/>
    <w:rsid w:val="00343214"/>
    <w:rsid w:val="00361C00"/>
    <w:rsid w:val="00395FA1"/>
    <w:rsid w:val="003D6E56"/>
    <w:rsid w:val="003E15D4"/>
    <w:rsid w:val="00411CCE"/>
    <w:rsid w:val="0041666E"/>
    <w:rsid w:val="00421060"/>
    <w:rsid w:val="00471C19"/>
    <w:rsid w:val="004867E3"/>
    <w:rsid w:val="00494A28"/>
    <w:rsid w:val="004A2A3A"/>
    <w:rsid w:val="004C0004"/>
    <w:rsid w:val="004C5D52"/>
    <w:rsid w:val="004E541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49E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B4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12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2C5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2C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CB057-4259-4A19-960A-C5788948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2C5D"/>
    <w:pPr>
      <w:spacing w:before="480" w:after="240"/>
    </w:pPr>
  </w:style>
  <w:style w:type="paragraph" w:customStyle="1" w:styleId="NormalHanging12a">
    <w:name w:val="NormalHanging12a"/>
    <w:basedOn w:val="Normal"/>
    <w:rsid w:val="00C82C5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C82C5D"/>
    <w:rPr>
      <w:color w:val="0563C1" w:themeColor="hyperlink"/>
      <w:u w:val="single"/>
    </w:rPr>
  </w:style>
  <w:style w:type="paragraph" w:customStyle="1" w:styleId="sdfootnote-western">
    <w:name w:val="sdfootnote-western"/>
    <w:basedOn w:val="Normal"/>
    <w:rsid w:val="00C82C5D"/>
    <w:pPr>
      <w:widowControl/>
      <w:spacing w:before="100" w:beforeAutospacing="1"/>
      <w:ind w:left="346" w:hanging="346"/>
    </w:pPr>
    <w:rPr>
      <w:rFonts w:ascii="Calibri" w:hAnsi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8FD15-7F6B-443A-AB4A-1F2289DFD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1345</Words>
  <Characters>8117</Characters>
  <Application>Microsoft Office Word</Application>
  <DocSecurity>0</DocSecurity>
  <Lines>159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2024-11-26T13:00:00Z</dcterms:created>
  <dcterms:modified xsi:type="dcterms:W3CDTF">2024-11-26T13:00:00Z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B10-0153/2024</vt:lpwstr>
  </property>
  <property fmtid="{D5CDD505-2E9C-101B-9397-08002B2CF9AE}" pid="4" name="&lt;Type&gt;">
    <vt:lpwstr>RR</vt:lpwstr>
  </property>
</Properties>
</file>