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11A9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11A95" w:rsidRDefault="00FD0B2A" w:rsidP="0010095E">
            <w:pPr>
              <w:pStyle w:val="EPName"/>
            </w:pPr>
            <w:r w:rsidRPr="00211A95">
              <w:t>Eiropas Parlaments</w:t>
            </w:r>
          </w:p>
          <w:p w:rsidR="00751A4A" w:rsidRPr="00211A9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11A95">
              <w:t>2024</w:t>
            </w:r>
            <w:r w:rsidR="00817416" w:rsidRPr="00211A95">
              <w:t>-202</w:t>
            </w:r>
            <w:r w:rsidRPr="00211A9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11A95" w:rsidRDefault="00187494" w:rsidP="0010095E">
            <w:pPr>
              <w:pStyle w:val="EPLogo"/>
            </w:pPr>
            <w:r w:rsidRPr="00211A9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11A95" w:rsidRDefault="00D058B8" w:rsidP="004C5D52">
      <w:pPr>
        <w:pStyle w:val="LineTop"/>
      </w:pPr>
    </w:p>
    <w:p w:rsidR="00680577" w:rsidRPr="00211A95" w:rsidRDefault="00FD0B2A" w:rsidP="00680577">
      <w:pPr>
        <w:pStyle w:val="EPBodyTA1"/>
      </w:pPr>
      <w:r w:rsidRPr="00211A95">
        <w:t>PIEŅEMTIE TEKSTI</w:t>
      </w:r>
    </w:p>
    <w:p w:rsidR="00D058B8" w:rsidRPr="00211A95" w:rsidRDefault="00D058B8" w:rsidP="00D058B8">
      <w:pPr>
        <w:pStyle w:val="LineBottom"/>
      </w:pPr>
    </w:p>
    <w:p w:rsidR="00FD0B2A" w:rsidRPr="00211A95" w:rsidRDefault="00FD0B2A" w:rsidP="00FD0B2A">
      <w:pPr>
        <w:pStyle w:val="ATHeading1"/>
      </w:pPr>
      <w:bookmarkStart w:id="0" w:name="TANumber"/>
      <w:r w:rsidRPr="00211A95">
        <w:t>P10_TA(2024)00</w:t>
      </w:r>
      <w:r w:rsidR="00211A95" w:rsidRPr="00211A95">
        <w:t>47</w:t>
      </w:r>
      <w:bookmarkEnd w:id="0"/>
    </w:p>
    <w:p w:rsidR="00FD0B2A" w:rsidRPr="00211A95" w:rsidRDefault="00D3614A" w:rsidP="00FD0B2A">
      <w:pPr>
        <w:pStyle w:val="ATHeading2"/>
      </w:pPr>
      <w:r w:rsidRPr="00211A95">
        <w:t>Regulas (ES) 2018/1806 grozīšana attiecībā uz Vanuatu</w:t>
      </w:r>
    </w:p>
    <w:p w:rsidR="00FD0B2A" w:rsidRPr="00211A95" w:rsidRDefault="00FD0B2A" w:rsidP="00FD0B2A">
      <w:pPr>
        <w:rPr>
          <w:i/>
          <w:vanish/>
        </w:rPr>
      </w:pPr>
      <w:r w:rsidRPr="00211A95">
        <w:rPr>
          <w:i/>
        </w:rPr>
        <w:fldChar w:fldCharType="begin"/>
      </w:r>
      <w:r w:rsidRPr="00211A95">
        <w:rPr>
          <w:i/>
        </w:rPr>
        <w:instrText xml:space="preserve"> TC"(</w:instrText>
      </w:r>
      <w:bookmarkStart w:id="1" w:name="DocNumber"/>
      <w:r w:rsidRPr="00211A95">
        <w:rPr>
          <w:i/>
        </w:rPr>
        <w:instrText>A10-0015/2024</w:instrText>
      </w:r>
      <w:bookmarkEnd w:id="1"/>
      <w:r w:rsidRPr="00211A95">
        <w:rPr>
          <w:i/>
        </w:rPr>
        <w:instrText xml:space="preserve"> - Referents: Paulo Cunha)"\l3 \n&gt; \* MERGEFORMAT </w:instrText>
      </w:r>
      <w:r w:rsidRPr="00211A95">
        <w:rPr>
          <w:i/>
        </w:rPr>
        <w:fldChar w:fldCharType="end"/>
      </w:r>
    </w:p>
    <w:p w:rsidR="00FD0B2A" w:rsidRPr="00211A95" w:rsidRDefault="00FD0B2A" w:rsidP="00FD0B2A">
      <w:pPr>
        <w:rPr>
          <w:vanish/>
        </w:rPr>
      </w:pPr>
      <w:bookmarkStart w:id="2" w:name="Commission"/>
      <w:r w:rsidRPr="00211A95">
        <w:rPr>
          <w:vanish/>
        </w:rPr>
        <w:t>Pilsoņu brīvību, tieslietu un iekšlietu komiteja</w:t>
      </w:r>
      <w:bookmarkEnd w:id="2"/>
    </w:p>
    <w:p w:rsidR="00FD0B2A" w:rsidRPr="00211A95" w:rsidRDefault="00FD0B2A" w:rsidP="00FD0B2A">
      <w:pPr>
        <w:rPr>
          <w:vanish/>
        </w:rPr>
      </w:pPr>
      <w:bookmarkStart w:id="3" w:name="PE"/>
      <w:r w:rsidRPr="00211A95">
        <w:rPr>
          <w:vanish/>
        </w:rPr>
        <w:t>PE764.972</w:t>
      </w:r>
      <w:bookmarkEnd w:id="3"/>
    </w:p>
    <w:p w:rsidR="00DD3FFA" w:rsidRPr="00211A95" w:rsidRDefault="00FD0B2A" w:rsidP="00D3614A">
      <w:pPr>
        <w:pStyle w:val="ATHeading3"/>
      </w:pPr>
      <w:bookmarkStart w:id="4" w:name="Sujet"/>
      <w:r w:rsidRPr="00211A95">
        <w:t xml:space="preserve">Eiropas Parlamenta 2024. gada </w:t>
      </w:r>
      <w:r w:rsidR="00D3614A" w:rsidRPr="00211A95">
        <w:t>27</w:t>
      </w:r>
      <w:r w:rsidRPr="00211A95">
        <w:t xml:space="preserve">. </w:t>
      </w:r>
      <w:r w:rsidR="00D3614A" w:rsidRPr="00211A95">
        <w:t>novembra</w:t>
      </w:r>
      <w:r w:rsidRPr="00211A95">
        <w:t xml:space="preserve"> normatīvā rezolūcija par priekšlikumu Eiropas Parlamenta un Padomes regulai, ar ko attiecībā uz Vanuatu groza Regulu (ES) 2018/1806</w:t>
      </w:r>
      <w:bookmarkEnd w:id="4"/>
      <w:r w:rsidRPr="00211A95">
        <w:t xml:space="preserve"> </w:t>
      </w:r>
      <w:bookmarkStart w:id="5" w:name="References"/>
      <w:r w:rsidRPr="00211A95">
        <w:t>(COM(2024)0365 – C10-0008/2024 – 2024/0128(COD))</w:t>
      </w:r>
      <w:bookmarkEnd w:id="5"/>
    </w:p>
    <w:p w:rsidR="00DD3FFA" w:rsidRPr="00211A95" w:rsidRDefault="00DD3FFA" w:rsidP="00DD3FFA">
      <w:pPr>
        <w:pStyle w:val="NormalBold"/>
      </w:pPr>
      <w:r w:rsidRPr="00211A95">
        <w:t>(Parastā likumdošanas procedūra: pirmais lasījums)</w:t>
      </w:r>
    </w:p>
    <w:p w:rsidR="00DD3FFA" w:rsidRPr="00211A95" w:rsidRDefault="00DD3FFA" w:rsidP="00DD3FFA">
      <w:pPr>
        <w:pStyle w:val="EPComma"/>
      </w:pPr>
      <w:r w:rsidRPr="00211A95">
        <w:rPr>
          <w:i/>
        </w:rPr>
        <w:t>Eiropas Parlaments</w:t>
      </w:r>
      <w:r w:rsidRPr="00211A95">
        <w:t>,</w:t>
      </w:r>
    </w:p>
    <w:p w:rsidR="00DD3FFA" w:rsidRPr="00211A95" w:rsidRDefault="00DD3FFA" w:rsidP="00DD3FFA">
      <w:pPr>
        <w:pStyle w:val="NormalHanging12a"/>
      </w:pPr>
      <w:r w:rsidRPr="00211A95">
        <w:t>–</w:t>
      </w:r>
      <w:r w:rsidRPr="00211A95">
        <w:tab/>
        <w:t>ņemot vērā Komisijas priekšlikumu Eiropas Parlamentam un Padomei (COM(2024)0365),</w:t>
      </w:r>
    </w:p>
    <w:p w:rsidR="00DD3FFA" w:rsidRPr="00211A95" w:rsidRDefault="00DD3FFA" w:rsidP="00DD3FFA">
      <w:pPr>
        <w:pStyle w:val="NormalHanging12a"/>
      </w:pPr>
      <w:r w:rsidRPr="00211A95">
        <w:t>–</w:t>
      </w:r>
      <w:r w:rsidRPr="00211A95">
        <w:tab/>
        <w:t>ņemot vērā Līguma par Eiropas Savienības darbību 294. panta 2. punktu un 77. panta 2. punkta a) apakšpunktu, saskaņā ar kuriem Komisija Parlamentam ir iesniegusi priekšlikumu (C10</w:t>
      </w:r>
      <w:r w:rsidRPr="00211A95">
        <w:noBreakHyphen/>
        <w:t>0008/2024),</w:t>
      </w:r>
    </w:p>
    <w:p w:rsidR="00DD3FFA" w:rsidRPr="00211A95" w:rsidRDefault="00DD3FFA" w:rsidP="00DD3FFA">
      <w:pPr>
        <w:pStyle w:val="NormalHanging12a"/>
      </w:pPr>
      <w:r w:rsidRPr="00211A95">
        <w:t>–</w:t>
      </w:r>
      <w:r w:rsidRPr="00211A95">
        <w:tab/>
        <w:t>ņemot vērā Līguma par Eiropas Savienības darbību 294. panta 3. punktu,</w:t>
      </w:r>
    </w:p>
    <w:p w:rsidR="00D3614A" w:rsidRPr="00211A95" w:rsidRDefault="00D3614A" w:rsidP="00DD3FFA">
      <w:pPr>
        <w:pStyle w:val="NormalHanging12a"/>
      </w:pPr>
      <w:r w:rsidRPr="00211A95">
        <w:t>–</w:t>
      </w:r>
      <w:r w:rsidRPr="00211A95">
        <w:tab/>
        <w:t>ņemot vērā Padomes pārstāvja 2024. gada 13. novembra vēstulē pausto apņemšanos apstiprināt Parlamenta nostāju saskaņā ar Līguma par Eiropas Savienības darbību 294. panta 4. punktu,</w:t>
      </w:r>
    </w:p>
    <w:p w:rsidR="00DD3FFA" w:rsidRPr="00211A95" w:rsidRDefault="00DD3FFA" w:rsidP="00DD3FFA">
      <w:pPr>
        <w:pStyle w:val="NormalHanging12a"/>
      </w:pPr>
      <w:r w:rsidRPr="00211A95">
        <w:t>–</w:t>
      </w:r>
      <w:r w:rsidRPr="00211A95">
        <w:tab/>
        <w:t>ņemot vērā Reglamenta 60. pantu,</w:t>
      </w:r>
    </w:p>
    <w:p w:rsidR="00DD3FFA" w:rsidRPr="00211A95" w:rsidRDefault="00DD3FFA" w:rsidP="00DD3FFA">
      <w:pPr>
        <w:pStyle w:val="NormalHanging12a"/>
      </w:pPr>
      <w:r w:rsidRPr="00211A95">
        <w:t>–</w:t>
      </w:r>
      <w:r w:rsidRPr="00211A95">
        <w:tab/>
        <w:t>ņemot vērā Pilsoņu brīvību, tieslietu un iekšlietu komitejas ziņojumu (A10</w:t>
      </w:r>
      <w:r w:rsidRPr="00211A95">
        <w:noBreakHyphen/>
        <w:t>0015/2024),</w:t>
      </w:r>
    </w:p>
    <w:p w:rsidR="00DD3FFA" w:rsidRPr="00211A95" w:rsidRDefault="00DD3FFA" w:rsidP="00DD3FFA">
      <w:pPr>
        <w:pStyle w:val="NormalHanging12a"/>
      </w:pPr>
      <w:r w:rsidRPr="00211A95">
        <w:t>1.</w:t>
      </w:r>
      <w:r w:rsidRPr="00211A95">
        <w:tab/>
      </w:r>
      <w:r w:rsidR="00D3614A" w:rsidRPr="00211A95">
        <w:t>pieņem pirmajā lasījumā turpmāk izklāstīto nostāju;</w:t>
      </w:r>
    </w:p>
    <w:p w:rsidR="00DD3FFA" w:rsidRPr="00211A95" w:rsidRDefault="00DD3FFA" w:rsidP="00DD3FFA">
      <w:pPr>
        <w:pStyle w:val="NormalHanging12a"/>
      </w:pPr>
      <w:r w:rsidRPr="00211A95">
        <w:t>2.</w:t>
      </w:r>
      <w:r w:rsidRPr="00211A95">
        <w:tab/>
        <w:t>prasa Komisijai priekšlikumu Parlamentam iesniegt vēlreiz, ja tā savu priekšlikumu aizstāj, būtiski groza vai ir paredzējusi to būtiski grozīt;</w:t>
      </w:r>
    </w:p>
    <w:p w:rsidR="00232653" w:rsidRPr="00211A95" w:rsidRDefault="00DD3FFA" w:rsidP="00232653">
      <w:pPr>
        <w:pStyle w:val="NormalHanging12a"/>
      </w:pPr>
      <w:r w:rsidRPr="00211A95">
        <w:t>3.</w:t>
      </w:r>
      <w:r w:rsidRPr="00211A95">
        <w:tab/>
        <w:t>uzdod priekšsēdētājai Parlamenta nostāju nosūtīt Padomei un Komisijai, kā arī dalībvalstu parlamentiem.</w:t>
      </w:r>
    </w:p>
    <w:p w:rsidR="00D3614A" w:rsidRPr="00211A95" w:rsidRDefault="00D3614A" w:rsidP="00FD0B2A">
      <w:pPr>
        <w:sectPr w:rsidR="00D3614A" w:rsidRPr="00211A95" w:rsidSect="0023265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3614A" w:rsidRPr="00211A95" w:rsidRDefault="00D3614A" w:rsidP="00D3614A">
      <w:pPr>
        <w:pStyle w:val="Normal12Hanging"/>
        <w:tabs>
          <w:tab w:val="left" w:pos="357"/>
        </w:tabs>
        <w:rPr>
          <w:b/>
        </w:rPr>
      </w:pPr>
      <w:r w:rsidRPr="00211A95">
        <w:rPr>
          <w:b/>
        </w:rPr>
        <w:lastRenderedPageBreak/>
        <w:t>P9_TC1-COD(2024)0128</w:t>
      </w:r>
    </w:p>
    <w:p w:rsidR="00D3614A" w:rsidRDefault="00D3614A" w:rsidP="00D3614A">
      <w:pPr>
        <w:pStyle w:val="Normal12Hanging"/>
        <w:ind w:left="0" w:firstLine="0"/>
        <w:rPr>
          <w:rFonts w:eastAsia="Calibri"/>
          <w:b/>
          <w:noProof/>
          <w:szCs w:val="22"/>
          <w:lang w:eastAsia="en-US"/>
        </w:rPr>
      </w:pPr>
      <w:r w:rsidRPr="00211A95">
        <w:rPr>
          <w:b/>
        </w:rPr>
        <w:t xml:space="preserve">Eiropas Parlamenta nostāja, pieņemta pirmajā lasījumā 2024. gada </w:t>
      </w:r>
      <w:r w:rsidR="00B25611" w:rsidRPr="00211A95">
        <w:rPr>
          <w:b/>
        </w:rPr>
        <w:t>27. novembrī</w:t>
      </w:r>
      <w:r w:rsidRPr="00211A95">
        <w:rPr>
          <w:b/>
        </w:rPr>
        <w:t>, lai pieņemtu Eiropas Parlamenta un Padomes Regulu (ES) 202</w:t>
      </w:r>
      <w:r w:rsidR="00A81BA2">
        <w:rPr>
          <w:b/>
        </w:rPr>
        <w:t>5</w:t>
      </w:r>
      <w:r w:rsidRPr="00211A95">
        <w:rPr>
          <w:b/>
        </w:rPr>
        <w:t xml:space="preserve">/..., </w:t>
      </w:r>
      <w:r w:rsidRPr="00211A95">
        <w:rPr>
          <w:rFonts w:eastAsia="Calibri"/>
          <w:b/>
          <w:noProof/>
          <w:szCs w:val="22"/>
          <w:lang w:eastAsia="en-US"/>
        </w:rPr>
        <w:t>ar ko groza Regulu (ES) 2018/1806 attiecībā uz Vanuatu</w:t>
      </w:r>
    </w:p>
    <w:p w:rsidR="00A81BA2" w:rsidRDefault="00A81BA2" w:rsidP="00A81BA2">
      <w:pPr>
        <w:rPr>
          <w:i/>
        </w:rPr>
      </w:pPr>
      <w:r w:rsidRPr="003E6639">
        <w:rPr>
          <w:i/>
        </w:rPr>
        <w:t xml:space="preserve">(Tā kā starp Parlamentu un Padomi tika panākta vienošanās, Parlamenta nostāja atbilst galīgajam tiesību aktam </w:t>
      </w:r>
      <w:r w:rsidRPr="00A81BA2">
        <w:rPr>
          <w:i/>
        </w:rPr>
        <w:t>Regulai (ES) 202</w:t>
      </w:r>
      <w:r w:rsidRPr="00A81BA2">
        <w:rPr>
          <w:i/>
        </w:rPr>
        <w:t>5</w:t>
      </w:r>
      <w:r w:rsidRPr="00A81BA2">
        <w:rPr>
          <w:i/>
        </w:rPr>
        <w:t>/</w:t>
      </w:r>
      <w:r w:rsidRPr="00A81BA2">
        <w:rPr>
          <w:i/>
        </w:rPr>
        <w:t>11</w:t>
      </w:r>
      <w:r w:rsidRPr="00A81BA2">
        <w:rPr>
          <w:i/>
        </w:rPr>
        <w:t>.)</w:t>
      </w:r>
      <w:bookmarkStart w:id="6" w:name="_GoBack"/>
      <w:bookmarkEnd w:id="6"/>
    </w:p>
    <w:p w:rsidR="00A81BA2" w:rsidRPr="00211A95" w:rsidRDefault="00A81BA2" w:rsidP="00D3614A">
      <w:pPr>
        <w:pStyle w:val="Normal12Hanging"/>
        <w:ind w:left="0" w:firstLine="0"/>
        <w:rPr>
          <w:b/>
        </w:rPr>
      </w:pPr>
    </w:p>
    <w:sectPr w:rsidR="00A81BA2" w:rsidRPr="00211A95" w:rsidSect="00B87B4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0B2A" w:rsidRPr="00232653" w:rsidRDefault="00FD0B2A">
      <w:r w:rsidRPr="00232653">
        <w:separator/>
      </w:r>
    </w:p>
  </w:endnote>
  <w:endnote w:type="continuationSeparator" w:id="0">
    <w:p w:rsidR="00FD0B2A" w:rsidRPr="00232653" w:rsidRDefault="00FD0B2A">
      <w:r w:rsidRPr="002326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B45" w:rsidRDefault="00D3614A" w:rsidP="00B87B45">
    <w:pPr>
      <w:pStyle w:val="EPFooter"/>
    </w:pPr>
    <w:r>
      <w:t>PE</w:t>
    </w:r>
    <w:r w:rsidRPr="00B87B45">
      <w:rPr>
        <w:rStyle w:val="HideTWBExt"/>
      </w:rPr>
      <w:t>&lt;NoPE&gt;</w:t>
    </w:r>
    <w:r>
      <w:t>764.972</w:t>
    </w:r>
    <w:r w:rsidRPr="00B87B45">
      <w:rPr>
        <w:rStyle w:val="HideTWBExt"/>
      </w:rPr>
      <w:t>&lt;/NoPE&gt;&lt;Version&gt;</w:t>
    </w:r>
    <w:r>
      <w:t>v02-00</w:t>
    </w:r>
    <w:r w:rsidRPr="00B87B45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14</w:t>
    </w:r>
    <w:r>
      <w:fldChar w:fldCharType="end"/>
    </w:r>
    <w:r>
      <w:t>/</w:t>
    </w:r>
    <w:fldSimple w:instr=" NUMPAGES  \* MERGEFORMAT ">
      <w:r>
        <w:rPr>
          <w:noProof/>
        </w:rPr>
        <w:t>15</w:t>
      </w:r>
    </w:fldSimple>
    <w:r>
      <w:tab/>
    </w:r>
    <w:r w:rsidRPr="00B87B45">
      <w:rPr>
        <w:rStyle w:val="HideTWBExt"/>
      </w:rPr>
      <w:t>&lt;PathFdR&gt;</w:t>
    </w:r>
    <w:r>
      <w:t>RR\1310729LV.docx</w:t>
    </w:r>
    <w:r w:rsidRPr="00B87B45">
      <w:rPr>
        <w:rStyle w:val="HideTWBExt"/>
      </w:rPr>
      <w:t>&lt;/PathFdR&gt;</w:t>
    </w:r>
  </w:p>
  <w:p w:rsidR="00C04425" w:rsidRPr="00D12212" w:rsidRDefault="00D3614A" w:rsidP="00B87B45">
    <w:pPr>
      <w:pStyle w:val="EPFooter2"/>
    </w:pPr>
    <w:r>
      <w:t>LV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425" w:rsidRPr="00D3614A" w:rsidRDefault="00A81BA2" w:rsidP="00D361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425" w:rsidRPr="00D3614A" w:rsidRDefault="00A81BA2" w:rsidP="00D361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0B2A" w:rsidRPr="00232653" w:rsidRDefault="00FD0B2A">
      <w:r w:rsidRPr="00232653">
        <w:separator/>
      </w:r>
    </w:p>
  </w:footnote>
  <w:footnote w:type="continuationSeparator" w:id="0">
    <w:p w:rsidR="00FD0B2A" w:rsidRPr="00232653" w:rsidRDefault="00FD0B2A">
      <w:r w:rsidRPr="0023265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B45" w:rsidRDefault="00A81B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B45" w:rsidRDefault="00A81BA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B45" w:rsidRDefault="00A81B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5/2024"/>
    <w:docVar w:name="dvlangue" w:val="LV"/>
    <w:docVar w:name="dvnumam" w:val="0"/>
    <w:docVar w:name="dvpe" w:val="764.972"/>
    <w:docVar w:name="dvrapporteur" w:val="Referents: "/>
    <w:docVar w:name="dvstar" w:val="***I"/>
    <w:docVar w:name="dvtitre" w:val="Eiropas Parlamenta 2024. gada XX. XXX normatīvā rezolūcija par priekšlikumu Eiropas Parlamenta un Padomes regulai, ar ko attiecībā uz Vanuatu groza Regulu (ES) 2018/1806(COM(2024)0365 – C10-0008/2024 – 2024/0128(COD))"/>
  </w:docVars>
  <w:rsids>
    <w:rsidRoot w:val="00FD0B2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1A95"/>
    <w:rsid w:val="0023265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7B00"/>
    <w:rsid w:val="00560270"/>
    <w:rsid w:val="005B7CDB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5692"/>
    <w:rsid w:val="009509D8"/>
    <w:rsid w:val="00950B64"/>
    <w:rsid w:val="00981893"/>
    <w:rsid w:val="00A1687D"/>
    <w:rsid w:val="00A43E52"/>
    <w:rsid w:val="00A4678D"/>
    <w:rsid w:val="00A778C7"/>
    <w:rsid w:val="00A81BA2"/>
    <w:rsid w:val="00AB441E"/>
    <w:rsid w:val="00AB6293"/>
    <w:rsid w:val="00AE0928"/>
    <w:rsid w:val="00AF3B82"/>
    <w:rsid w:val="00B12E95"/>
    <w:rsid w:val="00B22876"/>
    <w:rsid w:val="00B25611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614A"/>
    <w:rsid w:val="00D56C11"/>
    <w:rsid w:val="00D834A0"/>
    <w:rsid w:val="00D872DF"/>
    <w:rsid w:val="00D91E21"/>
    <w:rsid w:val="00DA7FCD"/>
    <w:rsid w:val="00DD3FF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B2A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4A770D"/>
  <w15:chartTrackingRefBased/>
  <w15:docId w15:val="{D3877996-DEC0-46C6-9BD3-C9FABB79F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D3FFA"/>
    <w:pPr>
      <w:spacing w:before="480" w:after="240"/>
    </w:pPr>
  </w:style>
  <w:style w:type="paragraph" w:customStyle="1" w:styleId="NormalBold">
    <w:name w:val="NormalBold"/>
    <w:basedOn w:val="Normal"/>
    <w:rsid w:val="00DD3FFA"/>
    <w:rPr>
      <w:b/>
    </w:rPr>
  </w:style>
  <w:style w:type="paragraph" w:customStyle="1" w:styleId="NormalBold12a">
    <w:name w:val="NormalBold12a"/>
    <w:basedOn w:val="Normal"/>
    <w:rsid w:val="00DD3FFA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DD3FFA"/>
    <w:pPr>
      <w:spacing w:after="240"/>
      <w:ind w:left="567" w:hanging="567"/>
    </w:pPr>
  </w:style>
  <w:style w:type="paragraph" w:customStyle="1" w:styleId="EPFooter2">
    <w:name w:val="EPFooter2"/>
    <w:basedOn w:val="Normal"/>
    <w:next w:val="Normal"/>
    <w:rsid w:val="00D3614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Header">
    <w:name w:val="header"/>
    <w:basedOn w:val="Normal"/>
    <w:link w:val="HeaderChar"/>
    <w:rsid w:val="00D3614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3614A"/>
    <w:rPr>
      <w:sz w:val="24"/>
      <w:lang w:val="lv-LV"/>
    </w:rPr>
  </w:style>
  <w:style w:type="paragraph" w:customStyle="1" w:styleId="EPFooter">
    <w:name w:val="EPFooter"/>
    <w:basedOn w:val="Normal"/>
    <w:rsid w:val="00D3614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yperlink1">
    <w:name w:val="Hyperlink1"/>
    <w:basedOn w:val="DefaultParagraphFont"/>
    <w:uiPriority w:val="99"/>
    <w:unhideWhenUsed/>
    <w:rsid w:val="00D3614A"/>
    <w:rPr>
      <w:color w:val="0563C1"/>
      <w:u w:val="single"/>
    </w:rPr>
  </w:style>
  <w:style w:type="paragraph" w:customStyle="1" w:styleId="Normal12Hanging">
    <w:name w:val="Normal12Hanging"/>
    <w:basedOn w:val="Normal"/>
    <w:link w:val="Normal12HangingChar"/>
    <w:rsid w:val="00D3614A"/>
    <w:pPr>
      <w:spacing w:after="240"/>
      <w:ind w:left="357" w:hanging="357"/>
    </w:pPr>
  </w:style>
  <w:style w:type="character" w:customStyle="1" w:styleId="Normal12HangingChar">
    <w:name w:val="Normal12Hanging Char"/>
    <w:basedOn w:val="DefaultParagraphFont"/>
    <w:link w:val="Normal12Hanging"/>
    <w:rsid w:val="00D3614A"/>
    <w:rPr>
      <w:sz w:val="24"/>
      <w:lang w:val="lv-LV"/>
    </w:rPr>
  </w:style>
  <w:style w:type="paragraph" w:styleId="Footer">
    <w:name w:val="footer"/>
    <w:basedOn w:val="Normal"/>
    <w:link w:val="FooterChar"/>
    <w:rsid w:val="00D3614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3614A"/>
    <w:rPr>
      <w:sz w:val="24"/>
      <w:lang w:val="lv-LV"/>
    </w:rPr>
  </w:style>
  <w:style w:type="paragraph" w:styleId="BalloonText">
    <w:name w:val="Balloon Text"/>
    <w:basedOn w:val="Normal"/>
    <w:link w:val="BalloonTextChar"/>
    <w:rsid w:val="00D361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3614A"/>
    <w:rPr>
      <w:rFonts w:ascii="Segoe UI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C1411-B8B5-42B4-BA91-63DBDF9A2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Karina Pesa</cp:lastModifiedBy>
  <cp:revision>2</cp:revision>
  <cp:lastPrinted>2004-11-19T15:42:00Z</cp:lastPrinted>
  <dcterms:created xsi:type="dcterms:W3CDTF">2025-02-10T16:11:00Z</dcterms:created>
  <dcterms:modified xsi:type="dcterms:W3CDTF">2025-02-10T16:11:00Z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P10_TA(2024)0047_</vt:lpwstr>
  </property>
  <property fmtid="{D5CDD505-2E9C-101B-9397-08002B2CF9AE}" pid="4" name="&lt;Type&gt;">
    <vt:lpwstr>RR</vt:lpwstr>
  </property>
</Properties>
</file>