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91758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91758F" w:rsidRDefault="004908C3">
            <w:pPr>
              <w:pStyle w:val="EPName"/>
            </w:pPr>
            <w:r>
              <w:t>Európsky parlament</w:t>
            </w:r>
          </w:p>
          <w:p w:rsidR="0091758F" w:rsidRDefault="004908C3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:rsidR="0091758F" w:rsidRDefault="004908C3"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1758F" w:rsidRDefault="0091758F">
      <w:pPr>
        <w:pStyle w:val="LineTop"/>
      </w:pPr>
    </w:p>
    <w:p w:rsidR="0091758F" w:rsidRDefault="004908C3">
      <w:pPr>
        <w:pStyle w:val="EPBodyTA1"/>
      </w:pPr>
      <w:r>
        <w:t>PRIJATÉ TEXTY</w:t>
      </w:r>
    </w:p>
    <w:p w:rsidR="0091758F" w:rsidRDefault="0091758F">
      <w:pPr>
        <w:pStyle w:val="LineBottom"/>
      </w:pPr>
    </w:p>
    <w:p w:rsidR="0091758F" w:rsidRDefault="004908C3">
      <w:pPr>
        <w:pStyle w:val="ATHeading1"/>
      </w:pPr>
      <w:bookmarkStart w:id="0" w:name="TANumber"/>
      <w:r>
        <w:t>P10_TA(2024)0048</w:t>
      </w:r>
      <w:bookmarkEnd w:id="0"/>
    </w:p>
    <w:p w:rsidR="0091758F" w:rsidRDefault="004908C3">
      <w:pPr>
        <w:pStyle w:val="ATHeading2"/>
      </w:pPr>
      <w:bookmarkStart w:id="1" w:name="title"/>
      <w:r>
        <w:t>Mobilizácia Fondu solidarity Európskej únie: pomoc Nemecku a Taliansku v súvislosti so záplavami v roku 2024</w:t>
      </w:r>
      <w:bookmarkEnd w:id="1"/>
    </w:p>
    <w:p w:rsidR="0091758F" w:rsidRDefault="004908C3"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A10-0020/2024</w:instrText>
      </w:r>
      <w:bookmarkEnd w:id="2"/>
      <w:r>
        <w:rPr>
          <w:i/>
        </w:rPr>
        <w:instrText xml:space="preserve"> - Spravodajca: Giuseppe </w:instrText>
      </w:r>
      <w:proofErr w:type="spellStart"/>
      <w:r>
        <w:rPr>
          <w:i/>
        </w:rPr>
        <w:instrText>Lupo</w:instrText>
      </w:r>
      <w:proofErr w:type="spellEnd"/>
      <w:r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91758F" w:rsidRDefault="004908C3">
      <w:pPr>
        <w:rPr>
          <w:vanish/>
        </w:rPr>
      </w:pPr>
      <w:bookmarkStart w:id="3" w:name="Commission"/>
      <w:r>
        <w:rPr>
          <w:vanish/>
        </w:rPr>
        <w:t xml:space="preserve">Výbor </w:t>
      </w:r>
      <w:r>
        <w:rPr>
          <w:vanish/>
        </w:rPr>
        <w:t>pre rozpočet</w:t>
      </w:r>
      <w:bookmarkEnd w:id="3"/>
    </w:p>
    <w:p w:rsidR="0091758F" w:rsidRDefault="004908C3">
      <w:pPr>
        <w:rPr>
          <w:vanish/>
        </w:rPr>
      </w:pPr>
      <w:bookmarkStart w:id="4" w:name="PE"/>
      <w:r>
        <w:rPr>
          <w:vanish/>
        </w:rPr>
        <w:t>PE765.249</w:t>
      </w:r>
      <w:bookmarkEnd w:id="4"/>
    </w:p>
    <w:p w:rsidR="0091758F" w:rsidRDefault="004908C3">
      <w:pPr>
        <w:pStyle w:val="ATHeading3"/>
      </w:pPr>
      <w:bookmarkStart w:id="5" w:name="Sujet"/>
      <w:r>
        <w:t>Uznesenie Európskeho parlamentu z 27. novembra 2024 o návrhu rozhodnutia Európskeho parlamentu a Rady o mobilizácii Fondu solidarity Európskej únie na účely poskytnutia pomoci Nemecku a Taliansku v súvislosti so záplavami v roku 2024</w:t>
      </w:r>
      <w:bookmarkEnd w:id="5"/>
      <w:r>
        <w:t xml:space="preserve"> </w:t>
      </w:r>
      <w:bookmarkStart w:id="6" w:name="References"/>
      <w:r>
        <w:t>(COM(2024)0480 – C10-0162/2024 – 2024/0284(BUD))</w:t>
      </w:r>
      <w:bookmarkEnd w:id="6"/>
    </w:p>
    <w:p w:rsidR="0091758F" w:rsidRDefault="004908C3">
      <w:pPr>
        <w:pStyle w:val="EPComma"/>
        <w:rPr>
          <w:i/>
          <w:noProof/>
        </w:rPr>
      </w:pPr>
      <w:r>
        <w:rPr>
          <w:i/>
        </w:rPr>
        <w:t>Európsky parlament,</w:t>
      </w:r>
    </w:p>
    <w:p w:rsidR="0091758F" w:rsidRDefault="004908C3">
      <w:pPr>
        <w:pStyle w:val="NormalHanging12a"/>
        <w:rPr>
          <w:noProof/>
        </w:rPr>
      </w:pPr>
      <w:r>
        <w:t>–</w:t>
      </w:r>
      <w:r>
        <w:tab/>
        <w:t>so zreteľom na návrh Komisie pre Európsky parlament a Radu (COM(2024)0480 – C10</w:t>
      </w:r>
      <w:r>
        <w:noBreakHyphen/>
        <w:t>0162/2024),</w:t>
      </w:r>
    </w:p>
    <w:p w:rsidR="0091758F" w:rsidRDefault="004908C3">
      <w:pPr>
        <w:pStyle w:val="NormalHanging12a"/>
        <w:rPr>
          <w:noProof/>
        </w:rPr>
      </w:pPr>
      <w:r>
        <w:t>–</w:t>
      </w:r>
      <w:r>
        <w:tab/>
        <w:t>so zreteľom na nariadenie Rady (ES) č. 2012/2002 z 11. novembra 2002, ktorým sa zriaďuje F</w:t>
      </w:r>
      <w:r>
        <w:t>ond solidarity Európskej únie</w:t>
      </w:r>
      <w:r>
        <w:rPr>
          <w:rStyle w:val="FootnoteReference"/>
        </w:rPr>
        <w:footnoteReference w:id="1"/>
      </w:r>
      <w:r>
        <w:t>,</w:t>
      </w:r>
    </w:p>
    <w:p w:rsidR="0091758F" w:rsidRDefault="004908C3">
      <w:pPr>
        <w:pStyle w:val="NormalHanging12a"/>
        <w:rPr>
          <w:noProof/>
        </w:rPr>
      </w:pPr>
      <w:r>
        <w:t>–</w:t>
      </w:r>
      <w:r>
        <w:tab/>
        <w:t xml:space="preserve">so zreteľom na nariadenie Rady (EÚ, </w:t>
      </w:r>
      <w:proofErr w:type="spellStart"/>
      <w:r>
        <w:t>Euratom</w:t>
      </w:r>
      <w:proofErr w:type="spellEnd"/>
      <w:r>
        <w:t>) 2020/2093 zo 17. decembra 2020, ktorým sa stanovuje viacročný finančný rámec na roky 2021 až 2027</w:t>
      </w:r>
      <w:r>
        <w:rPr>
          <w:rStyle w:val="FootnoteReference"/>
          <w:noProof/>
        </w:rPr>
        <w:footnoteReference w:id="2"/>
      </w:r>
      <w:r>
        <w:t>, a najmä na jeho článok 9,</w:t>
      </w:r>
    </w:p>
    <w:p w:rsidR="0091758F" w:rsidRDefault="004908C3">
      <w:pPr>
        <w:pStyle w:val="NormalHanging12a"/>
        <w:rPr>
          <w:noProof/>
        </w:rPr>
      </w:pPr>
      <w:r>
        <w:t>–</w:t>
      </w:r>
      <w:r>
        <w:tab/>
        <w:t xml:space="preserve">so zreteľom na </w:t>
      </w:r>
      <w:proofErr w:type="spellStart"/>
      <w:r>
        <w:t>Medziinštitucionálnu</w:t>
      </w:r>
      <w:proofErr w:type="spellEnd"/>
      <w:r>
        <w:t xml:space="preserve"> dohodu zo 16. decembra 2020 medzi Európskym parlamentom, Radou Európskej únie a Európskou komisiou o rozpočtovej disciplíne, spolupráci v rozpočtových záležitostiach a správnom finančnom riadení, ako aj o nových vlastných zdrojoch vrátane plánu na zaveden</w:t>
      </w:r>
      <w:r>
        <w:t>ie nových vlastných zdrojov</w:t>
      </w:r>
      <w:r>
        <w:rPr>
          <w:rStyle w:val="FootnoteReference"/>
          <w:noProof/>
        </w:rPr>
        <w:footnoteReference w:id="3"/>
      </w:r>
      <w:r>
        <w:t>, a najmä na jej bod 10,</w:t>
      </w:r>
    </w:p>
    <w:p w:rsidR="0091758F" w:rsidRDefault="004908C3">
      <w:pPr>
        <w:pStyle w:val="NormalHanging12a"/>
      </w:pPr>
      <w:r>
        <w:t>–</w:t>
      </w:r>
      <w:r>
        <w:tab/>
        <w:t>so zreteľom na nariadenie Európskeho parlamentu a Rady (EÚ) 2021/1058 z 24. júna 2021 o Európskom fonde regionálneho rozvoja a Kohéznom fonde</w:t>
      </w:r>
      <w:r>
        <w:rPr>
          <w:rStyle w:val="FootnoteReference"/>
        </w:rPr>
        <w:footnoteReference w:id="4"/>
      </w:r>
      <w:r>
        <w:t xml:space="preserve">, </w:t>
      </w:r>
    </w:p>
    <w:p w:rsidR="0091758F" w:rsidRDefault="004908C3">
      <w:pPr>
        <w:pStyle w:val="NormalHanging12a"/>
        <w:rPr>
          <w:noProof/>
        </w:rPr>
      </w:pPr>
      <w:r>
        <w:t>–</w:t>
      </w:r>
      <w:r>
        <w:tab/>
        <w:t>so zreteľom na nariadenie Európskeho parlamentu a Rady</w:t>
      </w:r>
      <w:r>
        <w:t xml:space="preserve"> (EÚ) 2021/2115 z 2. decembra 2021, ktorým sa stanovujú pravidlá podpory strategických plánov, ktoré majú </w:t>
      </w:r>
      <w:r>
        <w:lastRenderedPageBreak/>
        <w:t>zostaviť členské štáty v rámci spoločnej poľnohospodárskej politiky (strategické plány SPP) a ktoré sú financované z Európskeho poľnohospodárskeho zár</w:t>
      </w:r>
      <w:r>
        <w:t>učného fondu (EPZF) a Európskeho poľnohospodárskeho fondu pre rozvoj vidieka (ďalej len „EPFRV“), a ktorým sa zrušujú nariadenia (EÚ) č. 1305/2013 a (EÚ) č. 1307/2013</w:t>
      </w:r>
      <w:r>
        <w:rPr>
          <w:rStyle w:val="FootnoteReference"/>
          <w:noProof/>
        </w:rPr>
        <w:footnoteReference w:id="5"/>
      </w:r>
      <w:r>
        <w:t xml:space="preserve">, </w:t>
      </w:r>
    </w:p>
    <w:p w:rsidR="0091758F" w:rsidRDefault="004908C3">
      <w:pPr>
        <w:pStyle w:val="NormalWeb"/>
        <w:shd w:val="clear" w:color="auto" w:fill="FFFFFF"/>
        <w:ind w:left="567" w:hanging="567"/>
      </w:pPr>
      <w:r>
        <w:t>–</w:t>
      </w:r>
      <w:r>
        <w:tab/>
        <w:t xml:space="preserve">so zreteľom na svoje uznesenie z 27. februára 2024 o návrhu nariadenia Rady, ktorým </w:t>
      </w:r>
      <w:r>
        <w:t xml:space="preserve">sa mení nariadenie (EÚ, </w:t>
      </w:r>
      <w:proofErr w:type="spellStart"/>
      <w:r>
        <w:t>Euratom</w:t>
      </w:r>
      <w:proofErr w:type="spellEnd"/>
      <w:r>
        <w:t>) 2020/2093, ktorým sa stanovuje viacročný finančný rámec na roky 2021 – 2027</w:t>
      </w:r>
      <w:r>
        <w:rPr>
          <w:rStyle w:val="FootnoteReference"/>
        </w:rPr>
        <w:footnoteReference w:id="6"/>
      </w:r>
      <w:r>
        <w:t>,</w:t>
      </w:r>
    </w:p>
    <w:p w:rsidR="0091758F" w:rsidRDefault="004908C3">
      <w:pPr>
        <w:pStyle w:val="NormalWeb"/>
        <w:shd w:val="clear" w:color="auto" w:fill="FFFFFF"/>
        <w:ind w:left="567" w:hanging="567"/>
      </w:pPr>
      <w:r>
        <w:t>–</w:t>
      </w:r>
      <w:r>
        <w:rPr>
          <w:b/>
          <w:i/>
        </w:rPr>
        <w:tab/>
      </w:r>
      <w:r>
        <w:t>so zreteľom na svoje uznesenie z 20. októbra 2021 o efektívnosti využitia finančných prostriedkov EÚ z Fondu solidarity v prípade prírodných ka</w:t>
      </w:r>
      <w:r>
        <w:t>tastrof členskými štátmi</w:t>
      </w:r>
      <w:r>
        <w:rPr>
          <w:rStyle w:val="FootnoteReference"/>
        </w:rPr>
        <w:footnoteReference w:id="7"/>
      </w:r>
      <w:r>
        <w:t>,</w:t>
      </w:r>
    </w:p>
    <w:p w:rsidR="0091758F" w:rsidRDefault="004908C3">
      <w:pPr>
        <w:pStyle w:val="NormalWeb"/>
        <w:shd w:val="clear" w:color="auto" w:fill="FFFFFF"/>
        <w:ind w:left="567" w:hanging="567"/>
      </w:pPr>
      <w:r>
        <w:t>–</w:t>
      </w:r>
      <w:r>
        <w:rPr>
          <w:b/>
          <w:i/>
        </w:rPr>
        <w:tab/>
      </w:r>
      <w:r>
        <w:t>so zreteľom na svoje uznesenie z 18. mája 2021 o preskúmaní Fondu solidarity Európskej únie</w:t>
      </w:r>
      <w:r>
        <w:rPr>
          <w:rStyle w:val="FootnoteReference"/>
        </w:rPr>
        <w:footnoteReference w:id="8"/>
      </w:r>
      <w:r>
        <w:t>,</w:t>
      </w:r>
    </w:p>
    <w:p w:rsidR="0091758F" w:rsidRDefault="004908C3">
      <w:pPr>
        <w:pStyle w:val="NormalHanging12a"/>
      </w:pPr>
      <w:r>
        <w:t>–</w:t>
      </w:r>
      <w:r>
        <w:tab/>
        <w:t>so zreteľom na správu Výboru pre rozpočet (A10</w:t>
      </w:r>
      <w:r>
        <w:noBreakHyphen/>
        <w:t>0020/2024),</w:t>
      </w:r>
    </w:p>
    <w:p w:rsidR="0091758F" w:rsidRDefault="004908C3">
      <w:pPr>
        <w:pStyle w:val="NormalHanging12a"/>
      </w:pPr>
      <w:r>
        <w:t>A.</w:t>
      </w:r>
      <w:r>
        <w:tab/>
        <w:t>keďže 30. mája 2024 zasiahli Nemecko prívalové dažde, ktoré začiatkom</w:t>
      </w:r>
      <w:r>
        <w:t xml:space="preserve"> júna spôsobili v južnom Nemecku extrémne záplavy, ktoré si vyžiadali šesť obetí na životoch a podľa Komisie spôsobili celkové priame škody vo výške 4 131,6 milióna EUR;</w:t>
      </w:r>
    </w:p>
    <w:p w:rsidR="0091758F" w:rsidRDefault="004908C3">
      <w:pPr>
        <w:pStyle w:val="NormalWeb"/>
        <w:shd w:val="clear" w:color="auto" w:fill="FFFFFF"/>
        <w:ind w:left="567" w:hanging="567"/>
      </w:pPr>
      <w:r>
        <w:t>B.</w:t>
      </w:r>
      <w:r>
        <w:tab/>
      </w:r>
      <w:r>
        <w:t xml:space="preserve">keďže 29. júna 2024 boli v Taliansku silné búrky, následkom čoho sa rieky a potoky v autonómnom regióne </w:t>
      </w:r>
      <w:proofErr w:type="spellStart"/>
      <w:r>
        <w:t>Valle</w:t>
      </w:r>
      <w:proofErr w:type="spellEnd"/>
      <w:r>
        <w:t xml:space="preserve"> </w:t>
      </w:r>
      <w:proofErr w:type="spellStart"/>
      <w:r>
        <w:t>d’Aosta</w:t>
      </w:r>
      <w:proofErr w:type="spellEnd"/>
      <w:r>
        <w:t xml:space="preserve"> vyliali z korýt, čo viedlo k celkovým priamym škodám, ktoré talianske orgány odhadli na 158,39 milióna EUR;</w:t>
      </w:r>
    </w:p>
    <w:p w:rsidR="0091758F" w:rsidRDefault="004908C3">
      <w:pPr>
        <w:spacing w:after="240"/>
        <w:ind w:left="567" w:hanging="567"/>
        <w:rPr>
          <w:szCs w:val="24"/>
          <w:shd w:val="clear" w:color="auto" w:fill="FFFFFF"/>
        </w:rPr>
      </w:pPr>
      <w:r>
        <w:t>1.</w:t>
      </w:r>
      <w:r>
        <w:tab/>
        <w:t xml:space="preserve">vyjadruje </w:t>
      </w:r>
      <w:r>
        <w:rPr>
          <w:shd w:val="clear" w:color="auto" w:fill="FFFFFF"/>
        </w:rPr>
        <w:t>hlbokú solidaritu</w:t>
      </w:r>
      <w:r>
        <w:rPr>
          <w:shd w:val="clear" w:color="auto" w:fill="FFFFFF"/>
        </w:rPr>
        <w:t xml:space="preserve"> so všetkými obeťami, ich rodinami a všetkými osobami postihnutým ničivými záplavami v Nemecku a Taliansku, ako aj s vnútroštátnymi, regionálnymi a miestnymi orgánmi zapojenými do poskytovania pomoci;</w:t>
      </w:r>
    </w:p>
    <w:p w:rsidR="0091758F" w:rsidRDefault="004908C3">
      <w:pPr>
        <w:spacing w:after="240"/>
        <w:ind w:left="567" w:hanging="567"/>
      </w:pPr>
      <w:r>
        <w:t>2.</w:t>
      </w:r>
      <w:r>
        <w:tab/>
        <w:t>víta toto rozhodnutie ako konkrétnu a viditeľnú form</w:t>
      </w:r>
      <w:r>
        <w:t>u solidarity Únie s jej občanmi a regiónmi v postihnutých oblastiach v Nemecku a Taliansku;</w:t>
      </w:r>
    </w:p>
    <w:p w:rsidR="0091758F" w:rsidRDefault="004908C3">
      <w:pPr>
        <w:spacing w:after="240"/>
        <w:ind w:left="567" w:hanging="567"/>
      </w:pPr>
      <w:r>
        <w:t>3.</w:t>
      </w:r>
      <w:r>
        <w:tab/>
        <w:t>opätovne pripomína, že je dôležité informovať verejnosť o reálnych výhodách, ktoré prináša Fond solidarity Európskej únie (ďalej len „FSEÚ“), a to aj s cieľom ďa</w:t>
      </w:r>
      <w:r>
        <w:t>lej zvyšovať povedomie občanov o nástrojoch a programoch Únie;</w:t>
      </w:r>
    </w:p>
    <w:p w:rsidR="0091758F" w:rsidRDefault="004908C3">
      <w:pPr>
        <w:spacing w:after="240"/>
        <w:ind w:left="567" w:hanging="567"/>
      </w:pPr>
      <w:r>
        <w:t>4.</w:t>
      </w:r>
      <w:r>
        <w:tab/>
        <w:t>upozorňuje na rastúci počet závažných, ničivých a smrteľných prírodných katastrof v Európe a vyzýva členské štáty a Komisiu, aby investovali do opatrení na zmiernenie zmeny klímy a adaptáciu</w:t>
      </w:r>
      <w:r>
        <w:t xml:space="preserve"> na ňu s cieľom zabrániť stratám na ľudských životoch a hospodárskym stratám;</w:t>
      </w:r>
      <w:r>
        <w:rPr>
          <w:b/>
          <w:i/>
        </w:rPr>
        <w:t xml:space="preserve"> </w:t>
      </w:r>
      <w:r>
        <w:t xml:space="preserve">domnieva sa, že vzhľadom na nadchádzajúci návrh Komisie o novom viacročnom finančnom rámci a následné </w:t>
      </w:r>
      <w:proofErr w:type="spellStart"/>
      <w:r>
        <w:t>medziinštitucionálne</w:t>
      </w:r>
      <w:proofErr w:type="spellEnd"/>
      <w:r>
        <w:t xml:space="preserve"> rokovania by sa mal výrazne zvýšiť rozpočet FSEÚ alebo </w:t>
      </w:r>
      <w:r>
        <w:t xml:space="preserve">jeho ekvivalentu a že FSEÚ alebo jeho ekvivalent musí občanom poskytovať pomoc primeranú rozsahu takýchto katastrof; </w:t>
      </w:r>
      <w:r>
        <w:rPr>
          <w:bCs/>
          <w:iCs/>
        </w:rPr>
        <w:t>konštatuje, že výrazné zvýšenie prostriedkov vo FSEÚ by členským štátom umožnilo účinnejšie a rýchlejšie reagovať na katastrofy, pričom iné</w:t>
      </w:r>
      <w:r>
        <w:rPr>
          <w:bCs/>
          <w:iCs/>
        </w:rPr>
        <w:t xml:space="preserve"> nástroje, najmä kohézne fondy, ktorých hlavným účelom nie je reakcia na katastrofy, by sa mohli zachovať;</w:t>
      </w:r>
    </w:p>
    <w:p w:rsidR="0091758F" w:rsidRDefault="004908C3">
      <w:pPr>
        <w:spacing w:after="240"/>
        <w:ind w:left="567" w:hanging="567"/>
      </w:pPr>
      <w:r>
        <w:lastRenderedPageBreak/>
        <w:t>5.</w:t>
      </w:r>
      <w:r>
        <w:tab/>
        <w:t>poukazuje na značné škody spôsobené povodňami na poľnohospodárskej pôde a poľnohospodárskych podnikoch, dopravnej infraštruktúre a najmä malých de</w:t>
      </w:r>
      <w:r>
        <w:t xml:space="preserve">dinách a mestách mimo mestských regiónov; zdôrazňuje, že v dôsledku zmeny klímy sú ostrovy a pobrežné regióny obzvlášť zraniteľné voči prírodným katastrofám; uznáva, že javy ako zemetrasenia, záplavy, sopečné erupcie a suchá, ktoré majú vplyv aj na jazerá </w:t>
      </w:r>
      <w:r>
        <w:t>a rieky, sú rastúcou hrozbou pre mnohé európske regióny, najmä v Stredozemí; kladie si otázku, či je FSEÚ primerane zosúladený s núdzovými potrebami súvisiacimi s adaptáciou na zmenu klímy na týchto obzvlášť ohrozených územiach; domnieva sa preto, že ostro</w:t>
      </w:r>
      <w:r>
        <w:t>vy a pobrežné regióny by mali dostať primerané finančné prostriedky v rámci FSEÚ na riešenie ich osobitných zraniteľných miest; vyzýva členské štáty, aby brali do úvahy, že prírodné katastrofy postihujú najmä zraniteľné obyvateľstvo v dôsledku sociálno-eko</w:t>
      </w:r>
      <w:r>
        <w:t>nomických faktorov, ktoré ešte viac obmedzujú ich schopnosť zotaviť sa;</w:t>
      </w:r>
    </w:p>
    <w:p w:rsidR="0091758F" w:rsidRDefault="004908C3">
      <w:pPr>
        <w:spacing w:after="240"/>
        <w:ind w:left="567" w:hanging="567"/>
      </w:pPr>
      <w:r>
        <w:t>6.</w:t>
      </w:r>
      <w:r>
        <w:tab/>
        <w:t>zdôrazňuje, že FSEÚ je len nástrojom nápravy a že Únia by mala pokračovať aj v adaptácii na zmenu klímy a jej zmierňovaní tým, že bude podporovať európske a vnútroštátne politiky na</w:t>
      </w:r>
      <w:r>
        <w:t xml:space="preserve"> predchádzanie prírodným katastrofám; zdôrazňuje, že správa EEA č. 1/2024 s názvom Európske posúdenie klimatických rizík upozornila na nepripravenosť Únie na účinky zmeny klímy a že treba prijať opatrenia, ktoré zabránia tomu, aby zistené klimatické riziká</w:t>
      </w:r>
      <w:r>
        <w:t xml:space="preserve"> dosiahli kritické úrovne; vyzýva členské štáty a Komisiu, aby prijali potrebné opatrenia s cieľom priviesť Úniu k splneniu záväzkov prijatých v Parížskej dohode; pripomína, že treba vytvoriť účinné synergie s ostatnými politikami a programami Únie, a zdôr</w:t>
      </w:r>
      <w:r>
        <w:t>azňuje, že členské štáty by mali čo najlepšie využívať možnosti financovania, najmä z Európskeho fondu regionálneho rozvoja, Európskeho sociálneho fondu plus a programov rozvoja vidieka;</w:t>
      </w:r>
      <w:r>
        <w:rPr>
          <w:bCs/>
        </w:rPr>
        <w:t xml:space="preserve"> </w:t>
      </w:r>
      <w:r>
        <w:t>vyzýva Komisiu, aby s náležitou naliehavosťou posúdila všetky odôvodn</w:t>
      </w:r>
      <w:r>
        <w:t>ené žiadosti členských štátov o prerozdelenie finančných prostriedkov v rámci národných plánov obnovy a odolnosti na pomoc pri prírodných katastrofách v súlade s pravidlami stanovenými v nariadení  Európskeho parlamentu a Rady (EÚ) 2021/241</w:t>
      </w:r>
      <w:r>
        <w:rPr>
          <w:rStyle w:val="FootnoteReference"/>
        </w:rPr>
        <w:footnoteReference w:id="9"/>
      </w:r>
      <w:r>
        <w:t>; zdôrazňuje, ž</w:t>
      </w:r>
      <w:r>
        <w:t>e je takisto potrebné prijať preventívne opatrenia, a to nielen s cieľom zmierniť budúce škody, ale aj zabrániť zhoršeniu rizikových podmienok po katastrofických udalostiach, ako sú povodne, prírodné požiare, zosuvy pôdy alebo vysušovanie jazier a riek; zd</w:t>
      </w:r>
      <w:r>
        <w:t xml:space="preserve">ôrazňuje význam primeranej flexibility medzi rôznymi programami; zdôrazňuje, že pomoc poskytovaná v rámci FSEÚ by nemala byť na úkor finančných prostriedkov Únie, ktoré členské štáty prijímajú z iných programov alebo politík Únie; </w:t>
      </w:r>
      <w:r>
        <w:rPr>
          <w:bCs/>
          <w:iCs/>
        </w:rPr>
        <w:t>pripomína, že členské štá</w:t>
      </w:r>
      <w:r>
        <w:rPr>
          <w:bCs/>
          <w:iCs/>
        </w:rPr>
        <w:t>ty môžu poskytovať štátnu pomoc v súlade s platnými pravidlami Únie, a to najmä poľnohospodárskym podnikom, ktoré utrpeli škody v dôsledku prírodných katastrof;</w:t>
      </w:r>
    </w:p>
    <w:p w:rsidR="0091758F" w:rsidRDefault="004908C3">
      <w:pPr>
        <w:spacing w:after="240"/>
        <w:ind w:left="567" w:hanging="567"/>
      </w:pPr>
      <w:r>
        <w:t>7.</w:t>
      </w:r>
      <w:r>
        <w:tab/>
        <w:t>berie na vedomie, že Komisia v snahe umožniť flexibilnejšie využívanie finančných prostriedk</w:t>
      </w:r>
      <w:r>
        <w:t>ov predložila 21. októbra 2024 legislatívny návrh týkajúci sa regionálnej núdzovej podpory obnovy po prírodnej katastrofe</w:t>
      </w:r>
      <w:r>
        <w:rPr>
          <w:rStyle w:val="FootnoteReference"/>
        </w:rPr>
        <w:footnoteReference w:id="10"/>
      </w:r>
      <w:r>
        <w:t xml:space="preserve"> a osobitných opatrení v rámci Európskeho poľnohospodárskeho fondu pre rozvoj vidieka (EPFRV) na poskytovanie </w:t>
      </w:r>
      <w:r>
        <w:lastRenderedPageBreak/>
        <w:t>dodatočnej pomoci člensk</w:t>
      </w:r>
      <w:r>
        <w:t>ým štátom zasiahnutým prírodnými katastrofami</w:t>
      </w:r>
      <w:r>
        <w:rPr>
          <w:rStyle w:val="FootnoteReference"/>
        </w:rPr>
        <w:footnoteReference w:id="11"/>
      </w:r>
      <w:r>
        <w:t>;</w:t>
      </w:r>
    </w:p>
    <w:p w:rsidR="0091758F" w:rsidRDefault="004908C3">
      <w:pPr>
        <w:spacing w:after="240"/>
        <w:ind w:left="567" w:hanging="567"/>
      </w:pPr>
      <w:r>
        <w:t>8.</w:t>
      </w:r>
      <w:r>
        <w:tab/>
        <w:t>pripomína význam rýchleho a spoľahlivého odhadovania škôd, pri ktorom sa náležite zohľadňujú hospodárske dôsledky, a vyzýva na posilnenie pracovného úsilia, aby sa skrátil priemerný čas na vyplatenie záloh</w:t>
      </w:r>
      <w:r>
        <w:t>ových platieb a zároveň sa zaručila ochrana rozpočtu Únie;</w:t>
      </w:r>
    </w:p>
    <w:p w:rsidR="0091758F" w:rsidRDefault="004908C3">
      <w:pPr>
        <w:spacing w:after="240"/>
        <w:ind w:left="567" w:hanging="567"/>
      </w:pPr>
      <w:r>
        <w:t>9.</w:t>
      </w:r>
      <w:r>
        <w:tab/>
        <w:t xml:space="preserve">zdôrazňuje naliehavú potrebu uvoľniť z FSEÚ okamžitú finančnú pomoc, aby sa podpora mohla včas dostať do postihnutých regiónov; </w:t>
      </w:r>
    </w:p>
    <w:p w:rsidR="0091758F" w:rsidRDefault="004908C3">
      <w:pPr>
        <w:spacing w:after="240"/>
        <w:ind w:left="567" w:hanging="567"/>
      </w:pPr>
      <w:r>
        <w:t>10.</w:t>
      </w:r>
      <w:r>
        <w:tab/>
        <w:t>schvaľuje rozhodnutie, ktoré je uvedené v prílohe k tomuto uz</w:t>
      </w:r>
      <w:r>
        <w:t>neseniu;</w:t>
      </w:r>
    </w:p>
    <w:p w:rsidR="0091758F" w:rsidRDefault="004908C3">
      <w:pPr>
        <w:spacing w:after="240"/>
        <w:ind w:left="567" w:hanging="567"/>
      </w:pPr>
      <w:r>
        <w:t>11.</w:t>
      </w:r>
      <w:r>
        <w:tab/>
        <w:t xml:space="preserve">poveruje svoju predsedníčku, aby podpísala toto rozhodnutie spoločne s predsedom Rady a aby zabezpečila jeho uverejnenie v </w:t>
      </w:r>
      <w:r>
        <w:rPr>
          <w:i/>
        </w:rPr>
        <w:t>Úradnom vestníku Európskej únie</w:t>
      </w:r>
      <w:r>
        <w:t>;</w:t>
      </w:r>
    </w:p>
    <w:p w:rsidR="0091758F" w:rsidRDefault="004908C3">
      <w:pPr>
        <w:spacing w:after="240"/>
        <w:ind w:left="567" w:hanging="567"/>
      </w:pPr>
      <w:r>
        <w:t>12.</w:t>
      </w:r>
      <w:r>
        <w:tab/>
        <w:t>poveruje svoju predsedníčku, aby postúpila toto uznesenie spolu s prílohou Rade a K</w:t>
      </w:r>
      <w:r>
        <w:t>omisii.</w:t>
      </w:r>
    </w:p>
    <w:p w:rsidR="0091758F" w:rsidRDefault="0091758F">
      <w:pPr>
        <w:rPr>
          <w:noProof/>
        </w:rPr>
      </w:pPr>
    </w:p>
    <w:p w:rsidR="0091758F" w:rsidRDefault="0091758F">
      <w:pPr>
        <w:pStyle w:val="PageHeading"/>
        <w:rPr>
          <w:noProof/>
        </w:rPr>
        <w:sectPr w:rsidR="0091758F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91758F" w:rsidRDefault="004908C3">
      <w:pPr>
        <w:pStyle w:val="PageHeading"/>
        <w:jc w:val="right"/>
        <w:rPr>
          <w:rFonts w:ascii="Times New Roman" w:hAnsi="Times New Roman" w:cs="Times New Roman"/>
        </w:rPr>
      </w:pPr>
      <w:bookmarkStart w:id="7" w:name="_Toc182390222"/>
      <w:bookmarkStart w:id="8" w:name="_Toc183523887"/>
      <w:r>
        <w:rPr>
          <w:rFonts w:ascii="Times New Roman" w:hAnsi="Times New Roman" w:cs="Times New Roman"/>
        </w:rPr>
        <w:lastRenderedPageBreak/>
        <w:t>PRÍLOHA</w:t>
      </w:r>
    </w:p>
    <w:p w:rsidR="0091758F" w:rsidRDefault="004908C3">
      <w:pPr>
        <w:pStyle w:val="PageHeading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</w:rPr>
        <w:t>ROZHODNUTIE EURÓPSKEHO PARLAMENTU A RADY</w:t>
      </w:r>
      <w:bookmarkEnd w:id="7"/>
      <w:bookmarkEnd w:id="8"/>
    </w:p>
    <w:p w:rsidR="0091758F" w:rsidRDefault="004908C3">
      <w:pPr>
        <w:pStyle w:val="NormalBold24a"/>
        <w:jc w:val="center"/>
      </w:pPr>
      <w:r>
        <w:t xml:space="preserve">o mobilizácii Fondu solidarity Európskej únie na účely poskytnutia pomoci Nemecku </w:t>
      </w:r>
      <w:r>
        <w:t>a Taliansku v súvislosti s</w:t>
      </w:r>
      <w:bookmarkStart w:id="9" w:name="_GoBack"/>
      <w:bookmarkEnd w:id="9"/>
      <w:r>
        <w:t xml:space="preserve"> povodňami v roku 2024</w:t>
      </w:r>
    </w:p>
    <w:p w:rsidR="004908C3" w:rsidRDefault="004908C3">
      <w:pPr>
        <w:pStyle w:val="NormalBold24a"/>
        <w:jc w:val="center"/>
      </w:pPr>
    </w:p>
    <w:p w:rsidR="004908C3" w:rsidRPr="00731EF8" w:rsidRDefault="004908C3" w:rsidP="004908C3">
      <w:pPr>
        <w:rPr>
          <w:i/>
          <w:iCs/>
        </w:rPr>
      </w:pPr>
      <w:r w:rsidRPr="00731EF8">
        <w:rPr>
          <w:bCs/>
          <w:i/>
          <w:iCs/>
        </w:rPr>
        <w:t xml:space="preserve">(Znenie tejto </w:t>
      </w:r>
      <w:r w:rsidRPr="004908C3">
        <w:rPr>
          <w:bCs/>
          <w:i/>
          <w:iCs/>
        </w:rPr>
        <w:t>prílohy sa neuvádza, pretože zodpovedá konečnému aktu, rozhodnutiu (EÚ) 202</w:t>
      </w:r>
      <w:r>
        <w:rPr>
          <w:bCs/>
          <w:i/>
          <w:iCs/>
        </w:rPr>
        <w:t>4</w:t>
      </w:r>
      <w:r w:rsidRPr="004908C3">
        <w:rPr>
          <w:bCs/>
          <w:i/>
          <w:iCs/>
        </w:rPr>
        <w:t>/</w:t>
      </w:r>
      <w:r>
        <w:rPr>
          <w:bCs/>
          <w:i/>
          <w:iCs/>
        </w:rPr>
        <w:t>3105</w:t>
      </w:r>
      <w:r w:rsidRPr="004908C3">
        <w:rPr>
          <w:bCs/>
          <w:i/>
          <w:iCs/>
        </w:rPr>
        <w:t>.)</w:t>
      </w:r>
    </w:p>
    <w:p w:rsidR="004908C3" w:rsidRDefault="004908C3">
      <w:pPr>
        <w:pStyle w:val="NormalBold24a"/>
        <w:jc w:val="center"/>
      </w:pPr>
    </w:p>
    <w:sectPr w:rsidR="004908C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758F" w:rsidRDefault="004908C3">
      <w:r>
        <w:separator/>
      </w:r>
    </w:p>
  </w:endnote>
  <w:endnote w:type="continuationSeparator" w:id="0">
    <w:p w:rsidR="0091758F" w:rsidRDefault="00490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758F" w:rsidRDefault="004908C3">
    <w:pPr>
      <w:pStyle w:val="EPFooter"/>
    </w:pPr>
    <w:r>
      <w:t>PE</w:t>
    </w:r>
    <w:r>
      <w:rPr>
        <w:rStyle w:val="HideTWBExt"/>
      </w:rPr>
      <w:t>&lt;</w:t>
    </w:r>
    <w:proofErr w:type="spellStart"/>
    <w:r>
      <w:rPr>
        <w:rStyle w:val="HideTWBExt"/>
      </w:rPr>
      <w:t>NoPE</w:t>
    </w:r>
    <w:proofErr w:type="spellEnd"/>
    <w:r>
      <w:rPr>
        <w:rStyle w:val="HideTWBExt"/>
      </w:rPr>
      <w:t>&gt;</w:t>
    </w:r>
    <w:r>
      <w:t>765.249</w:t>
    </w:r>
    <w:r>
      <w:rPr>
        <w:rStyle w:val="HideTWBExt"/>
      </w:rPr>
      <w:t>&lt;/</w:t>
    </w:r>
    <w:proofErr w:type="spellStart"/>
    <w:r>
      <w:rPr>
        <w:rStyle w:val="HideTWBExt"/>
      </w:rPr>
      <w:t>NoPE</w:t>
    </w:r>
    <w:proofErr w:type="spellEnd"/>
    <w:r>
      <w:rPr>
        <w:rStyle w:val="HideTWBExt"/>
      </w:rPr>
      <w:t>&gt;&lt;Version&gt;</w:t>
    </w:r>
    <w:r>
      <w:t>v02-00</w:t>
    </w:r>
    <w:r>
      <w:rPr>
        <w:rStyle w:val="HideTWBExt"/>
      </w:rPr>
      <w:t>&lt;/</w:t>
    </w:r>
    <w:proofErr w:type="spellStart"/>
    <w:r>
      <w:rPr>
        <w:rStyle w:val="HideTWBExt"/>
      </w:rPr>
      <w:t>Version</w:t>
    </w:r>
    <w:proofErr w:type="spellEnd"/>
    <w:r>
      <w:rPr>
        <w:rStyle w:val="HideTWBExt"/>
      </w:rPr>
      <w:t>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  <w:r>
      <w:t>/</w:t>
    </w:r>
    <w:r>
      <w:fldChar w:fldCharType="begin"/>
    </w:r>
    <w:r>
      <w:instrText xml:space="preserve"> NUMPAGES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  <w:r>
      <w:tab/>
    </w:r>
    <w:r>
      <w:rPr>
        <w:rStyle w:val="HideTWBExt"/>
      </w:rPr>
      <w:t>&lt;PathFdR&gt;</w:t>
    </w:r>
    <w:r>
      <w:t>RR\1310801SK.docx</w:t>
    </w:r>
    <w:r>
      <w:rPr>
        <w:rStyle w:val="HideTWBExt"/>
      </w:rPr>
      <w:t>&lt;/</w:t>
    </w:r>
    <w:proofErr w:type="spellStart"/>
    <w:r>
      <w:rPr>
        <w:rStyle w:val="HideTWBExt"/>
      </w:rPr>
      <w:t>PathFdR</w:t>
    </w:r>
    <w:proofErr w:type="spellEnd"/>
    <w:r>
      <w:rPr>
        <w:rStyle w:val="HideTWBExt"/>
      </w:rPr>
      <w:t>&gt;</w:t>
    </w:r>
  </w:p>
  <w:p w:rsidR="0091758F" w:rsidRDefault="004908C3">
    <w:pPr>
      <w:pStyle w:val="EPFooter2"/>
    </w:pPr>
    <w:r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758F" w:rsidRDefault="004908C3">
    <w:pPr>
      <w:pStyle w:val="EPFooter"/>
    </w:pPr>
    <w:r>
      <w:rPr>
        <w:rStyle w:val="HideTWBExt"/>
      </w:rPr>
      <w:t>&lt;PathFdR&gt;</w:t>
    </w:r>
    <w:r>
      <w:t>RR\1310801SK.docx</w:t>
    </w:r>
    <w:r>
      <w:rPr>
        <w:rStyle w:val="HideTWBExt"/>
      </w:rPr>
      <w:t>&lt;/</w:t>
    </w:r>
    <w:proofErr w:type="spellStart"/>
    <w:r>
      <w:rPr>
        <w:rStyle w:val="HideTWBExt"/>
      </w:rPr>
      <w:t>PathFdR</w:t>
    </w:r>
    <w:proofErr w:type="spellEnd"/>
    <w:r>
      <w:rPr>
        <w:rStyle w:val="HideTWBExt"/>
      </w:rPr>
      <w:t>&gt;</w:t>
    </w:r>
    <w:r>
      <w:tab/>
    </w:r>
    <w:r>
      <w:tab/>
      <w:t>PE</w:t>
    </w:r>
    <w:r>
      <w:rPr>
        <w:rStyle w:val="HideTWBExt"/>
      </w:rPr>
      <w:t>&lt;</w:t>
    </w:r>
    <w:proofErr w:type="spellStart"/>
    <w:r>
      <w:rPr>
        <w:rStyle w:val="HideTWBExt"/>
      </w:rPr>
      <w:t>NoPE</w:t>
    </w:r>
    <w:proofErr w:type="spellEnd"/>
    <w:r>
      <w:rPr>
        <w:rStyle w:val="HideTWBExt"/>
      </w:rPr>
      <w:t>&gt;</w:t>
    </w:r>
    <w:r>
      <w:t>765.249</w:t>
    </w:r>
    <w:r>
      <w:rPr>
        <w:rStyle w:val="HideTWBExt"/>
      </w:rPr>
      <w:t>&lt;/</w:t>
    </w:r>
    <w:proofErr w:type="spellStart"/>
    <w:r>
      <w:rPr>
        <w:rStyle w:val="HideTWBExt"/>
      </w:rPr>
      <w:t>NoPE</w:t>
    </w:r>
    <w:proofErr w:type="spellEnd"/>
    <w:r>
      <w:rPr>
        <w:rStyle w:val="HideTWBExt"/>
      </w:rPr>
      <w:t>&gt;&lt;Version&gt;</w:t>
    </w:r>
    <w:r>
      <w:t>v02-00</w:t>
    </w:r>
    <w:r>
      <w:rPr>
        <w:rStyle w:val="HideTWBExt"/>
      </w:rPr>
      <w:t>&lt;/</w:t>
    </w:r>
    <w:proofErr w:type="spellStart"/>
    <w:r>
      <w:rPr>
        <w:rStyle w:val="HideTWBExt"/>
      </w:rPr>
      <w:t>Version</w:t>
    </w:r>
    <w:proofErr w:type="spellEnd"/>
    <w:r>
      <w:rPr>
        <w:rStyle w:val="HideTWBExt"/>
      </w:rPr>
      <w:t>&gt;</w:t>
    </w:r>
  </w:p>
  <w:p w:rsidR="0091758F" w:rsidRDefault="004908C3">
    <w:pPr>
      <w:pStyle w:val="EPFooter2"/>
    </w:pPr>
    <w:r>
      <w:t>SK</w:t>
    </w:r>
    <w:r>
      <w:tab/>
    </w:r>
    <w:r>
      <w:rPr>
        <w:b w:val="0"/>
        <w:i/>
        <w:color w:val="C0C0C0"/>
        <w:sz w:val="22"/>
      </w:rPr>
      <w:t>Zjednotení v rozmanitosti</w:t>
    </w:r>
    <w:r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758F" w:rsidRDefault="0091758F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758F" w:rsidRDefault="0091758F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758F" w:rsidRDefault="009175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758F" w:rsidRDefault="004908C3">
      <w:r>
        <w:separator/>
      </w:r>
    </w:p>
  </w:footnote>
  <w:footnote w:type="continuationSeparator" w:id="0">
    <w:p w:rsidR="0091758F" w:rsidRDefault="004908C3">
      <w:r>
        <w:continuationSeparator/>
      </w:r>
    </w:p>
  </w:footnote>
  <w:footnote w:id="1">
    <w:p w:rsidR="0091758F" w:rsidRDefault="004908C3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Ú. v. ES L 311, 14.11.2002, s. 3, ELI: </w:t>
      </w:r>
      <w:hyperlink r:id="rId1" w:history="1">
        <w:r>
          <w:rPr>
            <w:rStyle w:val="Hyperlink"/>
            <w:sz w:val="24"/>
            <w:lang w:val="fi-FI"/>
          </w:rPr>
          <w:t>http://data.europa.eu/eli/reg/2002/2012/oj</w:t>
        </w:r>
      </w:hyperlink>
      <w:r>
        <w:rPr>
          <w:sz w:val="24"/>
          <w:lang w:val="sk-SK"/>
        </w:rPr>
        <w:t>.</w:t>
      </w:r>
    </w:p>
  </w:footnote>
  <w:footnote w:id="2">
    <w:p w:rsidR="0091758F" w:rsidRDefault="004908C3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Ú. v. EÚ L 433 I, 22.12.2020, s. </w:t>
      </w:r>
      <w:r>
        <w:rPr>
          <w:sz w:val="24"/>
          <w:lang w:val="sk-SK"/>
        </w:rPr>
        <w:t xml:space="preserve">11, ELI: </w:t>
      </w:r>
      <w:hyperlink r:id="rId2" w:history="1">
        <w:r>
          <w:rPr>
            <w:rStyle w:val="Hyperlink"/>
            <w:sz w:val="24"/>
            <w:lang w:val="fi-FI"/>
          </w:rPr>
          <w:t>http://data.europa.eu/eli/reg/2020/2093/oj</w:t>
        </w:r>
      </w:hyperlink>
      <w:r>
        <w:rPr>
          <w:sz w:val="24"/>
          <w:lang w:val="sk-SK"/>
        </w:rPr>
        <w:t>.</w:t>
      </w:r>
    </w:p>
  </w:footnote>
  <w:footnote w:id="3">
    <w:p w:rsidR="0091758F" w:rsidRDefault="004908C3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Ú. v. EÚ L 433 I, 22.12.2020, s. 28, ELI: </w:t>
      </w:r>
      <w:r>
        <w:rPr>
          <w:sz w:val="24"/>
          <w:lang w:val="sk-SK"/>
        </w:rPr>
        <w:t>ttp://data.europa.eu/eli/agree_interinstit/2020/1222/oj.</w:t>
      </w:r>
    </w:p>
  </w:footnote>
  <w:footnote w:id="4">
    <w:p w:rsidR="0091758F" w:rsidRDefault="004908C3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Ú. v. EÚ L 231, 30.6.2021, s. </w:t>
      </w:r>
      <w:r>
        <w:rPr>
          <w:sz w:val="24"/>
          <w:lang w:val="sk-SK"/>
        </w:rPr>
        <w:t xml:space="preserve">60, ELI: </w:t>
      </w:r>
      <w:hyperlink r:id="rId3" w:history="1">
        <w:r>
          <w:rPr>
            <w:rStyle w:val="Hyperlink"/>
            <w:sz w:val="24"/>
            <w:lang w:val="fi-FI"/>
          </w:rPr>
          <w:t>http://data.europa.eu/eli/reg/2021/1058/oj</w:t>
        </w:r>
      </w:hyperlink>
      <w:r>
        <w:rPr>
          <w:sz w:val="24"/>
          <w:lang w:val="sk-SK"/>
        </w:rPr>
        <w:t>.</w:t>
      </w:r>
    </w:p>
  </w:footnote>
  <w:footnote w:id="5">
    <w:p w:rsidR="0091758F" w:rsidRDefault="004908C3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Ú. v. EÚ L 435, 6.12.2021, s. </w:t>
      </w:r>
      <w:r>
        <w:rPr>
          <w:sz w:val="24"/>
          <w:lang w:val="sk-SK"/>
        </w:rPr>
        <w:t xml:space="preserve">1, ELI: </w:t>
      </w:r>
      <w:hyperlink r:id="rId4" w:history="1">
        <w:hyperlink r:id="rId5" w:history="1">
          <w:r>
            <w:rPr>
              <w:rStyle w:val="Hyperlink"/>
              <w:sz w:val="24"/>
              <w:lang w:val="sk-SK"/>
            </w:rPr>
            <w:t>http://data.europa.eu/eli/reg/2021/2115/oj</w:t>
          </w:r>
        </w:hyperlink>
      </w:hyperlink>
      <w:r>
        <w:rPr>
          <w:rStyle w:val="Hyperlink"/>
          <w:sz w:val="24"/>
          <w:lang w:val="sk-SK"/>
        </w:rPr>
        <w:t>.</w:t>
      </w:r>
      <w:r>
        <w:rPr>
          <w:sz w:val="24"/>
          <w:lang w:val="sk-SK"/>
        </w:rPr>
        <w:t xml:space="preserve"> </w:t>
      </w:r>
    </w:p>
  </w:footnote>
  <w:footnote w:id="6">
    <w:p w:rsidR="0091758F" w:rsidRDefault="004908C3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Prijaté texty, P9_TA(2024)0082.</w:t>
      </w:r>
    </w:p>
  </w:footnote>
  <w:footnote w:id="7">
    <w:p w:rsidR="0091758F" w:rsidRDefault="004908C3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 C 184, 5.5.2022, s. 82.</w:t>
      </w:r>
    </w:p>
  </w:footnote>
  <w:footnote w:id="8">
    <w:p w:rsidR="0091758F" w:rsidRDefault="004908C3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 C 15, 12</w:t>
      </w:r>
      <w:r>
        <w:rPr>
          <w:sz w:val="24"/>
          <w:lang w:val="sk-SK"/>
        </w:rPr>
        <w:t>.1.2022, s. 2.</w:t>
      </w:r>
    </w:p>
  </w:footnote>
  <w:footnote w:id="9">
    <w:p w:rsidR="0091758F" w:rsidRDefault="004908C3"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</w:rPr>
        <w:footnoteRef/>
      </w:r>
      <w:r>
        <w:rPr>
          <w:lang w:val="sk-SK"/>
        </w:rPr>
        <w:t xml:space="preserve"> </w:t>
      </w:r>
      <w:r>
        <w:rPr>
          <w:lang w:val="sk-SK"/>
        </w:rPr>
        <w:tab/>
      </w:r>
      <w:r>
        <w:rPr>
          <w:bCs/>
          <w:sz w:val="24"/>
          <w:szCs w:val="24"/>
          <w:lang w:val="sk-SK"/>
        </w:rPr>
        <w:t>Nariadenie Európskeho parlamentu a Rady (EÚ) 2021/241 z 12. februára 2021, ktorým sa zriaďuje Mechanizmus na podporu obnovy a odolnosti (</w:t>
      </w:r>
      <w:r>
        <w:rPr>
          <w:bCs/>
          <w:iCs/>
          <w:sz w:val="24"/>
          <w:szCs w:val="24"/>
          <w:lang w:val="sk-SK"/>
        </w:rPr>
        <w:t>Ú. v. EÚ L 57, 18.2.2021, s. 17).</w:t>
      </w:r>
    </w:p>
  </w:footnote>
  <w:footnote w:id="10">
    <w:p w:rsidR="0091758F" w:rsidRDefault="004908C3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Návrh Európskej komisie z 21. októbra 2024 na nariadenie </w:t>
      </w:r>
      <w:r>
        <w:rPr>
          <w:sz w:val="24"/>
          <w:lang w:val="sk-SK"/>
        </w:rPr>
        <w:t>Európskeho parlamentu a Rady o RESTORE – regionálnej núdzovej podpore obnovy, ktorým sa mení nariadenie (EÚ) 2021/1058 a nariadenie (EÚ) 2021/1057 (COM(2024)0496).</w:t>
      </w:r>
    </w:p>
  </w:footnote>
  <w:footnote w:id="11">
    <w:p w:rsidR="0091758F" w:rsidRDefault="004908C3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Návrh Európskej komisie z 21. októbra 2024 na nariadenie Európskeho parlamentu a Rady, kt</w:t>
      </w:r>
      <w:r>
        <w:rPr>
          <w:sz w:val="24"/>
          <w:lang w:val="sk-SK"/>
        </w:rPr>
        <w:t>orým sa mení nariadenie (EÚ) 2020/2220, pokiaľ ide o osobitné opatrenia v rámci Európskeho poľnohospodárskeho fondu pre rozvoj vidieka (EPFRV) na poskytovanie dodatočnej pomoci členským štátom zasiahnutým prírodnými katastrofami (COM(2024)0495).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758F" w:rsidRDefault="0091758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758F" w:rsidRDefault="0091758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758F" w:rsidRDefault="0091758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0/2024"/>
    <w:docVar w:name="dvlangue" w:val="SK"/>
    <w:docVar w:name="dvnumam" w:val="0"/>
    <w:docVar w:name="dvpe" w:val="765.249"/>
    <w:docVar w:name="dvrapporteur" w:val="Spravodajca: "/>
    <w:docVar w:name="dvtitre" w:val="Uznesenie Európskeho parlamentu z 27. novembra 2024 o návrhu rozhodnutia Európskeho parlamentu a Rady o mobilizácii Fondu solidarity Európskej únie na účely poskytnutia pomoci Nemecku a Taliansku v súvislosti so záplavami v roku 2024(COM(2024)0480 – C10-0162/2024 – 2024/0284(BUD))"/>
  </w:docVars>
  <w:rsids>
    <w:rsidRoot w:val="0091758F"/>
    <w:rsid w:val="004908C3"/>
    <w:rsid w:val="00917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DCC376"/>
  <w15:chartTrackingRefBased/>
  <w15:docId w15:val="{B5D929A5-DAEA-49DC-AAB6-52718FA80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-E Fußnotenzeichen,BVI fnr,E FNZ,Exposant 3 Point,Footnote,Footnote Reference Number,Footnote Reference Superscript,Footnote sign,Footnote symboFußnotenzeichen,Footnote symbol,Footnote#,Ref,SUPER,Times 10 Point,de nota al pie,stylish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pPr>
      <w:spacing w:after="240"/>
      <w:ind w:left="567" w:hanging="567"/>
    </w:pPr>
  </w:style>
  <w:style w:type="paragraph" w:styleId="Header">
    <w:name w:val="header"/>
    <w:basedOn w:val="Normal"/>
    <w:link w:val="HeaderChar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Pr>
      <w:sz w:val="24"/>
      <w:lang w:val="sk-SK"/>
    </w:rPr>
  </w:style>
  <w:style w:type="paragraph" w:customStyle="1" w:styleId="NormalBold24a">
    <w:name w:val="NormalBold24a"/>
    <w:basedOn w:val="Normal"/>
    <w:pPr>
      <w:spacing w:after="480"/>
    </w:pPr>
    <w:rPr>
      <w:b/>
      <w:bCs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uiPriority w:val="99"/>
    <w:pPr>
      <w:spacing w:before="480" w:after="240"/>
    </w:pPr>
  </w:style>
  <w:style w:type="character" w:styleId="Hyperlink">
    <w:name w:val="Hyperlink"/>
    <w:basedOn w:val="DefaultParagraphFont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pPr>
      <w:widowControl/>
      <w:spacing w:before="100" w:beforeAutospacing="1" w:after="100" w:afterAutospacing="1"/>
    </w:pPr>
    <w:rPr>
      <w:szCs w:val="24"/>
    </w:rPr>
  </w:style>
  <w:style w:type="paragraph" w:customStyle="1" w:styleId="Institutionquisigne">
    <w:name w:val="Institution qui signe"/>
    <w:basedOn w:val="Normal"/>
    <w:next w:val="Normal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Point0">
    <w:name w:val="Point 0"/>
    <w:basedOn w:val="Normal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Pr>
      <w:sz w:val="24"/>
      <w:lang w:val="sk-SK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</w:rPr>
  </w:style>
  <w:style w:type="character" w:customStyle="1" w:styleId="CommentTextChar">
    <w:name w:val="Comment Text Char"/>
    <w:basedOn w:val="DefaultParagraphFont"/>
    <w:link w:val="CommentText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rPr>
      <w:b/>
      <w:bCs/>
    </w:rPr>
  </w:style>
  <w:style w:type="character" w:customStyle="1" w:styleId="CommentSubjectChar">
    <w:name w:val="Comment Subject Char"/>
    <w:basedOn w:val="CommentTextChar"/>
    <w:link w:val="CommentSubject"/>
    <w:rPr>
      <w:b/>
      <w:bCs/>
      <w:lang w:val="sk-SK"/>
    </w:rPr>
  </w:style>
  <w:style w:type="paragraph" w:styleId="Revision">
    <w:name w:val="Revision"/>
    <w:hidden/>
    <w:uiPriority w:val="99"/>
    <w:semiHidden/>
    <w:rPr>
      <w:sz w:val="24"/>
      <w:lang w:val="sk-SK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val="sk-SK"/>
    </w:rPr>
  </w:style>
  <w:style w:type="paragraph" w:styleId="Footer">
    <w:name w:val="footer"/>
    <w:basedOn w:val="Normal"/>
    <w:link w:val="FooterChar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1/1058/oj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02/2012/oj" TargetMode="External"/><Relationship Id="rId5" Type="http://schemas.openxmlformats.org/officeDocument/2006/relationships/hyperlink" Target="http://data.europa.eu/eli/reg/2021/2115/oj" TargetMode="External"/><Relationship Id="rId4" Type="http://schemas.openxmlformats.org/officeDocument/2006/relationships/hyperlink" Target="https://eur-lex.europa.eu/eli/reg/2021/2115/oj?locale=sk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E058E0-EC3C-4B0E-80DF-FBC98EB0A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1232</Words>
  <Characters>7408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SOLTYSOVA Zuzana</cp:lastModifiedBy>
  <cp:revision>2</cp:revision>
  <cp:lastPrinted>2004-11-19T15:42:00Z</cp:lastPrinted>
  <dcterms:created xsi:type="dcterms:W3CDTF">2025-02-10T15:23:00Z</dcterms:created>
  <dcterms:modified xsi:type="dcterms:W3CDTF">2025-02-10T15:23:00Z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P10_TA(2024)0048_</vt:lpwstr>
  </property>
  <property fmtid="{D5CDD505-2E9C-101B-9397-08002B2CF9AE}" pid="4" name="&lt;Type&gt;">
    <vt:lpwstr>RR</vt:lpwstr>
  </property>
</Properties>
</file>