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24B8" w:rsidTr="0010095E">
        <w:trPr>
          <w:trHeight w:hRule="exact" w:val="1418"/>
        </w:trPr>
        <w:tc>
          <w:tcPr>
            <w:tcW w:w="6804" w:type="dxa"/>
            <w:shd w:val="clear" w:color="auto" w:fill="auto"/>
            <w:vAlign w:val="center"/>
          </w:tcPr>
          <w:p w:rsidR="00751A4A" w:rsidRPr="00C824B8" w:rsidRDefault="00051109" w:rsidP="0010095E">
            <w:pPr>
              <w:pStyle w:val="EPName"/>
            </w:pPr>
            <w:r w:rsidRPr="00C824B8">
              <w:t>Evropski parlament</w:t>
            </w:r>
          </w:p>
          <w:p w:rsidR="00751A4A" w:rsidRPr="00C824B8" w:rsidRDefault="005F1B17" w:rsidP="005F1B17">
            <w:pPr>
              <w:pStyle w:val="EPTerm"/>
              <w:rPr>
                <w:rStyle w:val="HideTWBExt"/>
                <w:noProof w:val="0"/>
                <w:vanish w:val="0"/>
                <w:color w:val="auto"/>
              </w:rPr>
            </w:pPr>
            <w:r w:rsidRPr="00C824B8">
              <w:t>2024</w:t>
            </w:r>
            <w:r w:rsidR="00817416" w:rsidRPr="00C824B8">
              <w:t>-202</w:t>
            </w:r>
            <w:r w:rsidRPr="00C824B8">
              <w:t>9</w:t>
            </w:r>
          </w:p>
        </w:tc>
        <w:tc>
          <w:tcPr>
            <w:tcW w:w="2268" w:type="dxa"/>
            <w:shd w:val="clear" w:color="auto" w:fill="auto"/>
          </w:tcPr>
          <w:p w:rsidR="00751A4A" w:rsidRPr="00C824B8" w:rsidRDefault="00187494" w:rsidP="0010095E">
            <w:pPr>
              <w:pStyle w:val="EPLogo"/>
            </w:pPr>
            <w:r w:rsidRPr="00C824B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824B8" w:rsidRDefault="00D058B8" w:rsidP="004C5D52">
      <w:pPr>
        <w:pStyle w:val="LineTop"/>
      </w:pPr>
    </w:p>
    <w:p w:rsidR="00680577" w:rsidRPr="00C824B8" w:rsidRDefault="00051109" w:rsidP="00680577">
      <w:pPr>
        <w:pStyle w:val="EPBodyTA1"/>
      </w:pPr>
      <w:r w:rsidRPr="00C824B8">
        <w:t>SPREJETA BESEDILA</w:t>
      </w:r>
    </w:p>
    <w:p w:rsidR="00D058B8" w:rsidRPr="00C824B8" w:rsidRDefault="00D058B8" w:rsidP="00D058B8">
      <w:pPr>
        <w:pStyle w:val="LineBottom"/>
      </w:pPr>
    </w:p>
    <w:p w:rsidR="00051109" w:rsidRPr="00C824B8" w:rsidRDefault="00051109" w:rsidP="00051109">
      <w:pPr>
        <w:pStyle w:val="ATHeading1"/>
      </w:pPr>
      <w:bookmarkStart w:id="0" w:name="TANumber"/>
      <w:r w:rsidRPr="00C824B8">
        <w:t>P10_TA(2024)</w:t>
      </w:r>
      <w:bookmarkEnd w:id="0"/>
      <w:r w:rsidR="001C7B28" w:rsidRPr="00C824B8">
        <w:t>00</w:t>
      </w:r>
      <w:r w:rsidR="00A43E18">
        <w:t>48</w:t>
      </w:r>
    </w:p>
    <w:p w:rsidR="00051109" w:rsidRPr="00C824B8" w:rsidRDefault="00051109" w:rsidP="00051109">
      <w:pPr>
        <w:pStyle w:val="ATHeading2"/>
      </w:pPr>
      <w:bookmarkStart w:id="1" w:name="title"/>
      <w:r w:rsidRPr="00C824B8">
        <w:t>Uporaba Solidarnostnega sklada Evropske unije za pomoč Nemčiji in Italiji v zvezi s poplavami leta 2024</w:t>
      </w:r>
      <w:bookmarkEnd w:id="1"/>
    </w:p>
    <w:p w:rsidR="00051109" w:rsidRPr="00C824B8" w:rsidRDefault="00051109" w:rsidP="00051109">
      <w:pPr>
        <w:rPr>
          <w:i/>
          <w:vanish/>
        </w:rPr>
      </w:pPr>
      <w:r w:rsidRPr="00C824B8">
        <w:rPr>
          <w:i/>
        </w:rPr>
        <w:fldChar w:fldCharType="begin"/>
      </w:r>
      <w:r w:rsidRPr="00C824B8">
        <w:rPr>
          <w:i/>
        </w:rPr>
        <w:instrText xml:space="preserve"> TC"(</w:instrText>
      </w:r>
      <w:bookmarkStart w:id="2" w:name="DocNumber"/>
      <w:r w:rsidRPr="00C824B8">
        <w:rPr>
          <w:i/>
        </w:rPr>
        <w:instrText>A10-0020/2024</w:instrText>
      </w:r>
      <w:bookmarkEnd w:id="2"/>
      <w:r w:rsidRPr="00C824B8">
        <w:rPr>
          <w:i/>
        </w:rPr>
        <w:instrText xml:space="preserve"> - Poročevalec: Giuseppe Lupo)"\l3 \n&gt; \* MERGEFORMAT </w:instrText>
      </w:r>
      <w:r w:rsidRPr="00C824B8">
        <w:rPr>
          <w:i/>
        </w:rPr>
        <w:fldChar w:fldCharType="end"/>
      </w:r>
    </w:p>
    <w:p w:rsidR="00051109" w:rsidRPr="00C824B8" w:rsidRDefault="00051109" w:rsidP="00051109">
      <w:pPr>
        <w:rPr>
          <w:vanish/>
        </w:rPr>
      </w:pPr>
      <w:bookmarkStart w:id="3" w:name="Commission"/>
      <w:r w:rsidRPr="00C824B8">
        <w:rPr>
          <w:vanish/>
        </w:rPr>
        <w:t>Odbor za proračun</w:t>
      </w:r>
      <w:bookmarkEnd w:id="3"/>
    </w:p>
    <w:p w:rsidR="00051109" w:rsidRPr="00C824B8" w:rsidRDefault="00051109" w:rsidP="00051109">
      <w:pPr>
        <w:rPr>
          <w:vanish/>
        </w:rPr>
      </w:pPr>
      <w:bookmarkStart w:id="4" w:name="PE"/>
      <w:r w:rsidRPr="00C824B8">
        <w:rPr>
          <w:vanish/>
        </w:rPr>
        <w:t>PE765.249</w:t>
      </w:r>
      <w:bookmarkEnd w:id="4"/>
    </w:p>
    <w:p w:rsidR="00051109" w:rsidRPr="00C824B8" w:rsidRDefault="00051109" w:rsidP="00051109">
      <w:pPr>
        <w:pStyle w:val="ATHeading3"/>
      </w:pPr>
      <w:bookmarkStart w:id="5" w:name="Sujet"/>
      <w:r w:rsidRPr="00C824B8">
        <w:t>Resolucija Evropskega parlamenta z dne 27. novembra 2024 o predlogu sklepa Evropskega parlamenta in Sveta o uporabi Solidarnostnega sklada Evropske unije za pomoč Nemčiji in Italiji v zvezi s poplavami leta 2024</w:t>
      </w:r>
      <w:bookmarkEnd w:id="5"/>
      <w:r w:rsidRPr="00C824B8">
        <w:t xml:space="preserve"> </w:t>
      </w:r>
      <w:bookmarkStart w:id="6" w:name="References"/>
      <w:r w:rsidRPr="00C824B8">
        <w:t>(COM(2024)0480 – C10-0162/2024 – 2024/0284(BUD))</w:t>
      </w:r>
      <w:bookmarkEnd w:id="6"/>
    </w:p>
    <w:p w:rsidR="00DA39DE" w:rsidRPr="00C824B8" w:rsidRDefault="00DA39DE" w:rsidP="00DA39DE">
      <w:pPr>
        <w:pStyle w:val="EPComma"/>
        <w:rPr>
          <w:noProof/>
        </w:rPr>
      </w:pPr>
      <w:r w:rsidRPr="00C824B8">
        <w:rPr>
          <w:i/>
        </w:rPr>
        <w:t>Evropski parlament</w:t>
      </w:r>
      <w:r w:rsidRPr="00C824B8">
        <w:t>,</w:t>
      </w:r>
    </w:p>
    <w:p w:rsidR="00DA39DE" w:rsidRPr="00C824B8" w:rsidRDefault="00DA39DE" w:rsidP="00DA39DE">
      <w:pPr>
        <w:pStyle w:val="NormalHanging12a"/>
        <w:rPr>
          <w:noProof/>
        </w:rPr>
      </w:pPr>
      <w:r w:rsidRPr="00C824B8">
        <w:t>–</w:t>
      </w:r>
      <w:r w:rsidRPr="00C824B8">
        <w:tab/>
        <w:t>ob upoštevanju predloga Komisije Evropskemu parlamentu in Svetu (COM(2024)0480 – C10</w:t>
      </w:r>
      <w:r w:rsidRPr="00C824B8">
        <w:noBreakHyphen/>
        <w:t>0162/2024),</w:t>
      </w:r>
    </w:p>
    <w:p w:rsidR="00DA39DE" w:rsidRPr="00C824B8" w:rsidRDefault="00DA39DE" w:rsidP="00DA39DE">
      <w:pPr>
        <w:pStyle w:val="NormalHanging12a"/>
        <w:rPr>
          <w:noProof/>
        </w:rPr>
      </w:pPr>
      <w:r w:rsidRPr="00C824B8">
        <w:t>–</w:t>
      </w:r>
      <w:r w:rsidRPr="00C824B8">
        <w:tab/>
        <w:t>ob upoštevanju Uredbe Sveta (ES) št. 2012/2002 z dne 11. novembra 2002 o ustanovitvi Solidarnostnega sklada Evropske unije</w:t>
      </w:r>
      <w:r w:rsidRPr="00C824B8">
        <w:rPr>
          <w:rStyle w:val="FootnoteReference"/>
        </w:rPr>
        <w:footnoteReference w:id="1"/>
      </w:r>
      <w:r w:rsidRPr="00C824B8">
        <w:t>,</w:t>
      </w:r>
    </w:p>
    <w:p w:rsidR="00DA39DE" w:rsidRPr="00C824B8" w:rsidRDefault="00DA39DE" w:rsidP="00DA39DE">
      <w:pPr>
        <w:pStyle w:val="NormalHanging12a"/>
        <w:rPr>
          <w:noProof/>
        </w:rPr>
      </w:pPr>
      <w:r w:rsidRPr="00C824B8">
        <w:t>–</w:t>
      </w:r>
      <w:r w:rsidRPr="00C824B8">
        <w:tab/>
        <w:t>ob upoštevanju Uredbe Sveta (EU, Euratom) 2020/2093 z dne 17. decembra 2020 o določitvi večletnega finančnega okvira za obdobje 2021–2027</w:t>
      </w:r>
      <w:r w:rsidRPr="00C824B8">
        <w:rPr>
          <w:rStyle w:val="FootnoteReference"/>
          <w:noProof/>
        </w:rPr>
        <w:footnoteReference w:id="2"/>
      </w:r>
      <w:r w:rsidRPr="00C824B8">
        <w:t xml:space="preserve"> in zlasti člena 9,</w:t>
      </w:r>
    </w:p>
    <w:p w:rsidR="00DA39DE" w:rsidRPr="00C824B8" w:rsidRDefault="00DA39DE" w:rsidP="00DA39DE">
      <w:pPr>
        <w:pStyle w:val="NormalHanging12a"/>
        <w:rPr>
          <w:noProof/>
        </w:rPr>
      </w:pPr>
      <w:r w:rsidRPr="00C824B8">
        <w:t>–</w:t>
      </w:r>
      <w:r w:rsidRPr="00C824B8">
        <w:tab/>
        <w:t>ob upoštevanju Medinstitucionalnega sporazuma z dne 16. decembra 2020 med Evropskim parlamentom, Svetom Evropske unije in Evropsko komisijo o proračunski disciplini, sodelovanju v proračunskih zadevah in dobrem finančnem poslovodenju ter novih virih lastnih sredstev, vključno s časovnim načrtom za uvedbo novih virov lastnih sredstev</w:t>
      </w:r>
      <w:r w:rsidRPr="00C824B8">
        <w:rPr>
          <w:rStyle w:val="FootnoteReference"/>
          <w:noProof/>
        </w:rPr>
        <w:footnoteReference w:id="3"/>
      </w:r>
      <w:r w:rsidR="002C645C" w:rsidRPr="00C824B8">
        <w:t>,</w:t>
      </w:r>
      <w:r w:rsidRPr="00C824B8">
        <w:t xml:space="preserve"> in zlasti točke 10,</w:t>
      </w:r>
    </w:p>
    <w:p w:rsidR="00DA39DE" w:rsidRPr="00C824B8" w:rsidRDefault="00DA39DE" w:rsidP="00DA39DE">
      <w:pPr>
        <w:pStyle w:val="NormalHanging12a"/>
      </w:pPr>
      <w:r w:rsidRPr="00C824B8">
        <w:t>–</w:t>
      </w:r>
      <w:r w:rsidRPr="00C824B8">
        <w:tab/>
        <w:t>ob upoštevanju Uredbe (EU) 2021/1058 Evropskega parlamenta in Sveta z dne 24. junija 2021 o Evropskem skladu za regionalni razvoj in Kohezijskem skladu</w:t>
      </w:r>
      <w:r w:rsidRPr="00C824B8">
        <w:rPr>
          <w:rStyle w:val="FootnoteReference"/>
        </w:rPr>
        <w:footnoteReference w:id="4"/>
      </w:r>
      <w:r w:rsidRPr="00C824B8">
        <w:t xml:space="preserve">, </w:t>
      </w:r>
    </w:p>
    <w:p w:rsidR="00DA39DE" w:rsidRPr="00C824B8" w:rsidRDefault="00DA39DE" w:rsidP="00DA39DE">
      <w:pPr>
        <w:pStyle w:val="NormalHanging12a"/>
        <w:rPr>
          <w:noProof/>
        </w:rPr>
      </w:pPr>
      <w:r w:rsidRPr="00C824B8">
        <w:t>–</w:t>
      </w:r>
      <w:r w:rsidRPr="00C824B8">
        <w:tab/>
        <w:t xml:space="preserve">ob upoštevanju Uredbe (EU) 2021/2115 Evropskega parlamenta in Sveta z dne 2. decembra 2021 o določitvi pravil o podpori za strateške načrte, ki jih pripravijo države članice v okviru skupne kmetijske politike (strateški načrti SKP) in se </w:t>
      </w:r>
      <w:r w:rsidRPr="00C824B8">
        <w:lastRenderedPageBreak/>
        <w:t>financirajo iz Evropskega kmetijskega jamstvenega sklada (EKJS) in Evropskega kmetijskega sklada za razvoj podeželja (EKSRP), ter o razveljavitvi uredb (EU) št. 1305/2013 in (EU) št. 1307/2013</w:t>
      </w:r>
      <w:r w:rsidRPr="00C824B8">
        <w:rPr>
          <w:rStyle w:val="FootnoteReference"/>
          <w:noProof/>
        </w:rPr>
        <w:footnoteReference w:id="5"/>
      </w:r>
      <w:r w:rsidRPr="00C824B8">
        <w:t xml:space="preserve">, </w:t>
      </w:r>
    </w:p>
    <w:p w:rsidR="00DA39DE" w:rsidRPr="00C824B8" w:rsidRDefault="00DA39DE" w:rsidP="00DA39DE">
      <w:pPr>
        <w:pStyle w:val="NormalWeb"/>
        <w:shd w:val="clear" w:color="auto" w:fill="FFFFFF"/>
        <w:ind w:left="567" w:hanging="567"/>
      </w:pPr>
      <w:r w:rsidRPr="00C824B8">
        <w:t>–</w:t>
      </w:r>
      <w:r w:rsidRPr="00C824B8">
        <w:tab/>
        <w:t>ob upoštevanju svoje resolucije z dne 27. februarja 2024 o osnutku uredbe Sveta o spremembi Uredbe (EU, Euratom) 2020/2093 o določitvi večletnega finančnega okvira za obdobje 2021–2027</w:t>
      </w:r>
      <w:r w:rsidRPr="00C824B8">
        <w:rPr>
          <w:rStyle w:val="FootnoteReference"/>
        </w:rPr>
        <w:footnoteReference w:id="6"/>
      </w:r>
      <w:r w:rsidRPr="00C824B8">
        <w:t>,</w:t>
      </w:r>
    </w:p>
    <w:p w:rsidR="00DA39DE" w:rsidRPr="00C824B8" w:rsidRDefault="00DA39DE" w:rsidP="00DA39DE">
      <w:pPr>
        <w:pStyle w:val="NormalWeb"/>
        <w:shd w:val="clear" w:color="auto" w:fill="FFFFFF"/>
        <w:ind w:left="567" w:hanging="567"/>
      </w:pPr>
      <w:r w:rsidRPr="00C824B8">
        <w:t>–</w:t>
      </w:r>
      <w:r w:rsidRPr="00C824B8">
        <w:rPr>
          <w:b/>
          <w:i/>
        </w:rPr>
        <w:tab/>
      </w:r>
      <w:r w:rsidRPr="00C824B8">
        <w:t>ob upoštevanju svoje resolucije z dne 20. oktobra 2021 o učinkovitosti držav članic pri uporabi sredstev iz Solidarnostnega sklada EU v primeru naravnih nesreč</w:t>
      </w:r>
      <w:r w:rsidRPr="00C824B8">
        <w:rPr>
          <w:rStyle w:val="FootnoteReference"/>
        </w:rPr>
        <w:footnoteReference w:id="7"/>
      </w:r>
      <w:r w:rsidRPr="00C824B8">
        <w:t>,</w:t>
      </w:r>
    </w:p>
    <w:p w:rsidR="00DA39DE" w:rsidRPr="00C824B8" w:rsidRDefault="00DA39DE" w:rsidP="00DA39DE">
      <w:pPr>
        <w:pStyle w:val="NormalWeb"/>
        <w:shd w:val="clear" w:color="auto" w:fill="FFFFFF"/>
        <w:ind w:left="567" w:hanging="567"/>
      </w:pPr>
      <w:r w:rsidRPr="00C824B8">
        <w:t>–</w:t>
      </w:r>
      <w:r w:rsidRPr="00C824B8">
        <w:rPr>
          <w:b/>
          <w:i/>
        </w:rPr>
        <w:tab/>
      </w:r>
      <w:r w:rsidRPr="00C824B8">
        <w:t>ob upoštevanju svoje resolucije z dne 18. maja 2021 o pregledu Solidarnostnega sklada Evropske unije</w:t>
      </w:r>
      <w:r w:rsidRPr="00C824B8">
        <w:rPr>
          <w:rStyle w:val="FootnoteReference"/>
        </w:rPr>
        <w:footnoteReference w:id="8"/>
      </w:r>
      <w:r w:rsidRPr="00C824B8">
        <w:t>,</w:t>
      </w:r>
    </w:p>
    <w:p w:rsidR="00DA39DE" w:rsidRPr="00C824B8" w:rsidRDefault="00DA39DE" w:rsidP="00DA39DE">
      <w:pPr>
        <w:pStyle w:val="NormalHanging12a"/>
      </w:pPr>
      <w:r w:rsidRPr="00C824B8">
        <w:t>–</w:t>
      </w:r>
      <w:r w:rsidRPr="00C824B8">
        <w:tab/>
        <w:t>ob upoštevanju poročila Odbora za proračun (A10</w:t>
      </w:r>
      <w:r w:rsidRPr="00C824B8">
        <w:noBreakHyphen/>
        <w:t>0020/2024),</w:t>
      </w:r>
    </w:p>
    <w:p w:rsidR="00DA39DE" w:rsidRPr="00C824B8" w:rsidRDefault="00DA39DE" w:rsidP="00DA39DE">
      <w:pPr>
        <w:pStyle w:val="NormalHanging12a"/>
      </w:pPr>
      <w:r w:rsidRPr="00C824B8">
        <w:t>A.</w:t>
      </w:r>
      <w:r w:rsidRPr="00C824B8">
        <w:tab/>
        <w:t xml:space="preserve">ker je Nemčijo 30. maja 2024 prizadelo hudo deževje, ki je v začetku junija povzročilo hude poplave na jugu države, v katerih je </w:t>
      </w:r>
      <w:r w:rsidRPr="00C824B8">
        <w:rPr>
          <w:bCs/>
          <w:iCs/>
        </w:rPr>
        <w:t>umrlo šest ljudi</w:t>
      </w:r>
      <w:r w:rsidRPr="00C824B8">
        <w:t>, skupna neposredna škoda teh poplav pa je po navedbah Komisije znašala 4131,6 milijona EUR;</w:t>
      </w:r>
    </w:p>
    <w:p w:rsidR="00DA39DE" w:rsidRPr="00C824B8" w:rsidRDefault="00DA39DE" w:rsidP="00DA39DE">
      <w:pPr>
        <w:pStyle w:val="NormalWeb"/>
        <w:shd w:val="clear" w:color="auto" w:fill="FFFFFF"/>
        <w:ind w:left="567" w:hanging="567"/>
      </w:pPr>
      <w:r w:rsidRPr="00C824B8">
        <w:t>B.</w:t>
      </w:r>
      <w:r w:rsidRPr="00C824B8">
        <w:tab/>
        <w:t>ker so Italijo 29. junija 2024 prizadela huda neurja, ki so povzročila razlivanje rek in vodotokov v avtonomni deželi Dolina Aoste, kar je po ocenah italijanskih organov povzročilo skupno neposredno škodo v višini 158,39 milijona EUR;</w:t>
      </w:r>
    </w:p>
    <w:p w:rsidR="00DA39DE" w:rsidRPr="00C824B8" w:rsidRDefault="00DA39DE" w:rsidP="00DA39DE">
      <w:pPr>
        <w:spacing w:after="240"/>
        <w:ind w:left="567" w:hanging="567"/>
        <w:rPr>
          <w:szCs w:val="24"/>
          <w:shd w:val="clear" w:color="auto" w:fill="FFFFFF"/>
        </w:rPr>
      </w:pPr>
      <w:r w:rsidRPr="00C824B8">
        <w:t>1.</w:t>
      </w:r>
      <w:r w:rsidRPr="00C824B8">
        <w:tab/>
        <w:t>izraža</w:t>
      </w:r>
      <w:r w:rsidRPr="00C824B8">
        <w:rPr>
          <w:shd w:val="clear" w:color="auto" w:fill="FFFFFF"/>
        </w:rPr>
        <w:t xml:space="preserve"> globoko solidarnost z vsemi žrtvami, njihovimi družinami in vsemi posamezniki, ki so jih prizadele uničujoče poplave v Nemčiji in Italiji, pa tudi z nacionalnimi, regionalnimi in lokalnimi organi, ki sodelujejo pri organizaciji pomoči;</w:t>
      </w:r>
    </w:p>
    <w:p w:rsidR="00DA39DE" w:rsidRPr="00C824B8" w:rsidRDefault="00DA39DE" w:rsidP="00DA39DE">
      <w:pPr>
        <w:spacing w:after="240"/>
        <w:ind w:left="567" w:hanging="567"/>
      </w:pPr>
      <w:r w:rsidRPr="00C824B8">
        <w:t>2.</w:t>
      </w:r>
      <w:r w:rsidRPr="00C824B8">
        <w:tab/>
        <w:t>pozdravlja ta sklep kot oprijemljivo in prepoznavno obliko solidarnosti Unije z njenimi državljani in regijami na prizadetih območjih v Nemčiji in Italiji;</w:t>
      </w:r>
    </w:p>
    <w:p w:rsidR="00DA39DE" w:rsidRPr="00C824B8" w:rsidRDefault="00DA39DE" w:rsidP="00DA39DE">
      <w:pPr>
        <w:spacing w:after="240"/>
        <w:ind w:left="567" w:hanging="567"/>
      </w:pPr>
      <w:r w:rsidRPr="00C824B8">
        <w:t>3.</w:t>
      </w:r>
      <w:r w:rsidRPr="00C824B8">
        <w:tab/>
        <w:t>ponovno poudarja, da je pomembno obveščati javnost o oprijemljivih koristih, ki jih prinaša Solidarnostni sklad Evropske unije, da bi še povečali ozaveščenost državljanov v zvezi z orodji in programi Unije;</w:t>
      </w:r>
    </w:p>
    <w:p w:rsidR="00DA39DE" w:rsidRPr="00C824B8" w:rsidRDefault="00DA39DE" w:rsidP="00DA39DE">
      <w:pPr>
        <w:spacing w:after="240"/>
        <w:ind w:left="567" w:hanging="567"/>
      </w:pPr>
      <w:r w:rsidRPr="00C824B8">
        <w:t>4.</w:t>
      </w:r>
      <w:r w:rsidRPr="00C824B8">
        <w:tab/>
        <w:t xml:space="preserve">opozarja na vse večje število hudih, uničujočih </w:t>
      </w:r>
      <w:r w:rsidRPr="00C824B8">
        <w:rPr>
          <w:bCs/>
          <w:iCs/>
        </w:rPr>
        <w:t>in smrtonosnih</w:t>
      </w:r>
      <w:r w:rsidRPr="00C824B8">
        <w:t xml:space="preserve"> naravnih nesreč v Evropi ter </w:t>
      </w:r>
      <w:r w:rsidRPr="00C824B8">
        <w:rPr>
          <w:bCs/>
          <w:iCs/>
        </w:rPr>
        <w:t>poziva države članice in Komisijo, naj vlagajo v ukrepe za blažitev podnebnih sprememb in prilagajanje nanje, da bi preprečili človeške in gospodarske izgube;</w:t>
      </w:r>
      <w:r w:rsidRPr="00C824B8">
        <w:t xml:space="preserve"> meni, da bi bilo treba proračun Solidarnostnega sklada EU ali enakovreden proračun </w:t>
      </w:r>
      <w:r w:rsidRPr="00C824B8">
        <w:rPr>
          <w:bCs/>
          <w:iCs/>
        </w:rPr>
        <w:t>bistveno</w:t>
      </w:r>
      <w:r w:rsidRPr="00C824B8">
        <w:t xml:space="preserve"> razširiti glede na prihodnji predlog Komisije o novem večletnem finančnem okviru in nadaljnja medinstitucionalna pogajanja </w:t>
      </w:r>
      <w:r w:rsidRPr="00C824B8">
        <w:rPr>
          <w:bCs/>
          <w:iCs/>
        </w:rPr>
        <w:t>ter da bi bilo treba iz Solidarnostnega sklada EU ali enakovrednega instrumenta državljanom zagotoviti pomoč, ki bi bila sorazmerna z obsegom takšnih nesreč</w:t>
      </w:r>
      <w:r w:rsidRPr="00C824B8">
        <w:t>; ugotavlja, da bi znatno povečanje Solidarnostnega sklada EU državam članicam omogočilo učinkovitejše in hitrejše odzivanje na nesreče, medtem ko bi bilo mogoče ohraniti druge instrumente, zlasti kohezijske sklade, katerih glavni namen ni odzivanje na nesreče;</w:t>
      </w:r>
    </w:p>
    <w:p w:rsidR="00DA39DE" w:rsidRPr="00C824B8" w:rsidRDefault="00DA39DE" w:rsidP="00DA39DE"/>
    <w:p w:rsidR="00DA39DE" w:rsidRPr="00C824B8" w:rsidRDefault="00DA39DE" w:rsidP="00DA39DE">
      <w:pPr>
        <w:spacing w:after="240"/>
        <w:ind w:left="567" w:hanging="567"/>
      </w:pPr>
      <w:r w:rsidRPr="00C824B8">
        <w:t>5.</w:t>
      </w:r>
      <w:r w:rsidRPr="00C824B8">
        <w:tab/>
        <w:t>poudarja, da so poplave povzročile veliko škodo na kmetijskih zemljiščih in kmetijah, prometni infrastrukturi ter zlasti v majhnih vaseh in mestih zunaj urbanih območij; poudarja, da so otoki in obalne regije zaradi podnebnih sprememb še posebej izpostavljeni naravnim nesrečam; opozarja, da pojavi, kot so potresi, poplave, vulkanski izbruhi in suše, ki vplivajo tudi na jezera in reke, vse bolj ogrožajo številne evropske regije, zlasti v Sredozemlju; se sprašuje, ali je Solidarnostni sklad EU ustrezno usklajen z nujnimi potrebami, povezanimi s prilagajanjem podnebnim spremembam na teh posebej občutljivih območjih; zato meni, da bi morali otoki in obalne regije prejeti ustrezna sredstva v okviru tega sklada za odpravo ranljivih točk, posebej značilnih zanje; poziva države članice, naj upoštevajo, da naravne nesreče še posebej prizadenejo ranljivo prebivalstvo, saj socialno-ekonomski dejavniki še dodatno ovirajo njihovo sposobnost okrevanja;</w:t>
      </w:r>
    </w:p>
    <w:p w:rsidR="00DA39DE" w:rsidRPr="00C824B8" w:rsidRDefault="00DA39DE" w:rsidP="00E8358F">
      <w:pPr>
        <w:spacing w:after="240"/>
        <w:ind w:left="567" w:hanging="567"/>
      </w:pPr>
      <w:r w:rsidRPr="00C824B8">
        <w:t>6.</w:t>
      </w:r>
      <w:r w:rsidRPr="00C824B8">
        <w:tab/>
        <w:t xml:space="preserve">poudarja, da je Solidarnostni sklad EU le kurativni instrument in da bi morala Unija s podporo evropskim in nacionalnim politikam za preprečevanje naravnih nesreč še naprej obravnavati prilagajanje podnebnim spremembam in njihovo blažitev; poudarja, da je Evropska agencija za okolje v poročilu št. 1/2024 z naslovom Evropska ocena podnebnega tveganja opozorila, da Unija ni pripravljena na učinke podnebnih sprememb, in opozarja, da so potrebni ukrepi, s katerimi bi preprečili, da bi prepoznana podnebna tveganja dosegla kritično raven; poziva države članice in Komisijo, naj sprejmejo potrebne ukrepe, da bo Unija izpolnila zaveze iz Pariškega sporazuma; opozarja, da so potrebne učinkovite sinergije z drugimi politikami in programi Unije, in poudarja, da bi morale države članice čim bolj izkoristiti možnosti financiranja, zlasti iz Evropskega sklada za regionalni razvoj in Evropskega socialnega sklada + ter programov za razvoj podeželja; </w:t>
      </w:r>
      <w:r w:rsidRPr="00C824B8">
        <w:rPr>
          <w:bCs/>
          <w:iCs/>
        </w:rPr>
        <w:t xml:space="preserve">poziva Komisijo, naj z ustrezno nujnostjo oceni vse utemeljene zahteve držav članic za prerazporeditev sredstev v nacionalnih načrtih za okrevanje in odpornost za pomoč pri naravnih nesrečah v skladu s pravili iz </w:t>
      </w:r>
      <w:r w:rsidR="00E8358F" w:rsidRPr="00C824B8">
        <w:rPr>
          <w:bCs/>
          <w:iCs/>
        </w:rPr>
        <w:t>U</w:t>
      </w:r>
      <w:r w:rsidRPr="00C824B8">
        <w:rPr>
          <w:bCs/>
          <w:iCs/>
        </w:rPr>
        <w:t>redbe</w:t>
      </w:r>
      <w:r w:rsidR="00E8358F" w:rsidRPr="00C824B8">
        <w:rPr>
          <w:bCs/>
          <w:iCs/>
        </w:rPr>
        <w:t xml:space="preserve"> (EU) 2021/241 Evropskega parlamenta in Sveta</w:t>
      </w:r>
      <w:r w:rsidR="00E8358F" w:rsidRPr="00C824B8">
        <w:rPr>
          <w:rStyle w:val="FootnoteReference"/>
          <w:bCs/>
          <w:iCs/>
        </w:rPr>
        <w:footnoteReference w:id="9"/>
      </w:r>
      <w:r w:rsidRPr="00C824B8">
        <w:rPr>
          <w:bCs/>
          <w:iCs/>
        </w:rPr>
        <w:t>;</w:t>
      </w:r>
      <w:r w:rsidRPr="00C824B8">
        <w:t xml:space="preserve"> poudarja tudi, da so potrebni preventivni ukrepi, ne le za to, da bi ublažili škodo v prihodnje, marveč tudi preprečili, da bi se nevarne razmere po naravnih katastrofah, kot so poplave, požari v naravi, zemeljski plazovi ali sušenje jezer in rek, še poslabšale; opozarja na pomen ustrezne prožnosti med različnimi programi; poudarja, da se pomoč iz Solidarnostnega sklada EU ne bi smela izplačevati na račun evropskega financiranja, ki ga države članice prejmejo v okviru drugih programov ali politik Unije; </w:t>
      </w:r>
      <w:r w:rsidRPr="00C824B8">
        <w:rPr>
          <w:bCs/>
          <w:iCs/>
        </w:rPr>
        <w:t>spominja, da lahko države članice dodelijo državno pomoč v skladu z veljavnimi pravili Unije, zlasti za kmetijska podjetja, ki so utrpela škodo zaradi naravnih nesreč;</w:t>
      </w:r>
    </w:p>
    <w:p w:rsidR="00DA39DE" w:rsidRPr="00C824B8" w:rsidRDefault="00DA39DE" w:rsidP="00DA39DE">
      <w:pPr>
        <w:spacing w:after="240"/>
        <w:ind w:left="567" w:hanging="567"/>
      </w:pPr>
      <w:r w:rsidRPr="00C824B8">
        <w:t>7.</w:t>
      </w:r>
      <w:r w:rsidRPr="00C824B8">
        <w:tab/>
        <w:t>ugotavlja, da je Komisija 21. oktobra 2024 predložila zakonodajni predlog za regionalno nujno pomoč za obnovo po naravni nesreči</w:t>
      </w:r>
      <w:r w:rsidRPr="00C824B8">
        <w:rPr>
          <w:rStyle w:val="FootnoteReference"/>
        </w:rPr>
        <w:footnoteReference w:id="10"/>
      </w:r>
      <w:r w:rsidRPr="00C824B8">
        <w:t> in za posebne ukrepe v okviru Evropskega kmetijskega sklada za razvoj podeželja (EKSRP) za zagotovitev dodatne pomoči državam članicam, ki so jih prizadele naravne nesreče</w:t>
      </w:r>
      <w:r w:rsidRPr="00C824B8">
        <w:rPr>
          <w:rStyle w:val="FootnoteReference"/>
        </w:rPr>
        <w:footnoteReference w:id="11"/>
      </w:r>
      <w:r w:rsidRPr="00C824B8">
        <w:t xml:space="preserve">, da bi poskrbela za </w:t>
      </w:r>
      <w:r w:rsidRPr="00C824B8">
        <w:lastRenderedPageBreak/>
        <w:t>dodatno prožnost pri uporabi sredstev;</w:t>
      </w:r>
    </w:p>
    <w:p w:rsidR="00DA39DE" w:rsidRPr="00C824B8" w:rsidRDefault="00DA39DE" w:rsidP="00DA39DE">
      <w:pPr>
        <w:spacing w:after="240"/>
        <w:ind w:left="567" w:hanging="567"/>
      </w:pPr>
      <w:r w:rsidRPr="00C824B8">
        <w:t>8.</w:t>
      </w:r>
      <w:r w:rsidRPr="00C824B8">
        <w:tab/>
        <w:t>opozarja, da je pomembno hitro in zanesljivo oceniti škodo, pri tem pa ustrezno upoštevati gospodarske posledice, in poziva k večjim operativnim prizadevanjem, da bi skrajšali povprečni čas za sprostitev predplačil, hkrati pa zaščitili proračun Unije;</w:t>
      </w:r>
    </w:p>
    <w:p w:rsidR="00DA39DE" w:rsidRPr="00C824B8" w:rsidRDefault="00DA39DE" w:rsidP="00DA39DE">
      <w:pPr>
        <w:spacing w:after="240"/>
        <w:ind w:left="567" w:hanging="567"/>
      </w:pPr>
      <w:r w:rsidRPr="00C824B8">
        <w:t>9.</w:t>
      </w:r>
      <w:r w:rsidRPr="00C824B8">
        <w:tab/>
        <w:t xml:space="preserve">poudarja, da je treba nujno nemudoma sprostiti finančno pomoč iz Solidarnostnega sklada EU, da bo lahko pravočasno prispela v prizadete regije; </w:t>
      </w:r>
    </w:p>
    <w:p w:rsidR="00DA39DE" w:rsidRPr="00C824B8" w:rsidRDefault="00DA39DE" w:rsidP="00DA39DE">
      <w:pPr>
        <w:pStyle w:val="NormalHanging12a"/>
        <w:rPr>
          <w:noProof/>
        </w:rPr>
      </w:pPr>
      <w:r w:rsidRPr="00C824B8">
        <w:t>10.</w:t>
      </w:r>
      <w:r w:rsidRPr="00C824B8">
        <w:tab/>
        <w:t>odobri sklep, priložen tej resoluciji;</w:t>
      </w:r>
    </w:p>
    <w:p w:rsidR="00DA39DE" w:rsidRPr="00C824B8" w:rsidRDefault="00DA39DE" w:rsidP="00DA39DE">
      <w:pPr>
        <w:pStyle w:val="NormalHanging12a"/>
        <w:rPr>
          <w:noProof/>
        </w:rPr>
      </w:pPr>
      <w:r w:rsidRPr="00C824B8">
        <w:t>11.</w:t>
      </w:r>
      <w:r w:rsidRPr="00C824B8">
        <w:tab/>
        <w:t xml:space="preserve">naroči svoji predsednici, naj podpiše ta sklep skupaj s predsedujočim Svetu ter poskrbi za njegovo objavo v </w:t>
      </w:r>
      <w:r w:rsidRPr="00C824B8">
        <w:rPr>
          <w:i/>
        </w:rPr>
        <w:t>Uradnem listu Evropske unije</w:t>
      </w:r>
      <w:r w:rsidRPr="00C824B8">
        <w:t>;</w:t>
      </w:r>
    </w:p>
    <w:p w:rsidR="00DA39DE" w:rsidRPr="00C824B8" w:rsidRDefault="00DA39DE" w:rsidP="00DA39DE">
      <w:pPr>
        <w:pStyle w:val="NormalHanging12a"/>
        <w:rPr>
          <w:noProof/>
        </w:rPr>
      </w:pPr>
      <w:r w:rsidRPr="00C824B8">
        <w:t>12.</w:t>
      </w:r>
      <w:r w:rsidRPr="00C824B8">
        <w:tab/>
        <w:t>naroči svoji predsednici, naj resolucijo skupaj s prilogo posreduje Svetu in Komisiji.</w:t>
      </w:r>
    </w:p>
    <w:p w:rsidR="00DA39DE" w:rsidRPr="00C824B8" w:rsidRDefault="00DA39DE" w:rsidP="00DA39DE">
      <w:pPr>
        <w:rPr>
          <w:noProof/>
        </w:rPr>
      </w:pPr>
    </w:p>
    <w:p w:rsidR="00DA39DE" w:rsidRPr="00C824B8" w:rsidRDefault="00DA39DE" w:rsidP="00DA39DE">
      <w:pPr>
        <w:pStyle w:val="PageHeading"/>
        <w:rPr>
          <w:noProof/>
        </w:rPr>
        <w:sectPr w:rsidR="00DA39DE" w:rsidRPr="00C824B8" w:rsidSect="001C74E1">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62C7F" w:rsidRPr="005E5E15" w:rsidRDefault="00DA39DE" w:rsidP="005E5E15">
      <w:pPr>
        <w:pStyle w:val="PageHeading"/>
        <w:rPr>
          <w:rFonts w:ascii="Times New Roman" w:hAnsi="Times New Roman" w:cs="Times New Roman"/>
        </w:rPr>
      </w:pPr>
      <w:bookmarkStart w:id="7" w:name="_Toc183523444"/>
      <w:r w:rsidRPr="005E5E15">
        <w:rPr>
          <w:rFonts w:ascii="Times New Roman" w:hAnsi="Times New Roman" w:cs="Times New Roman"/>
        </w:rPr>
        <w:lastRenderedPageBreak/>
        <w:t>PRILOGA</w:t>
      </w:r>
    </w:p>
    <w:p w:rsidR="00DA39DE" w:rsidRPr="005E5E15" w:rsidRDefault="00DA39DE" w:rsidP="005E5E15">
      <w:pPr>
        <w:pStyle w:val="PageHeading"/>
        <w:rPr>
          <w:rFonts w:ascii="Times New Roman" w:hAnsi="Times New Roman" w:cs="Times New Roman"/>
          <w:noProof/>
        </w:rPr>
      </w:pPr>
      <w:r w:rsidRPr="005E5E15">
        <w:rPr>
          <w:rFonts w:ascii="Times New Roman" w:hAnsi="Times New Roman" w:cs="Times New Roman"/>
        </w:rPr>
        <w:t>SKLEP EVROPSKEGA PARLAMENTA IN SVETA</w:t>
      </w:r>
      <w:bookmarkEnd w:id="7"/>
    </w:p>
    <w:p w:rsidR="00DA39DE" w:rsidRPr="005E5E15" w:rsidRDefault="00DA39DE" w:rsidP="005E5E15">
      <w:pPr>
        <w:pStyle w:val="NormalBold24a"/>
        <w:jc w:val="center"/>
      </w:pPr>
      <w:r w:rsidRPr="005E5E15">
        <w:t>o uporabi Solidarnostnega sklada Evro</w:t>
      </w:r>
      <w:bookmarkStart w:id="8" w:name="_GoBack"/>
      <w:bookmarkEnd w:id="8"/>
      <w:r w:rsidRPr="005E5E15">
        <w:t>pske unije za pomoč Nemčiji in Italiji v zvezi s poplavami leta 2024</w:t>
      </w:r>
    </w:p>
    <w:p w:rsidR="005E5E15" w:rsidRPr="00C824B8" w:rsidRDefault="005E5E15" w:rsidP="005E5E15">
      <w:pPr>
        <w:widowControl/>
        <w:spacing w:before="120" w:after="120"/>
      </w:pPr>
      <w:r w:rsidRPr="005E5E15">
        <w:rPr>
          <w:i/>
        </w:rPr>
        <w:t>(Besedilo te priloge tukaj ni navedeno, saj je enako končnemu aktu, Sklepu (EU) 2024/</w:t>
      </w:r>
      <w:r>
        <w:rPr>
          <w:i/>
        </w:rPr>
        <w:t>3105</w:t>
      </w:r>
      <w:r w:rsidRPr="005E5E15">
        <w:rPr>
          <w:i/>
        </w:rPr>
        <w:t>.)</w:t>
      </w:r>
    </w:p>
    <w:sectPr w:rsidR="005E5E15" w:rsidRPr="00C824B8" w:rsidSect="001C74E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109" w:rsidRPr="001C74E1" w:rsidRDefault="00051109">
      <w:r w:rsidRPr="001C74E1">
        <w:separator/>
      </w:r>
    </w:p>
  </w:endnote>
  <w:endnote w:type="continuationSeparator" w:id="0">
    <w:p w:rsidR="00051109" w:rsidRPr="001C74E1" w:rsidRDefault="00051109">
      <w:r w:rsidRPr="001C74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a??fc"/>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9DE" w:rsidRPr="001C74E1" w:rsidRDefault="00DA39DE" w:rsidP="004A08F4">
    <w:pPr>
      <w:pStyle w:val="EPFooter"/>
    </w:pPr>
    <w:r w:rsidRPr="001C74E1">
      <w:t>PE</w:t>
    </w:r>
    <w:r w:rsidRPr="001C74E1">
      <w:rPr>
        <w:rStyle w:val="HideTWBExt"/>
      </w:rPr>
      <w:t>&lt;NoPE&gt;</w:t>
    </w:r>
    <w:r w:rsidRPr="001C74E1">
      <w:t>765.249</w:t>
    </w:r>
    <w:r w:rsidRPr="001C74E1">
      <w:rPr>
        <w:rStyle w:val="HideTWBExt"/>
      </w:rPr>
      <w:t>&lt;/NoPE&gt;&lt;Version&gt;</w:t>
    </w:r>
    <w:r w:rsidRPr="001C74E1">
      <w:t>v02-00</w:t>
    </w:r>
    <w:r w:rsidRPr="001C74E1">
      <w:rPr>
        <w:rStyle w:val="HideTWBExt"/>
      </w:rPr>
      <w:t>&lt;/Version&gt;</w:t>
    </w:r>
    <w:r w:rsidRPr="001C74E1">
      <w:tab/>
    </w:r>
    <w:r w:rsidRPr="001C74E1">
      <w:fldChar w:fldCharType="begin"/>
    </w:r>
    <w:r w:rsidRPr="001C74E1">
      <w:instrText xml:space="preserve"> PAGE  \* MERGEFORMAT </w:instrText>
    </w:r>
    <w:r w:rsidRPr="001C74E1">
      <w:fldChar w:fldCharType="separate"/>
    </w:r>
    <w:r w:rsidR="001C74E1" w:rsidRPr="001C74E1">
      <w:rPr>
        <w:noProof/>
      </w:rPr>
      <w:t>2</w:t>
    </w:r>
    <w:r w:rsidRPr="001C74E1">
      <w:fldChar w:fldCharType="end"/>
    </w:r>
    <w:r w:rsidRPr="001C74E1">
      <w:t>/</w:t>
    </w:r>
    <w:fldSimple w:instr=" NUMPAGES  \* MERGEFORMAT ">
      <w:r w:rsidR="001C74E1" w:rsidRPr="001C74E1">
        <w:rPr>
          <w:noProof/>
        </w:rPr>
        <w:t>8</w:t>
      </w:r>
    </w:fldSimple>
    <w:r w:rsidRPr="001C74E1">
      <w:tab/>
    </w:r>
    <w:r w:rsidRPr="001C74E1">
      <w:rPr>
        <w:rStyle w:val="HideTWBExt"/>
      </w:rPr>
      <w:t>&lt;PathFdR&gt;</w:t>
    </w:r>
    <w:r w:rsidRPr="001C74E1">
      <w:t>RR\1310801SL.docx</w:t>
    </w:r>
    <w:r w:rsidRPr="001C74E1">
      <w:rPr>
        <w:rStyle w:val="HideTWBExt"/>
      </w:rPr>
      <w:t>&lt;/PathFdR&gt;</w:t>
    </w:r>
  </w:p>
  <w:p w:rsidR="00DA39DE" w:rsidRPr="001C74E1" w:rsidRDefault="00DA39DE" w:rsidP="004A08F4">
    <w:pPr>
      <w:pStyle w:val="EPFooter2"/>
    </w:pPr>
    <w:r w:rsidRPr="001C74E1">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9DE" w:rsidRPr="001C74E1" w:rsidRDefault="00DA39DE" w:rsidP="004A08F4">
    <w:pPr>
      <w:pStyle w:val="EPFooter"/>
    </w:pPr>
    <w:r w:rsidRPr="001C74E1">
      <w:rPr>
        <w:rStyle w:val="HideTWBExt"/>
      </w:rPr>
      <w:t>&lt;PathFdR&gt;</w:t>
    </w:r>
    <w:r w:rsidRPr="001C74E1">
      <w:t>RR\1310801SL.docx</w:t>
    </w:r>
    <w:r w:rsidRPr="001C74E1">
      <w:rPr>
        <w:rStyle w:val="HideTWBExt"/>
      </w:rPr>
      <w:t>&lt;/PathFdR&gt;</w:t>
    </w:r>
    <w:r w:rsidRPr="001C74E1">
      <w:tab/>
    </w:r>
    <w:r w:rsidRPr="001C74E1">
      <w:tab/>
      <w:t>PE</w:t>
    </w:r>
    <w:r w:rsidRPr="001C74E1">
      <w:rPr>
        <w:rStyle w:val="HideTWBExt"/>
      </w:rPr>
      <w:t>&lt;NoPE&gt;</w:t>
    </w:r>
    <w:r w:rsidRPr="001C74E1">
      <w:t>765.249</w:t>
    </w:r>
    <w:r w:rsidRPr="001C74E1">
      <w:rPr>
        <w:rStyle w:val="HideTWBExt"/>
      </w:rPr>
      <w:t>&lt;/NoPE&gt;&lt;Version&gt;</w:t>
    </w:r>
    <w:r w:rsidRPr="001C74E1">
      <w:t>v02-00</w:t>
    </w:r>
    <w:r w:rsidRPr="001C74E1">
      <w:rPr>
        <w:rStyle w:val="HideTWBExt"/>
      </w:rPr>
      <w:t>&lt;/Version&gt;</w:t>
    </w:r>
  </w:p>
  <w:p w:rsidR="00DA39DE" w:rsidRPr="001C74E1" w:rsidRDefault="00DA39DE" w:rsidP="004A08F4">
    <w:pPr>
      <w:pStyle w:val="EPFooter2"/>
    </w:pPr>
    <w:r w:rsidRPr="001C74E1">
      <w:t>SL</w:t>
    </w:r>
    <w:r w:rsidRPr="001C74E1">
      <w:tab/>
    </w:r>
    <w:r w:rsidRPr="001C74E1">
      <w:rPr>
        <w:b w:val="0"/>
        <w:i/>
        <w:color w:val="C0C0C0"/>
        <w:sz w:val="22"/>
      </w:rPr>
      <w:t>Združena v raznolikosti</w:t>
    </w:r>
    <w:r w:rsidRPr="001C74E1">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74E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74E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74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109" w:rsidRPr="001C74E1" w:rsidRDefault="00051109">
      <w:r w:rsidRPr="001C74E1">
        <w:separator/>
      </w:r>
    </w:p>
  </w:footnote>
  <w:footnote w:type="continuationSeparator" w:id="0">
    <w:p w:rsidR="00051109" w:rsidRPr="001C74E1" w:rsidRDefault="00051109">
      <w:r w:rsidRPr="001C74E1">
        <w:continuationSeparator/>
      </w:r>
    </w:p>
  </w:footnote>
  <w:footnote w:id="1">
    <w:p w:rsidR="00DA39DE" w:rsidRPr="001C74E1" w:rsidRDefault="00DA39DE" w:rsidP="001C74E1">
      <w:pPr>
        <w:pStyle w:val="FootnoteText"/>
        <w:ind w:left="567" w:hanging="567"/>
        <w:rPr>
          <w:sz w:val="24"/>
          <w:lang w:val="sl-SI"/>
        </w:rPr>
      </w:pPr>
      <w:r w:rsidRPr="001C74E1">
        <w:rPr>
          <w:rStyle w:val="FootnoteReference"/>
          <w:sz w:val="24"/>
          <w:lang w:val="sl-SI"/>
        </w:rPr>
        <w:footnoteRef/>
      </w:r>
      <w:r w:rsidR="001C74E1" w:rsidRPr="001C74E1">
        <w:rPr>
          <w:sz w:val="24"/>
          <w:lang w:val="sl-SI"/>
        </w:rPr>
        <w:t xml:space="preserve"> </w:t>
      </w:r>
      <w:r w:rsidR="001C74E1" w:rsidRPr="001C74E1">
        <w:rPr>
          <w:sz w:val="24"/>
          <w:lang w:val="sl-SI"/>
        </w:rPr>
        <w:tab/>
      </w:r>
      <w:r w:rsidRPr="001C74E1">
        <w:rPr>
          <w:sz w:val="24"/>
          <w:lang w:val="sl-SI"/>
        </w:rPr>
        <w:t xml:space="preserve">UL L 311, 14.11.2002, str. 3, ELI: </w:t>
      </w:r>
      <w:hyperlink r:id="rId1" w:history="1">
        <w:r w:rsidRPr="001C74E1">
          <w:rPr>
            <w:rStyle w:val="Hyperlink"/>
            <w:sz w:val="24"/>
            <w:lang w:val="sl-SI"/>
          </w:rPr>
          <w:t>http://data.europa.eu/eli/reg/2002/2012/oj</w:t>
        </w:r>
      </w:hyperlink>
      <w:r w:rsidRPr="001C74E1">
        <w:rPr>
          <w:sz w:val="24"/>
          <w:lang w:val="sl-SI"/>
        </w:rPr>
        <w:t>.</w:t>
      </w:r>
    </w:p>
  </w:footnote>
  <w:footnote w:id="2">
    <w:p w:rsidR="00DA39DE" w:rsidRPr="001C74E1" w:rsidRDefault="00DA39DE" w:rsidP="001C74E1">
      <w:pPr>
        <w:pStyle w:val="FootnoteText"/>
        <w:ind w:left="567" w:hanging="567"/>
        <w:rPr>
          <w:sz w:val="24"/>
          <w:lang w:val="sl-SI"/>
        </w:rPr>
      </w:pPr>
      <w:r w:rsidRPr="001C74E1">
        <w:rPr>
          <w:rStyle w:val="FootnoteReference"/>
          <w:sz w:val="24"/>
          <w:lang w:val="sl-SI"/>
        </w:rPr>
        <w:footnoteRef/>
      </w:r>
      <w:r w:rsidR="001C74E1" w:rsidRPr="001C74E1">
        <w:rPr>
          <w:sz w:val="24"/>
          <w:lang w:val="sl-SI"/>
        </w:rPr>
        <w:t xml:space="preserve"> </w:t>
      </w:r>
      <w:r w:rsidR="001C74E1" w:rsidRPr="001C74E1">
        <w:rPr>
          <w:sz w:val="24"/>
          <w:lang w:val="sl-SI"/>
        </w:rPr>
        <w:tab/>
      </w:r>
      <w:r w:rsidRPr="001C74E1">
        <w:rPr>
          <w:sz w:val="24"/>
          <w:lang w:val="sl-SI"/>
        </w:rPr>
        <w:t xml:space="preserve">UL L 433 I, 22.12.2020, str. 11, ELI: </w:t>
      </w:r>
      <w:hyperlink r:id="rId2" w:history="1">
        <w:r w:rsidRPr="001C74E1">
          <w:rPr>
            <w:rStyle w:val="Hyperlink"/>
            <w:sz w:val="24"/>
            <w:lang w:val="sl-SI"/>
          </w:rPr>
          <w:t>http://data.europa.eu/eli/reg/2020/2093/oj</w:t>
        </w:r>
      </w:hyperlink>
      <w:r w:rsidRPr="001C74E1">
        <w:rPr>
          <w:sz w:val="24"/>
          <w:lang w:val="sl-SI"/>
        </w:rPr>
        <w:t>.</w:t>
      </w:r>
    </w:p>
  </w:footnote>
  <w:footnote w:id="3">
    <w:p w:rsidR="00DA39DE" w:rsidRPr="001C74E1" w:rsidRDefault="00DA39DE" w:rsidP="001C74E1">
      <w:pPr>
        <w:pStyle w:val="FootnoteText"/>
        <w:ind w:left="567" w:hanging="567"/>
        <w:rPr>
          <w:sz w:val="24"/>
          <w:lang w:val="sl-SI"/>
        </w:rPr>
      </w:pPr>
      <w:r w:rsidRPr="001C74E1">
        <w:rPr>
          <w:rStyle w:val="FootnoteReference"/>
          <w:sz w:val="24"/>
          <w:lang w:val="sl-SI"/>
        </w:rPr>
        <w:footnoteRef/>
      </w:r>
      <w:r w:rsidR="001C74E1" w:rsidRPr="001C74E1">
        <w:rPr>
          <w:sz w:val="24"/>
          <w:lang w:val="sl-SI"/>
        </w:rPr>
        <w:t xml:space="preserve"> </w:t>
      </w:r>
      <w:r w:rsidR="001C74E1" w:rsidRPr="001C74E1">
        <w:rPr>
          <w:sz w:val="24"/>
          <w:lang w:val="sl-SI"/>
        </w:rPr>
        <w:tab/>
      </w:r>
      <w:r w:rsidRPr="001C74E1">
        <w:rPr>
          <w:sz w:val="24"/>
          <w:lang w:val="sl-SI"/>
        </w:rPr>
        <w:t xml:space="preserve">UL L 433 I, 22.12.2020, str. 28, ELI: </w:t>
      </w:r>
      <w:hyperlink r:id="rId3" w:history="1">
        <w:r w:rsidRPr="001C74E1">
          <w:rPr>
            <w:rStyle w:val="Hyperlink"/>
            <w:sz w:val="24"/>
            <w:lang w:val="sl-SI"/>
          </w:rPr>
          <w:t>http://data.europa.eu/eli/agree_interinstit/2020/1222/oj</w:t>
        </w:r>
      </w:hyperlink>
      <w:r w:rsidRPr="001C74E1">
        <w:rPr>
          <w:sz w:val="24"/>
          <w:lang w:val="sl-SI"/>
        </w:rPr>
        <w:t>.</w:t>
      </w:r>
    </w:p>
  </w:footnote>
  <w:footnote w:id="4">
    <w:p w:rsidR="00DA39DE" w:rsidRPr="001C74E1" w:rsidRDefault="00DA39DE" w:rsidP="001C74E1">
      <w:pPr>
        <w:pStyle w:val="FootnoteText"/>
        <w:ind w:left="567" w:hanging="567"/>
        <w:rPr>
          <w:sz w:val="24"/>
          <w:lang w:val="sl-SI"/>
        </w:rPr>
      </w:pPr>
      <w:r w:rsidRPr="001C74E1">
        <w:rPr>
          <w:rStyle w:val="FootnoteReference"/>
          <w:sz w:val="24"/>
          <w:lang w:val="sl-SI"/>
        </w:rPr>
        <w:footnoteRef/>
      </w:r>
      <w:r w:rsidR="001C74E1" w:rsidRPr="001C74E1">
        <w:rPr>
          <w:sz w:val="24"/>
          <w:lang w:val="sl-SI"/>
        </w:rPr>
        <w:t xml:space="preserve"> </w:t>
      </w:r>
      <w:r w:rsidR="001C74E1" w:rsidRPr="001C74E1">
        <w:rPr>
          <w:sz w:val="24"/>
          <w:lang w:val="sl-SI"/>
        </w:rPr>
        <w:tab/>
      </w:r>
      <w:r w:rsidRPr="001C74E1">
        <w:rPr>
          <w:sz w:val="24"/>
          <w:lang w:val="sl-SI"/>
        </w:rPr>
        <w:t xml:space="preserve">UL L 231, 30.6.2021, str. 60, ELI: </w:t>
      </w:r>
      <w:hyperlink r:id="rId4" w:history="1">
        <w:r w:rsidRPr="001C74E1">
          <w:rPr>
            <w:rStyle w:val="Hyperlink"/>
            <w:sz w:val="24"/>
            <w:lang w:val="sl-SI"/>
          </w:rPr>
          <w:t>http://data.europa.eu/eli/reg/2021/1058/oj</w:t>
        </w:r>
      </w:hyperlink>
      <w:r w:rsidRPr="001C74E1">
        <w:rPr>
          <w:sz w:val="24"/>
          <w:lang w:val="sl-SI"/>
        </w:rPr>
        <w:t>.</w:t>
      </w:r>
    </w:p>
  </w:footnote>
  <w:footnote w:id="5">
    <w:p w:rsidR="00DA39DE" w:rsidRPr="001C74E1" w:rsidRDefault="00DA39DE" w:rsidP="00E62C7F">
      <w:pPr>
        <w:pStyle w:val="FootnoteText"/>
        <w:ind w:left="567" w:hanging="567"/>
        <w:rPr>
          <w:sz w:val="24"/>
          <w:lang w:val="sl-SI"/>
        </w:rPr>
      </w:pPr>
      <w:r w:rsidRPr="001C74E1">
        <w:rPr>
          <w:rStyle w:val="FootnoteReference"/>
          <w:sz w:val="24"/>
          <w:lang w:val="sl-SI"/>
        </w:rPr>
        <w:footnoteRef/>
      </w:r>
      <w:r w:rsidR="001C74E1" w:rsidRPr="001C74E1">
        <w:rPr>
          <w:sz w:val="24"/>
          <w:lang w:val="sl-SI"/>
        </w:rPr>
        <w:t xml:space="preserve"> </w:t>
      </w:r>
      <w:r w:rsidR="001C74E1" w:rsidRPr="001C74E1">
        <w:rPr>
          <w:sz w:val="24"/>
          <w:lang w:val="sl-SI"/>
        </w:rPr>
        <w:tab/>
      </w:r>
      <w:r w:rsidRPr="001C74E1">
        <w:rPr>
          <w:sz w:val="24"/>
          <w:lang w:val="sl-SI"/>
        </w:rPr>
        <w:t xml:space="preserve">UL L 435, 6.12.2021, str. 1, ELI: </w:t>
      </w:r>
      <w:hyperlink r:id="rId5" w:history="1">
        <w:r w:rsidRPr="001C74E1">
          <w:rPr>
            <w:rStyle w:val="Hyperlink"/>
            <w:sz w:val="24"/>
            <w:lang w:val="sl-SI"/>
          </w:rPr>
          <w:t>http://data.europa.eu/eli/reg/2021/2115/oj</w:t>
        </w:r>
      </w:hyperlink>
      <w:r w:rsidRPr="001C74E1">
        <w:rPr>
          <w:rStyle w:val="Hyperlink"/>
          <w:sz w:val="24"/>
          <w:lang w:val="sl-SI"/>
        </w:rPr>
        <w:t>.</w:t>
      </w:r>
      <w:r w:rsidRPr="001C74E1">
        <w:rPr>
          <w:sz w:val="24"/>
          <w:lang w:val="sl-SI"/>
        </w:rPr>
        <w:t xml:space="preserve"> </w:t>
      </w:r>
    </w:p>
  </w:footnote>
  <w:footnote w:id="6">
    <w:p w:rsidR="00DA39DE" w:rsidRPr="001C74E1" w:rsidRDefault="00DA39DE" w:rsidP="001C74E1">
      <w:pPr>
        <w:pStyle w:val="FootnoteText"/>
        <w:ind w:left="567" w:hanging="567"/>
        <w:rPr>
          <w:sz w:val="24"/>
          <w:lang w:val="sl-SI"/>
        </w:rPr>
      </w:pPr>
      <w:r w:rsidRPr="001C74E1">
        <w:rPr>
          <w:rStyle w:val="FootnoteReference"/>
          <w:sz w:val="24"/>
          <w:lang w:val="sl-SI"/>
        </w:rPr>
        <w:footnoteRef/>
      </w:r>
      <w:r w:rsidR="001C74E1" w:rsidRPr="001C74E1">
        <w:rPr>
          <w:sz w:val="24"/>
          <w:lang w:val="sl-SI"/>
        </w:rPr>
        <w:t xml:space="preserve"> </w:t>
      </w:r>
      <w:r w:rsidR="001C74E1" w:rsidRPr="001C74E1">
        <w:rPr>
          <w:sz w:val="24"/>
          <w:lang w:val="sl-SI"/>
        </w:rPr>
        <w:tab/>
      </w:r>
      <w:r w:rsidRPr="001C74E1">
        <w:rPr>
          <w:sz w:val="24"/>
          <w:lang w:val="sl-SI"/>
        </w:rPr>
        <w:t>Sprejeta besedila, P9_TA(2024)0082.</w:t>
      </w:r>
    </w:p>
  </w:footnote>
  <w:footnote w:id="7">
    <w:p w:rsidR="00DA39DE" w:rsidRPr="001C74E1" w:rsidRDefault="00DA39DE" w:rsidP="001C74E1">
      <w:pPr>
        <w:pStyle w:val="FootnoteText"/>
        <w:ind w:left="567" w:hanging="567"/>
        <w:rPr>
          <w:sz w:val="24"/>
          <w:lang w:val="sl-SI"/>
        </w:rPr>
      </w:pPr>
      <w:r w:rsidRPr="001C74E1">
        <w:rPr>
          <w:rStyle w:val="FootnoteReference"/>
          <w:sz w:val="24"/>
          <w:lang w:val="sl-SI"/>
        </w:rPr>
        <w:footnoteRef/>
      </w:r>
      <w:r w:rsidR="001C74E1" w:rsidRPr="001C74E1">
        <w:rPr>
          <w:sz w:val="24"/>
          <w:lang w:val="sl-SI"/>
        </w:rPr>
        <w:t xml:space="preserve"> </w:t>
      </w:r>
      <w:r w:rsidR="001C74E1" w:rsidRPr="001C74E1">
        <w:rPr>
          <w:sz w:val="24"/>
          <w:lang w:val="sl-SI"/>
        </w:rPr>
        <w:tab/>
      </w:r>
      <w:r w:rsidR="008A2D61">
        <w:rPr>
          <w:sz w:val="24"/>
          <w:lang w:val="sl-SI"/>
        </w:rPr>
        <w:t>UL C 184, 5.</w:t>
      </w:r>
      <w:r w:rsidRPr="001C74E1">
        <w:rPr>
          <w:sz w:val="24"/>
          <w:lang w:val="sl-SI"/>
        </w:rPr>
        <w:t>5.2022, str. 82.</w:t>
      </w:r>
    </w:p>
  </w:footnote>
  <w:footnote w:id="8">
    <w:p w:rsidR="00DA39DE" w:rsidRPr="001C74E1" w:rsidRDefault="00DA39DE" w:rsidP="001C74E1">
      <w:pPr>
        <w:pStyle w:val="FootnoteText"/>
        <w:ind w:left="567" w:hanging="567"/>
        <w:rPr>
          <w:sz w:val="24"/>
          <w:lang w:val="sl-SI"/>
        </w:rPr>
      </w:pPr>
      <w:r w:rsidRPr="001C74E1">
        <w:rPr>
          <w:rStyle w:val="FootnoteReference"/>
          <w:sz w:val="24"/>
          <w:lang w:val="sl-SI"/>
        </w:rPr>
        <w:footnoteRef/>
      </w:r>
      <w:r w:rsidR="001C74E1" w:rsidRPr="001C74E1">
        <w:rPr>
          <w:sz w:val="24"/>
          <w:lang w:val="sl-SI"/>
        </w:rPr>
        <w:t xml:space="preserve"> </w:t>
      </w:r>
      <w:r w:rsidR="001C74E1" w:rsidRPr="001C74E1">
        <w:rPr>
          <w:sz w:val="24"/>
          <w:lang w:val="sl-SI"/>
        </w:rPr>
        <w:tab/>
      </w:r>
      <w:r w:rsidRPr="001C74E1">
        <w:rPr>
          <w:sz w:val="24"/>
          <w:lang w:val="sl-SI"/>
        </w:rPr>
        <w:t>UL C 15, 12.1.2022, str. 2.</w:t>
      </w:r>
    </w:p>
  </w:footnote>
  <w:footnote w:id="9">
    <w:p w:rsidR="00E8358F" w:rsidRPr="00C824B8" w:rsidRDefault="00E8358F" w:rsidP="00C824B8">
      <w:pPr>
        <w:pStyle w:val="FootnoteText"/>
        <w:ind w:left="567" w:hanging="567"/>
        <w:rPr>
          <w:sz w:val="24"/>
          <w:szCs w:val="24"/>
          <w:lang w:val="sl-SI"/>
        </w:rPr>
      </w:pPr>
      <w:r w:rsidRPr="00C824B8">
        <w:rPr>
          <w:rStyle w:val="FootnoteReference"/>
          <w:sz w:val="24"/>
          <w:szCs w:val="24"/>
        </w:rPr>
        <w:footnoteRef/>
      </w:r>
      <w:r w:rsidRPr="00C824B8">
        <w:rPr>
          <w:sz w:val="24"/>
          <w:szCs w:val="24"/>
          <w:lang w:val="sl-SI"/>
        </w:rPr>
        <w:t xml:space="preserve"> </w:t>
      </w:r>
      <w:r w:rsidRPr="00C824B8">
        <w:rPr>
          <w:sz w:val="24"/>
          <w:szCs w:val="24"/>
          <w:lang w:val="sl-SI"/>
        </w:rPr>
        <w:tab/>
        <w:t>Uredba (EU) 2021/241 Evropskega parlamenta in Sveta z dne 12. februarja 2021 o vzpostavitvi Mehanizma za okrevanje in odpornost (UL L 57, 18.2.2021, str. 17).</w:t>
      </w:r>
    </w:p>
  </w:footnote>
  <w:footnote w:id="10">
    <w:p w:rsidR="00DA39DE" w:rsidRPr="001C74E1" w:rsidRDefault="00DA39DE" w:rsidP="001C74E1">
      <w:pPr>
        <w:pStyle w:val="FootnoteText"/>
        <w:ind w:left="567" w:hanging="567"/>
        <w:rPr>
          <w:sz w:val="24"/>
          <w:lang w:val="sl-SI"/>
        </w:rPr>
      </w:pPr>
      <w:r w:rsidRPr="001C74E1">
        <w:rPr>
          <w:rStyle w:val="FootnoteReference"/>
          <w:sz w:val="24"/>
          <w:lang w:val="sl-SI"/>
        </w:rPr>
        <w:footnoteRef/>
      </w:r>
      <w:r w:rsidR="001C74E1" w:rsidRPr="001C74E1">
        <w:rPr>
          <w:sz w:val="24"/>
          <w:lang w:val="sl-SI"/>
        </w:rPr>
        <w:t xml:space="preserve"> </w:t>
      </w:r>
      <w:r w:rsidR="001C74E1" w:rsidRPr="001C74E1">
        <w:rPr>
          <w:sz w:val="24"/>
          <w:lang w:val="sl-SI"/>
        </w:rPr>
        <w:tab/>
      </w:r>
      <w:r w:rsidRPr="001C74E1">
        <w:rPr>
          <w:sz w:val="24"/>
          <w:lang w:val="sl-SI"/>
        </w:rPr>
        <w:t>Predlog Evropske komisije z dne 21. oktobra 2024 za uredbo Evropskega parlamenta in Sveta RESTORE – regionalna nujna pomoč za obnovo ter sprememba Uredbe (EU) 2021/1058 in Uredbe (EU) 2021/1057 (COM(2024)0496).</w:t>
      </w:r>
    </w:p>
  </w:footnote>
  <w:footnote w:id="11">
    <w:p w:rsidR="00DA39DE" w:rsidRPr="001C74E1" w:rsidRDefault="00DA39DE" w:rsidP="001C74E1">
      <w:pPr>
        <w:pStyle w:val="FootnoteText"/>
        <w:ind w:left="567" w:hanging="567"/>
        <w:rPr>
          <w:sz w:val="24"/>
          <w:lang w:val="sl-SI"/>
        </w:rPr>
      </w:pPr>
      <w:r w:rsidRPr="001C74E1">
        <w:rPr>
          <w:rStyle w:val="FootnoteReference"/>
          <w:sz w:val="24"/>
          <w:lang w:val="sl-SI"/>
        </w:rPr>
        <w:footnoteRef/>
      </w:r>
      <w:r w:rsidR="001C74E1" w:rsidRPr="001C74E1">
        <w:rPr>
          <w:sz w:val="24"/>
          <w:lang w:val="sl-SI"/>
        </w:rPr>
        <w:t xml:space="preserve"> </w:t>
      </w:r>
      <w:r w:rsidR="001C74E1" w:rsidRPr="001C74E1">
        <w:rPr>
          <w:sz w:val="24"/>
          <w:lang w:val="sl-SI"/>
        </w:rPr>
        <w:tab/>
      </w:r>
      <w:r w:rsidRPr="001C74E1">
        <w:rPr>
          <w:sz w:val="24"/>
          <w:lang w:val="sl-SI"/>
        </w:rPr>
        <w:t>Predlog Evropske komisije z dne 21. oktobra 2024 za uredbo Evropskega parlamenta in Sveta o spremembi Uredbe (EU) 2020/2220 glede posebnih ukrepov v okviru Evropskega kmetijskega sklada za razvoj podeželja (EKSRP) za zagotovitev dodatne pomoči državam članicam, ki so jih prizadele naravne nesreče (COM(2024)0495).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74E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74E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74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4"/>
    <w:docVar w:name="dvlangue" w:val="SL"/>
    <w:docVar w:name="dvnumam" w:val="0"/>
    <w:docVar w:name="dvpe" w:val="765.249"/>
    <w:docVar w:name="dvrapporteur" w:val="Poročevalec: "/>
    <w:docVar w:name="dvtitre" w:val="Resolucija Evropskega parlamenta z dne 27. novembra 2024 o predlogu sklepa Evropskega parlamenta in Sveta o uporabi Solidarnostnega sklada Evropske unije za pomoč Nemčiji in Italiji v zvezi s poplavami leta 2024(COM(2024)0480 – C10-0162/2024 – 2024/0284(BUD))"/>
  </w:docVars>
  <w:rsids>
    <w:rsidRoot w:val="00051109"/>
    <w:rsid w:val="00002272"/>
    <w:rsid w:val="00051109"/>
    <w:rsid w:val="00064002"/>
    <w:rsid w:val="000677B9"/>
    <w:rsid w:val="000831BA"/>
    <w:rsid w:val="000A42CC"/>
    <w:rsid w:val="000E7DD9"/>
    <w:rsid w:val="0010095E"/>
    <w:rsid w:val="00125B37"/>
    <w:rsid w:val="00187494"/>
    <w:rsid w:val="001C74E1"/>
    <w:rsid w:val="001C7B28"/>
    <w:rsid w:val="001F32AE"/>
    <w:rsid w:val="002767FF"/>
    <w:rsid w:val="002B18FE"/>
    <w:rsid w:val="002B5493"/>
    <w:rsid w:val="002C645C"/>
    <w:rsid w:val="00343214"/>
    <w:rsid w:val="00361C00"/>
    <w:rsid w:val="00395FA1"/>
    <w:rsid w:val="003E15D4"/>
    <w:rsid w:val="00411CCE"/>
    <w:rsid w:val="0041666E"/>
    <w:rsid w:val="00421060"/>
    <w:rsid w:val="004345CA"/>
    <w:rsid w:val="00471C19"/>
    <w:rsid w:val="004867E3"/>
    <w:rsid w:val="00494A28"/>
    <w:rsid w:val="004C0004"/>
    <w:rsid w:val="004C5D52"/>
    <w:rsid w:val="0050519A"/>
    <w:rsid w:val="005072A1"/>
    <w:rsid w:val="00514517"/>
    <w:rsid w:val="00545827"/>
    <w:rsid w:val="00560270"/>
    <w:rsid w:val="005C2568"/>
    <w:rsid w:val="005E5E15"/>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665F0"/>
    <w:rsid w:val="00881A7B"/>
    <w:rsid w:val="008840E5"/>
    <w:rsid w:val="00887B3E"/>
    <w:rsid w:val="008A2D61"/>
    <w:rsid w:val="008C2AC6"/>
    <w:rsid w:val="008E0EE0"/>
    <w:rsid w:val="00930C23"/>
    <w:rsid w:val="0093193B"/>
    <w:rsid w:val="009509D8"/>
    <w:rsid w:val="00950B64"/>
    <w:rsid w:val="00981893"/>
    <w:rsid w:val="00A1687D"/>
    <w:rsid w:val="00A43E18"/>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24B8"/>
    <w:rsid w:val="00C941CB"/>
    <w:rsid w:val="00CC2357"/>
    <w:rsid w:val="00CF071A"/>
    <w:rsid w:val="00D058B8"/>
    <w:rsid w:val="00D56C11"/>
    <w:rsid w:val="00D834A0"/>
    <w:rsid w:val="00D872DF"/>
    <w:rsid w:val="00D91E21"/>
    <w:rsid w:val="00DA39DE"/>
    <w:rsid w:val="00DA7FCD"/>
    <w:rsid w:val="00E365E1"/>
    <w:rsid w:val="00E62C7F"/>
    <w:rsid w:val="00E820A4"/>
    <w:rsid w:val="00E8358F"/>
    <w:rsid w:val="00EB006A"/>
    <w:rsid w:val="00EB4772"/>
    <w:rsid w:val="00ED169E"/>
    <w:rsid w:val="00ED4235"/>
    <w:rsid w:val="00F04346"/>
    <w:rsid w:val="00F075DC"/>
    <w:rsid w:val="00F149E9"/>
    <w:rsid w:val="00F5134D"/>
    <w:rsid w:val="00F74202"/>
    <w:rsid w:val="00F87713"/>
    <w:rsid w:val="00F9640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5861A7"/>
  <w15:chartTrackingRefBased/>
  <w15:docId w15:val="{F9A36DD7-7946-41B8-91D0-80BC3F8FB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A39D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DA39DE"/>
    <w:pPr>
      <w:keepNext/>
      <w:spacing w:after="480"/>
      <w:jc w:val="center"/>
    </w:pPr>
    <w:rPr>
      <w:rFonts w:ascii="Arial" w:hAnsi="Arial" w:cs="Arial"/>
      <w:b/>
    </w:rPr>
  </w:style>
  <w:style w:type="paragraph" w:customStyle="1" w:styleId="NormalHanging12a">
    <w:name w:val="NormalHanging12a"/>
    <w:basedOn w:val="Normal"/>
    <w:link w:val="NormalHanging12aChar"/>
    <w:rsid w:val="00DA39DE"/>
    <w:pPr>
      <w:spacing w:after="240"/>
      <w:ind w:left="567" w:hanging="567"/>
    </w:pPr>
  </w:style>
  <w:style w:type="paragraph" w:styleId="Header">
    <w:name w:val="header"/>
    <w:basedOn w:val="Normal"/>
    <w:link w:val="HeaderChar"/>
    <w:rsid w:val="00DA39DE"/>
    <w:pPr>
      <w:tabs>
        <w:tab w:val="center" w:pos="4513"/>
        <w:tab w:val="right" w:pos="9026"/>
      </w:tabs>
    </w:pPr>
  </w:style>
  <w:style w:type="character" w:customStyle="1" w:styleId="HeaderChar">
    <w:name w:val="Header Char"/>
    <w:basedOn w:val="DefaultParagraphFont"/>
    <w:link w:val="Header"/>
    <w:rsid w:val="00DA39DE"/>
    <w:rPr>
      <w:sz w:val="24"/>
      <w:lang w:val="sl-SI"/>
    </w:rPr>
  </w:style>
  <w:style w:type="paragraph" w:customStyle="1" w:styleId="NormalBold24a">
    <w:name w:val="NormalBold24a"/>
    <w:basedOn w:val="Normal"/>
    <w:rsid w:val="00DA39DE"/>
    <w:pPr>
      <w:spacing w:after="480"/>
    </w:pPr>
    <w:rPr>
      <w:b/>
      <w:bCs/>
    </w:rPr>
  </w:style>
  <w:style w:type="paragraph" w:customStyle="1" w:styleId="EPFooter">
    <w:name w:val="EPFooter"/>
    <w:basedOn w:val="Normal"/>
    <w:rsid w:val="00DA39DE"/>
    <w:pPr>
      <w:tabs>
        <w:tab w:val="center" w:pos="4535"/>
        <w:tab w:val="right" w:pos="9071"/>
      </w:tabs>
      <w:spacing w:before="240" w:after="240"/>
    </w:pPr>
    <w:rPr>
      <w:color w:val="010000"/>
      <w:sz w:val="22"/>
    </w:rPr>
  </w:style>
  <w:style w:type="paragraph" w:customStyle="1" w:styleId="EPComma">
    <w:name w:val="EPComma"/>
    <w:basedOn w:val="Normal"/>
    <w:rsid w:val="00DA39DE"/>
    <w:pPr>
      <w:spacing w:before="480" w:after="240"/>
    </w:pPr>
  </w:style>
  <w:style w:type="character" w:styleId="Hyperlink">
    <w:name w:val="Hyperlink"/>
    <w:basedOn w:val="DefaultParagraphFont"/>
    <w:rsid w:val="00DA39DE"/>
    <w:rPr>
      <w:color w:val="0563C1" w:themeColor="hyperlink"/>
      <w:u w:val="single"/>
    </w:rPr>
  </w:style>
  <w:style w:type="paragraph" w:styleId="NormalWeb">
    <w:name w:val="Normal (Web)"/>
    <w:basedOn w:val="Normal"/>
    <w:uiPriority w:val="99"/>
    <w:unhideWhenUsed/>
    <w:rsid w:val="00DA39DE"/>
    <w:pPr>
      <w:widowControl/>
      <w:spacing w:before="100" w:beforeAutospacing="1" w:after="100" w:afterAutospacing="1"/>
    </w:pPr>
    <w:rPr>
      <w:szCs w:val="24"/>
    </w:rPr>
  </w:style>
  <w:style w:type="paragraph" w:customStyle="1" w:styleId="Institutionquisigne">
    <w:name w:val="Institution qui signe"/>
    <w:basedOn w:val="Normal"/>
    <w:next w:val="Normal"/>
    <w:rsid w:val="00DA39DE"/>
    <w:pPr>
      <w:keepNext/>
      <w:widowControl/>
      <w:tabs>
        <w:tab w:val="left" w:pos="4252"/>
      </w:tabs>
      <w:spacing w:before="720"/>
      <w:jc w:val="both"/>
    </w:pPr>
    <w:rPr>
      <w:rFonts w:eastAsia="Calibri"/>
      <w:i/>
      <w:szCs w:val="22"/>
      <w:lang w:eastAsia="en-US"/>
    </w:rPr>
  </w:style>
  <w:style w:type="paragraph" w:customStyle="1" w:styleId="Point0">
    <w:name w:val="Point 0"/>
    <w:basedOn w:val="Normal"/>
    <w:rsid w:val="00DA39DE"/>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DA39DE"/>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DA39D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A39DE"/>
    <w:pPr>
      <w:keepNext/>
      <w:widowControl/>
      <w:spacing w:before="120" w:after="120"/>
      <w:jc w:val="both"/>
    </w:pPr>
    <w:rPr>
      <w:rFonts w:eastAsiaTheme="minorHAnsi"/>
      <w:szCs w:val="22"/>
      <w:lang w:eastAsia="en-US"/>
    </w:rPr>
  </w:style>
  <w:style w:type="paragraph" w:customStyle="1" w:styleId="Personnequisigne">
    <w:name w:val="Personne qui signe"/>
    <w:basedOn w:val="Normal"/>
    <w:next w:val="Institutionquisigne"/>
    <w:rsid w:val="00DA39DE"/>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rsid w:val="00DA39DE"/>
    <w:rPr>
      <w:sz w:val="24"/>
      <w:lang w:val="sl-SI"/>
    </w:rPr>
  </w:style>
  <w:style w:type="paragraph" w:styleId="Footer">
    <w:name w:val="footer"/>
    <w:basedOn w:val="Normal"/>
    <w:link w:val="FooterChar"/>
    <w:rsid w:val="004345CA"/>
    <w:pPr>
      <w:tabs>
        <w:tab w:val="center" w:pos="4513"/>
        <w:tab w:val="right" w:pos="9026"/>
      </w:tabs>
    </w:pPr>
  </w:style>
  <w:style w:type="character" w:customStyle="1" w:styleId="FooterChar">
    <w:name w:val="Footer Char"/>
    <w:basedOn w:val="DefaultParagraphFont"/>
    <w:link w:val="Footer"/>
    <w:rsid w:val="004345CA"/>
    <w:rPr>
      <w:sz w:val="24"/>
      <w:lang w:val="sl-SI"/>
    </w:rPr>
  </w:style>
  <w:style w:type="paragraph" w:styleId="BalloonText">
    <w:name w:val="Balloon Text"/>
    <w:basedOn w:val="Normal"/>
    <w:link w:val="BalloonTextChar"/>
    <w:rsid w:val="00E62C7F"/>
    <w:rPr>
      <w:rFonts w:ascii="Segoe UI" w:hAnsi="Segoe UI" w:cs="Segoe UI"/>
      <w:sz w:val="18"/>
      <w:szCs w:val="18"/>
    </w:rPr>
  </w:style>
  <w:style w:type="character" w:customStyle="1" w:styleId="BalloonTextChar">
    <w:name w:val="Balloon Text Char"/>
    <w:basedOn w:val="DefaultParagraphFont"/>
    <w:link w:val="BalloonText"/>
    <w:rsid w:val="00E62C7F"/>
    <w:rPr>
      <w:rFonts w:ascii="Segoe UI" w:hAnsi="Segoe UI" w:cs="Segoe UI"/>
      <w:sz w:val="18"/>
      <w:szCs w:val="18"/>
      <w:lang w:val="sl-SI"/>
    </w:rPr>
  </w:style>
  <w:style w:type="character" w:styleId="FollowedHyperlink">
    <w:name w:val="FollowedHyperlink"/>
    <w:basedOn w:val="DefaultParagraphFont"/>
    <w:rsid w:val="00E62C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5" Type="http://schemas.openxmlformats.org/officeDocument/2006/relationships/hyperlink" Target="http://data.europa.eu/eli/reg/2021/2115/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C4D28C-89AC-473F-9C36-525A0FEB1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1237</Words>
  <Characters>7299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2025-02-07T13:36:00Z</dcterms:created>
  <dcterms:modified xsi:type="dcterms:W3CDTF">2025-02-07T13:36:00Z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P10_TA(2024)0048_</vt:lpwstr>
  </property>
  <property fmtid="{D5CDD505-2E9C-101B-9397-08002B2CF9AE}" pid="4" name="&lt;Type&gt;">
    <vt:lpwstr>RR</vt:lpwstr>
  </property>
</Properties>
</file>