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0B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0BCE" w:rsidRDefault="00F471DF" w:rsidP="0010095E">
            <w:pPr>
              <w:pStyle w:val="EPName"/>
            </w:pPr>
            <w:r w:rsidRPr="00020BCE">
              <w:t>Европейски</w:t>
            </w:r>
            <w:r w:rsidR="00BC56A7" w:rsidRPr="00020BCE">
              <w:t xml:space="preserve"> парламент</w:t>
            </w:r>
          </w:p>
          <w:p w:rsidR="00751A4A" w:rsidRPr="00020B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0BCE">
              <w:t>2024</w:t>
            </w:r>
            <w:r w:rsidR="00F471DF">
              <w:t> – </w:t>
            </w:r>
            <w:r w:rsidR="00817416" w:rsidRPr="00020BCE">
              <w:t>202</w:t>
            </w:r>
            <w:r w:rsidRPr="00020BC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0BCE" w:rsidRDefault="00187494" w:rsidP="0010095E">
            <w:pPr>
              <w:pStyle w:val="EPLogo"/>
            </w:pPr>
            <w:r w:rsidRPr="00020B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0BCE" w:rsidRDefault="00D058B8" w:rsidP="004C5D52">
      <w:pPr>
        <w:pStyle w:val="LineTop"/>
      </w:pPr>
    </w:p>
    <w:p w:rsidR="00680577" w:rsidRPr="00020BCE" w:rsidRDefault="00BC56A7" w:rsidP="00680577">
      <w:pPr>
        <w:pStyle w:val="EPBodyTA1"/>
      </w:pPr>
      <w:r w:rsidRPr="00020BCE">
        <w:t>ПРИЕТИ ТЕКСТОВЕ</w:t>
      </w:r>
    </w:p>
    <w:p w:rsidR="00D058B8" w:rsidRPr="00020BCE" w:rsidRDefault="00D058B8" w:rsidP="00D058B8">
      <w:pPr>
        <w:pStyle w:val="LineBottom"/>
      </w:pPr>
    </w:p>
    <w:p w:rsidR="00BC56A7" w:rsidRPr="00020BCE" w:rsidRDefault="00BC56A7" w:rsidP="00BC56A7">
      <w:pPr>
        <w:pStyle w:val="ATHeading1"/>
      </w:pPr>
      <w:bookmarkStart w:id="0" w:name="TANumber"/>
      <w:r w:rsidRPr="00020BCE">
        <w:t>P10_TA(2024)00</w:t>
      </w:r>
      <w:r w:rsidR="002A024C">
        <w:t>49</w:t>
      </w:r>
      <w:bookmarkEnd w:id="0"/>
    </w:p>
    <w:p w:rsidR="00BC56A7" w:rsidRPr="00020BCE" w:rsidRDefault="00BC56A7" w:rsidP="00BC56A7">
      <w:pPr>
        <w:pStyle w:val="ATHeading2"/>
      </w:pPr>
      <w:bookmarkStart w:id="1" w:name="title"/>
      <w:r w:rsidRPr="00020BCE">
        <w:t>Проект на коригиращ бюджет № 5/2024 г.: Корекции на бюджетните кредити за плащания, актуализиране на приходи и други технически актуализации</w:t>
      </w:r>
      <w:bookmarkEnd w:id="1"/>
    </w:p>
    <w:p w:rsidR="00BC56A7" w:rsidRPr="00020BCE" w:rsidRDefault="00BC56A7" w:rsidP="00BC56A7">
      <w:pPr>
        <w:rPr>
          <w:i/>
          <w:vanish/>
        </w:rPr>
      </w:pPr>
      <w:r w:rsidRPr="00020BCE">
        <w:rPr>
          <w:i/>
        </w:rPr>
        <w:fldChar w:fldCharType="begin"/>
      </w:r>
      <w:r w:rsidRPr="00020BCE">
        <w:rPr>
          <w:i/>
        </w:rPr>
        <w:instrText xml:space="preserve"> TC"(</w:instrText>
      </w:r>
      <w:bookmarkStart w:id="2" w:name="DocNumber"/>
      <w:r w:rsidRPr="00020BCE">
        <w:rPr>
          <w:i/>
        </w:rPr>
        <w:instrText>A10-0017/2024</w:instrText>
      </w:r>
      <w:bookmarkEnd w:id="2"/>
      <w:r w:rsidRPr="00020BCE">
        <w:rPr>
          <w:i/>
        </w:rPr>
        <w:instrText xml:space="preserve"> - Докладчик: Зигфрид Мурешан)"\l3 \n&gt; \* MERGEFORMAT </w:instrText>
      </w:r>
      <w:r w:rsidRPr="00020BCE">
        <w:rPr>
          <w:i/>
        </w:rPr>
        <w:fldChar w:fldCharType="end"/>
      </w:r>
    </w:p>
    <w:p w:rsidR="00BC56A7" w:rsidRPr="00020BCE" w:rsidRDefault="00BC56A7" w:rsidP="00BC56A7">
      <w:pPr>
        <w:rPr>
          <w:vanish/>
        </w:rPr>
      </w:pPr>
      <w:bookmarkStart w:id="3" w:name="Commission"/>
      <w:r w:rsidRPr="00020BCE">
        <w:rPr>
          <w:vanish/>
        </w:rPr>
        <w:t>Комисия по бюджети</w:t>
      </w:r>
      <w:bookmarkEnd w:id="3"/>
    </w:p>
    <w:p w:rsidR="00BC56A7" w:rsidRPr="00020BCE" w:rsidRDefault="00BC56A7" w:rsidP="00BC56A7">
      <w:pPr>
        <w:rPr>
          <w:vanish/>
        </w:rPr>
      </w:pPr>
      <w:bookmarkStart w:id="4" w:name="PE"/>
      <w:r w:rsidRPr="00020BCE">
        <w:rPr>
          <w:vanish/>
        </w:rPr>
        <w:t>PE765.136</w:t>
      </w:r>
      <w:bookmarkEnd w:id="4"/>
    </w:p>
    <w:p w:rsidR="00BC56A7" w:rsidRPr="00020BCE" w:rsidRDefault="00BC56A7" w:rsidP="00F471DF">
      <w:pPr>
        <w:pStyle w:val="ATHeading3"/>
      </w:pPr>
      <w:bookmarkStart w:id="5" w:name="Sujet"/>
      <w:r w:rsidRPr="00020BCE">
        <w:t xml:space="preserve">Резолюция на Европейския парламент от </w:t>
      </w:r>
      <w:r w:rsidR="00F471DF">
        <w:t>27 ноември</w:t>
      </w:r>
      <w:r w:rsidR="00F471DF" w:rsidRPr="00020BCE">
        <w:t xml:space="preserve"> </w:t>
      </w:r>
      <w:r w:rsidRPr="00020BCE">
        <w:t>2024 г. относно позицията на Съвета относно проект на коригиращ бюджет № 5/2024 на Европейския съюз за финансовата 2024 година – корекции на бюджетните кредити за плащания, актуализация на приходите и други технически актуализации</w:t>
      </w:r>
      <w:bookmarkEnd w:id="5"/>
      <w:r w:rsidRPr="00020BCE">
        <w:t xml:space="preserve"> </w:t>
      </w:r>
      <w:bookmarkStart w:id="6" w:name="References"/>
      <w:r w:rsidRPr="00020BCE">
        <w:t>(14477/2024 – C10-0186/2024 – 2024/0252(BUD))</w:t>
      </w:r>
      <w:bookmarkEnd w:id="6"/>
    </w:p>
    <w:p w:rsidR="00FD3DDF" w:rsidRPr="00020BCE" w:rsidRDefault="00FD3DDF" w:rsidP="00FD3DDF">
      <w:pPr>
        <w:pStyle w:val="EPComma"/>
      </w:pPr>
      <w:bookmarkStart w:id="7" w:name="TextBodyBegin"/>
      <w:bookmarkEnd w:id="7"/>
      <w:r w:rsidRPr="00020BCE">
        <w:rPr>
          <w:i/>
          <w:iCs/>
        </w:rPr>
        <w:t>Европейският парламент</w:t>
      </w:r>
      <w:r w:rsidRPr="00020BCE">
        <w:t>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член 314 от Договора за функционирането на Европейския съюз,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член 106а от Договора за създаване на Европейската общност за атомна енергия,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Регламент (ЕС, Евратом) 2024/2509 на Европейския парламент и на Съвета от 23 септември 2024 г. относно финансовите правила, приложими за общия бюджет на Съюза</w:t>
      </w:r>
      <w:r w:rsidRPr="00020BCE">
        <w:rPr>
          <w:rStyle w:val="FootnoteReference"/>
        </w:rPr>
        <w:footnoteReference w:id="1"/>
      </w:r>
      <w:r w:rsidRPr="00020BCE">
        <w:t>, и по-специално член 44 от него,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общия бюджет на Европейския съюз за финансовата 2024 година, приет окончателно на 22 ноември 2023 г.</w:t>
      </w:r>
      <w:r w:rsidRPr="00020BCE">
        <w:rPr>
          <w:rStyle w:val="FootnoteReference"/>
        </w:rPr>
        <w:footnoteReference w:id="2"/>
      </w:r>
      <w:r w:rsidRPr="00020BCE">
        <w:t>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Регламент (ЕС, Евратом) 2020/2093 на Съвета от 17 декември 2020 г. за определяне на многогодишната финансова рамка за годините 2021 – 2027</w:t>
      </w:r>
      <w:r w:rsidRPr="00020BCE">
        <w:rPr>
          <w:rStyle w:val="FootnoteReference"/>
        </w:rPr>
        <w:footnoteReference w:id="3"/>
      </w:r>
      <w:r w:rsidRPr="00020BCE">
        <w:t>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020BCE">
        <w:rPr>
          <w:rStyle w:val="FootnoteReference"/>
        </w:rPr>
        <w:footnoteReference w:id="4"/>
      </w:r>
      <w:r w:rsidRPr="00020BCE">
        <w:t>,</w:t>
      </w:r>
    </w:p>
    <w:p w:rsidR="00FD3DDF" w:rsidRPr="00020BCE" w:rsidRDefault="00FD3DDF" w:rsidP="00FD3DDF">
      <w:pPr>
        <w:pStyle w:val="NormalHanging12a"/>
      </w:pPr>
      <w:r w:rsidRPr="00020BCE">
        <w:lastRenderedPageBreak/>
        <w:t>–</w:t>
      </w:r>
      <w:r w:rsidRPr="00020BCE">
        <w:tab/>
        <w:t>като взе предвид Решение (ЕС, Евратом) 2020/2053 на Съвета от 14 декември 2020 г. относно системата на собствените ресурси на Европейския съюз и за отмяна на Решение 2014/335/ЕС, Евратом</w:t>
      </w:r>
      <w:r w:rsidRPr="00020BCE">
        <w:rPr>
          <w:rStyle w:val="FootnoteReference"/>
        </w:rPr>
        <w:footnoteReference w:id="5"/>
      </w:r>
      <w:r w:rsidRPr="00020BCE">
        <w:t>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проект на коригиращ бюджет № 5/2024, приет от Комисията на 10 октомври 2024 г. (COM(2024)0650),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позицията относно проект на коригиращ бюджет № 5/2024, приета от Съвета на 5 ноември 2024 г. и предадена на Европейския парламент на 12 ноември 2024 г. (14477/2024 – C10-0186/2024),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членове 96 и 98 от своя Правилник за дейността,</w:t>
      </w:r>
    </w:p>
    <w:p w:rsidR="00FD3DDF" w:rsidRPr="00020BCE" w:rsidRDefault="00FD3DDF" w:rsidP="00FD3DDF">
      <w:pPr>
        <w:pStyle w:val="NormalHanging12a"/>
      </w:pPr>
      <w:r w:rsidRPr="00020BCE">
        <w:t>–</w:t>
      </w:r>
      <w:r w:rsidRPr="00020BCE">
        <w:tab/>
        <w:t>като взе предвид доклада на комисията по бюджети (A10-0017/2024),</w:t>
      </w:r>
    </w:p>
    <w:p w:rsidR="00FD3DDF" w:rsidRPr="00020BCE" w:rsidRDefault="00FD3DDF" w:rsidP="00FD3DDF">
      <w:pPr>
        <w:pStyle w:val="NormalHanging12a"/>
      </w:pPr>
      <w:r w:rsidRPr="00020BCE">
        <w:t>А.</w:t>
      </w:r>
      <w:r w:rsidRPr="00020BCE">
        <w:tab/>
        <w:t>като има предвид, че целта на проект на коригиращ бюджет № 5/2024 е да се направят корекции на разходите, по-специално по отношение на бюджетните кредити за плащания, и да се актуализират приходите за бюджета на Съюза;</w:t>
      </w:r>
    </w:p>
    <w:p w:rsidR="00FD3DDF" w:rsidRPr="00020BCE" w:rsidRDefault="00FD3DDF" w:rsidP="00FD3DDF">
      <w:pPr>
        <w:pStyle w:val="NormalHanging12a"/>
      </w:pPr>
      <w:r w:rsidRPr="00020BCE">
        <w:t>Б.</w:t>
      </w:r>
      <w:r w:rsidRPr="00020BCE">
        <w:tab/>
        <w:t>като има предвид, че по отношение на разходите проект на коригиращ бюджет № 5/2024 включва нетно увеличение в размер на 44,5 милиона евро бюджетни кредити за поети задължения и 2,95 милиона евро бюджетни кредити за плащания; като има предвид, че поради липсата на наличен марж по функции 2б, 5 и 7 на многогодишната финансова рамка (МФР) се предлага да бъдат мобилизирани още 7,2 милиона евро от Инструмента за гъвкавост и да бъдат използвани допълнителни 68,5 милиона евро от раздел а) на Единния инструмент за маржовете;</w:t>
      </w:r>
    </w:p>
    <w:p w:rsidR="00FD3DDF" w:rsidRPr="00020BCE" w:rsidRDefault="00FD3DDF" w:rsidP="00FD3DDF">
      <w:pPr>
        <w:pStyle w:val="NormalHanging12a"/>
      </w:pPr>
      <w:r w:rsidRPr="00020BCE">
        <w:t>В.</w:t>
      </w:r>
      <w:r w:rsidRPr="00020BCE">
        <w:tab/>
        <w:t>като има предвид, че в приходната част проект на коригиращ бюджет № 5/2024 включва в бюджета за 2024 г. платените до октомври 2024 г. окончателни глоби и санкции на обща стойност 2,82 милиарда евро, което означава, че за посрещане на нуждите от плащания са необходими допълнителни вноски на база БНД в размер на 139,9 милиона евро;</w:t>
      </w:r>
    </w:p>
    <w:p w:rsidR="00FD3DDF" w:rsidRPr="00020BCE" w:rsidRDefault="00FD3DDF" w:rsidP="00FD3DDF">
      <w:pPr>
        <w:pStyle w:val="NormalHanging12a"/>
      </w:pPr>
      <w:r w:rsidRPr="00020BCE">
        <w:t>Г.</w:t>
      </w:r>
      <w:r w:rsidRPr="00020BCE">
        <w:tab/>
        <w:t>като има предвид, че с проект на коригиращ бюджет № 5/2024 се въвеждат също така нови бюджетни редове за приходите и разходите за механизма за сътрудничество по заемите за Украйна, по линия на който ще се предоставя подкрепа чрез заеми, обслужвани и изплащани от бъдещи потоци от приходи от блокирани руски държавни активи;</w:t>
      </w:r>
    </w:p>
    <w:p w:rsidR="00FD3DDF" w:rsidRPr="00020BCE" w:rsidRDefault="00FD3DDF" w:rsidP="00FD3DDF">
      <w:pPr>
        <w:pStyle w:val="NormalHanging12a"/>
      </w:pPr>
      <w:r w:rsidRPr="00020BCE">
        <w:t>1.</w:t>
      </w:r>
      <w:r w:rsidRPr="00020BCE">
        <w:tab/>
        <w:t>отбелязва проект на коригиращ бюджет № 5/2024 във вида, в който е представен от Комисията;</w:t>
      </w:r>
    </w:p>
    <w:p w:rsidR="00FD3DDF" w:rsidRPr="00020BCE" w:rsidRDefault="00FD3DDF" w:rsidP="00FD3DDF">
      <w:pPr>
        <w:pStyle w:val="NormalHanging12a"/>
      </w:pPr>
      <w:r w:rsidRPr="00020BCE">
        <w:t>2.</w:t>
      </w:r>
      <w:r w:rsidRPr="00020BCE">
        <w:tab/>
        <w:t xml:space="preserve">приветства нарасналите нужди от плащания за Европейския фонд за регионално развитие (ЕФРР), съчетани с тези за общата селскостопанска политика в глобалния трансфер (DEC 11/24), като знак, че изпълнението на програмите набира скорост след тревожно бавен старт през периода 2021 – 2027 г.; </w:t>
      </w:r>
    </w:p>
    <w:p w:rsidR="00FD3DDF" w:rsidRPr="00020BCE" w:rsidRDefault="00FD3DDF" w:rsidP="00FD3DDF">
      <w:pPr>
        <w:pStyle w:val="NormalHanging12a"/>
      </w:pPr>
      <w:r w:rsidRPr="00020BCE">
        <w:t>3.</w:t>
      </w:r>
      <w:r w:rsidRPr="00020BCE">
        <w:tab/>
        <w:t xml:space="preserve">отбелязва със задоволство, че промените в правилата, въведени от платформата за стратегически технологии за Европа (STEP) – с извънредно предварително </w:t>
      </w:r>
      <w:r w:rsidRPr="00020BCE">
        <w:lastRenderedPageBreak/>
        <w:t>финансиране и доброволно съфинансиране в размер на 100% – оказаха положително въздействие върху изпълнението на ЕФРР, което означава, че държавите членки изразходват средства за целите на STEP; освен това счита, че увеличените плащания през 2024 г. следва да спомогнат за облекчаване на натиска върху плащанията между 2025 и 2027 г.;</w:t>
      </w:r>
    </w:p>
    <w:p w:rsidR="00FD3DDF" w:rsidRPr="00020BCE" w:rsidRDefault="00FD3DDF" w:rsidP="00FD3DDF">
      <w:pPr>
        <w:pStyle w:val="NormalHanging12a"/>
      </w:pPr>
      <w:r w:rsidRPr="00020BCE">
        <w:t>4.</w:t>
      </w:r>
      <w:r w:rsidRPr="00020BCE">
        <w:tab/>
        <w:t xml:space="preserve">отбелязва, че увеличените нужди от плащания се покриват почти изцяло чрез приходи от глоби и санкции, по-специално глобата в областта на конкуренцията в размер на 2,4 милиарда евро, наложена на </w:t>
      </w:r>
      <w:proofErr w:type="spellStart"/>
      <w:r w:rsidRPr="00020BCE">
        <w:t>Google</w:t>
      </w:r>
      <w:proofErr w:type="spellEnd"/>
      <w:r w:rsidRPr="00020BCE">
        <w:t xml:space="preserve"> за нарушения на </w:t>
      </w:r>
      <w:proofErr w:type="spellStart"/>
      <w:r w:rsidRPr="00020BCE">
        <w:t>антитръстовите</w:t>
      </w:r>
      <w:proofErr w:type="spellEnd"/>
      <w:r w:rsidRPr="00020BCE">
        <w:t xml:space="preserve"> правила;</w:t>
      </w:r>
    </w:p>
    <w:p w:rsidR="00FD3DDF" w:rsidRPr="00020BCE" w:rsidRDefault="00FD3DDF" w:rsidP="00FD3DDF">
      <w:pPr>
        <w:pStyle w:val="NormalHanging12a"/>
      </w:pPr>
      <w:r w:rsidRPr="00020BCE">
        <w:t>5.</w:t>
      </w:r>
      <w:r w:rsidRPr="00020BCE">
        <w:tab/>
        <w:t>отново изтъква необходимостта от дългосрочни устойчиви приходи за бюджета на Съюза, който през последните години беше подложен на силен натиск, за да се реагира на различни кризи; поради това изразява съжаление относно липсата на напредък в Съвета по реформата на системата на собствените ресурси в съответствие с пътната карта в междуинституционалното споразумение; припомня своята позиция в подкрепа на изменените предложения на Комисията и настоятелно призовава Съвета и държавите членки бързо да приемат тези предложения с цел увеличаване на собствените ресурси, с които разполага бюджетът на Съюза; припомня дългогодишната си позиция, че глобите и таксите следва да се използват като допълнителни приходи за бюджета на Съюза;</w:t>
      </w:r>
    </w:p>
    <w:p w:rsidR="00FD3DDF" w:rsidRPr="00020BCE" w:rsidRDefault="00FD3DDF" w:rsidP="00FD3DDF">
      <w:pPr>
        <w:pStyle w:val="NormalHanging12a"/>
      </w:pPr>
      <w:r w:rsidRPr="00020BCE">
        <w:t>6.</w:t>
      </w:r>
      <w:r w:rsidRPr="00020BCE">
        <w:tab/>
        <w:t xml:space="preserve">приветства включването на бюджетни редове за приходите и разходите за механизма за сътрудничество по заемите за Украйна; подчертава значението на устойчивата финансова подкрепа за Украйна в контекст, в който финансирането по линия на механизма за Украйна и съществуващите договорености за </w:t>
      </w:r>
      <w:proofErr w:type="spellStart"/>
      <w:r w:rsidRPr="00020BCE">
        <w:t>макрофинансовата</w:t>
      </w:r>
      <w:proofErr w:type="spellEnd"/>
      <w:r w:rsidRPr="00020BCE">
        <w:t xml:space="preserve"> помощ (МФП) не отговаря на нуждите; </w:t>
      </w:r>
    </w:p>
    <w:p w:rsidR="00FD3DDF" w:rsidRPr="00020BCE" w:rsidRDefault="00FD3DDF" w:rsidP="00FD3DDF">
      <w:pPr>
        <w:pStyle w:val="NormalHanging12a"/>
      </w:pPr>
      <w:r w:rsidRPr="00020BCE">
        <w:t>7.</w:t>
      </w:r>
      <w:r w:rsidRPr="00020BCE">
        <w:tab/>
        <w:t xml:space="preserve">припомня, че допълнителните заеми за МФП ще бъдат обезпечени от маржа на бюджета, и отново призовава Комисията да предостави на бюджетния орган подробности относно сумирането на пасивите към маржа в зависимост от операциите по получаване и отпускане на заеми; очаква Комисията да предостави на Парламента и на Съвета цялата необходима информация съгласно своето изявление, приложено към Регламент (ЕС) 2024/2773 на </w:t>
      </w:r>
      <w:r w:rsidRPr="00020BCE">
        <w:rPr>
          <w:color w:val="333333"/>
          <w:shd w:val="clear" w:color="auto" w:fill="FFFFFF"/>
        </w:rPr>
        <w:t>Европейския парламент и на Съвета</w:t>
      </w:r>
      <w:r w:rsidRPr="00020BCE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020BCE">
        <w:t>;</w:t>
      </w:r>
    </w:p>
    <w:p w:rsidR="00FD3DDF" w:rsidRPr="00020BCE" w:rsidRDefault="00FD3DDF" w:rsidP="00FD3DDF">
      <w:pPr>
        <w:pStyle w:val="NormalHanging12a"/>
      </w:pPr>
      <w:r w:rsidRPr="00020BCE">
        <w:t>8.</w:t>
      </w:r>
      <w:r w:rsidRPr="00020BCE">
        <w:tab/>
        <w:t>отбелязва по-високата от предвидената в бюджета корекция на заплатите за 2024 г., която оказва въздействие както върху възнагражденията, така и върху пенсиите, като по-високият от прогнозирания брой на новите пенсионери през 2024 г. увеличава още повече разходите за пенсии; приветства факта, че почти всички допълнителни разходи във всички институции са покрити чрез вътрешни преразпределения и че поради това прибягването до Единния инструмент за маржовете е ограничено;</w:t>
      </w:r>
    </w:p>
    <w:p w:rsidR="00FD3DDF" w:rsidRPr="00020BCE" w:rsidRDefault="00FD3DDF" w:rsidP="00FD3DDF">
      <w:pPr>
        <w:pStyle w:val="NormalHanging12a"/>
      </w:pPr>
      <w:r w:rsidRPr="00020BCE">
        <w:t>9.</w:t>
      </w:r>
      <w:r w:rsidRPr="00020BCE">
        <w:tab/>
        <w:t xml:space="preserve">подчертава, че корекцията на заплатите засяга и децентрализираните агенции, които се борят с инфлация, надвишаваща </w:t>
      </w:r>
      <w:proofErr w:type="spellStart"/>
      <w:r w:rsidRPr="00020BCE">
        <w:t>дефлатора</w:t>
      </w:r>
      <w:proofErr w:type="spellEnd"/>
      <w:r w:rsidRPr="00020BCE">
        <w:t xml:space="preserve"> от 2%, с който се увеличават </w:t>
      </w:r>
      <w:r w:rsidRPr="00020BCE">
        <w:lastRenderedPageBreak/>
        <w:t>годишните им бюджети, и имат особен характер, доколкото разходите за персонал и оперативните разходи представляват голяма част от техните разходи; приветства факта, че при агенциите, които не са могли да намерят ресурсите чрез преразпределения, вноската на Съюза се увеличава с 1,7%; отново заявява, че настоящото третиране на бюджетите на децентрализираните агенции изисква допълнителен размисъл като част от подготовката на Комисията за МФР за периода след 2027 г.;</w:t>
      </w:r>
    </w:p>
    <w:p w:rsidR="00FD3DDF" w:rsidRPr="00020BCE" w:rsidRDefault="00FD3DDF" w:rsidP="00FD3DDF">
      <w:pPr>
        <w:pStyle w:val="NormalHanging12a"/>
      </w:pPr>
      <w:r w:rsidRPr="00020BCE">
        <w:t>10.</w:t>
      </w:r>
      <w:r w:rsidRPr="00020BCE">
        <w:tab/>
        <w:t>отбелязва увеличението на бюджетните кредити за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020BCE">
        <w:t>eu</w:t>
      </w:r>
      <w:proofErr w:type="spellEnd"/>
      <w:r w:rsidRPr="00020BCE">
        <w:t>-LISA) с цел покриване на нарастващите разходи, макар че е загрижен за съответното намаление на бюджетните кредити за Агенцията на Европейския съюз в областта на убежището (EUAA); приветства факта, че EUAA беше подсилена в рамките на междинното преразглеждане на МФР, за да ѝ се даде възможност да изпълнява нови задачи по отношение на прилагането на Пакта за миграцията и убежището; призовава Комисията да работи в тясно сътрудничество с двете агенции, за да гарантира, че те са подготвени да изпълняват задачите си изцяло и да усвояват отпуснатите им допълнителни бюджетни кредити;</w:t>
      </w:r>
    </w:p>
    <w:p w:rsidR="00FD3DDF" w:rsidRPr="00020BCE" w:rsidRDefault="00FD3DDF" w:rsidP="00FD3DDF">
      <w:pPr>
        <w:pStyle w:val="NormalHanging12a"/>
      </w:pPr>
      <w:r w:rsidRPr="00020BCE">
        <w:t>11.</w:t>
      </w:r>
      <w:r w:rsidRPr="00020BCE">
        <w:tab/>
        <w:t xml:space="preserve">приветства допълнителните бюджетни кредити за Агенцията на ЕС за обучение в областта на правоприлагането (CEPOL) през 2024 г. след </w:t>
      </w:r>
      <w:proofErr w:type="spellStart"/>
      <w:r w:rsidRPr="00020BCE">
        <w:t>кибератаката</w:t>
      </w:r>
      <w:proofErr w:type="spellEnd"/>
      <w:r w:rsidRPr="00020BCE">
        <w:t xml:space="preserve"> срещу Агенцията през юни 2024 г.; настоява, че е необходимо да се извлекат поуки и да се предостави допълнителна техническа подкрепа на други агенции и институции от Службата за киберсигурност за институциите, органите, службите и агенциите на ЕС (CERT-EU) с оглед на голямата заплаха за киберсигурността и за да се гарантира, че друга атака не застрашава никоя агенция или институция на Съюза; </w:t>
      </w:r>
    </w:p>
    <w:p w:rsidR="00FD3DDF" w:rsidRPr="00020BCE" w:rsidRDefault="00FD3DDF" w:rsidP="00FD3DDF">
      <w:pPr>
        <w:pStyle w:val="NormalHanging12a"/>
      </w:pPr>
      <w:r w:rsidRPr="00020BCE">
        <w:t>12.</w:t>
      </w:r>
      <w:r w:rsidRPr="00020BCE">
        <w:tab/>
        <w:t xml:space="preserve">подчертава значението на новосъздадения Орган за борба с изпирането на пари в преразгледаната рамка за борба с изпирането на пари на равнището на Съюза; поради това изразява дълбока загриженост относно забавянията в етапа на създаване, по-специално по отношение на набирането на персонал; </w:t>
      </w:r>
    </w:p>
    <w:p w:rsidR="00FD3DDF" w:rsidRPr="00020BCE" w:rsidRDefault="00FD3DDF" w:rsidP="00FD3DDF">
      <w:pPr>
        <w:pStyle w:val="NormalHanging12a"/>
      </w:pPr>
      <w:r w:rsidRPr="00020BCE">
        <w:t>13.</w:t>
      </w:r>
      <w:r w:rsidRPr="00020BCE">
        <w:tab/>
        <w:t xml:space="preserve">приветства факта, че с вече влезлия в сила преработен Финансов регламент е възможно в бюджета да се включат отрицателни приходи за изплащането на компенсаторни лихви по изгубени съдебни дела; отбелязва, че понастоящем Комисията определя точния размер на тези лихви, и призовава Комисията да предостави тази информация на бюджетния орган възможно най-скоро през 2025 г.; </w:t>
      </w:r>
    </w:p>
    <w:p w:rsidR="00FD3DDF" w:rsidRPr="00020BCE" w:rsidRDefault="00FD3DDF" w:rsidP="00FD3DDF">
      <w:pPr>
        <w:pStyle w:val="NormalHanging12a"/>
      </w:pPr>
      <w:r w:rsidRPr="00020BCE">
        <w:t>14.</w:t>
      </w:r>
      <w:r w:rsidRPr="00020BCE">
        <w:tab/>
        <w:t>одобрява позицията на Съвета относно проект на коригиращ бюджет № 5/2024;</w:t>
      </w:r>
    </w:p>
    <w:p w:rsidR="00FD3DDF" w:rsidRPr="00020BCE" w:rsidRDefault="00FD3DDF" w:rsidP="00FD3DDF">
      <w:pPr>
        <w:pStyle w:val="NormalHanging12a"/>
      </w:pPr>
      <w:r w:rsidRPr="00020BCE">
        <w:t>15.</w:t>
      </w:r>
      <w:r w:rsidRPr="00020BCE">
        <w:tab/>
        <w:t xml:space="preserve">възлага на своя председател да обяви, че коригиращ бюджет № 5/2024 е окончателно приет, както и да осигури неговото публикуване в </w:t>
      </w:r>
      <w:r w:rsidRPr="00020BCE">
        <w:rPr>
          <w:i/>
          <w:iCs/>
        </w:rPr>
        <w:t>Официален вестник на Европейския съюз</w:t>
      </w:r>
      <w:r w:rsidRPr="00020BCE">
        <w:t>;</w:t>
      </w:r>
    </w:p>
    <w:p w:rsidR="00020BCE" w:rsidRPr="00020BCE" w:rsidRDefault="00FD3DDF" w:rsidP="00020BCE">
      <w:pPr>
        <w:pStyle w:val="NormalHanging12a"/>
      </w:pPr>
      <w:r w:rsidRPr="00020BCE">
        <w:t>16.</w:t>
      </w:r>
      <w:r w:rsidRPr="00020BCE">
        <w:tab/>
        <w:t>възлага на своя председател да предаде настоящата резолюция съответно на Съвета и на Комисията, както и на националните парламенти.</w:t>
      </w:r>
    </w:p>
    <w:p w:rsidR="00E365E1" w:rsidRPr="00020BCE" w:rsidRDefault="00E365E1" w:rsidP="00BC56A7"/>
    <w:sectPr w:rsidR="00E365E1" w:rsidRPr="00020BCE" w:rsidSect="00020B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6A7" w:rsidRPr="00020BCE" w:rsidRDefault="00BC56A7">
      <w:r w:rsidRPr="00020BCE">
        <w:separator/>
      </w:r>
    </w:p>
  </w:endnote>
  <w:endnote w:type="continuationSeparator" w:id="0">
    <w:p w:rsidR="00BC56A7" w:rsidRPr="00020BCE" w:rsidRDefault="00BC56A7">
      <w:r w:rsidRPr="00020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B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B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B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6A7" w:rsidRPr="00020BCE" w:rsidRDefault="00BC56A7">
      <w:r w:rsidRPr="00020BCE">
        <w:separator/>
      </w:r>
    </w:p>
  </w:footnote>
  <w:footnote w:type="continuationSeparator" w:id="0">
    <w:p w:rsidR="00BC56A7" w:rsidRPr="00020BCE" w:rsidRDefault="00BC56A7">
      <w:r w:rsidRPr="00020BCE">
        <w:continuationSeparator/>
      </w:r>
    </w:p>
  </w:footnote>
  <w:footnote w:id="1">
    <w:p w:rsidR="00FD3DDF" w:rsidRPr="00020BCE" w:rsidRDefault="00FD3DDF" w:rsidP="00020BCE">
      <w:pPr>
        <w:pStyle w:val="FootnoteText"/>
        <w:ind w:left="567" w:hanging="567"/>
        <w:rPr>
          <w:sz w:val="24"/>
          <w:lang w:val="bg-BG"/>
        </w:rPr>
      </w:pPr>
      <w:r w:rsidRPr="00020BCE">
        <w:rPr>
          <w:rStyle w:val="FootnoteReference"/>
          <w:sz w:val="24"/>
          <w:lang w:val="bg-BG"/>
        </w:rPr>
        <w:footnoteRef/>
      </w:r>
      <w:r w:rsidR="00020BCE" w:rsidRPr="00020BCE">
        <w:rPr>
          <w:sz w:val="24"/>
          <w:lang w:val="bg-BG"/>
        </w:rPr>
        <w:t xml:space="preserve"> </w:t>
      </w:r>
      <w:r w:rsidR="00020BCE" w:rsidRPr="00020BCE">
        <w:rPr>
          <w:sz w:val="24"/>
          <w:lang w:val="bg-BG"/>
        </w:rPr>
        <w:tab/>
      </w:r>
      <w:r w:rsidRPr="00020BCE">
        <w:rPr>
          <w:sz w:val="24"/>
          <w:lang w:val="bg-BG"/>
        </w:rPr>
        <w:t xml:space="preserve">OВ L, 2024/2509, 26.9.2024 г., </w:t>
      </w:r>
      <w:hyperlink r:id="rId1" w:history="1">
        <w:r w:rsidRPr="00020BCE">
          <w:rPr>
            <w:rStyle w:val="Hyperlink"/>
            <w:sz w:val="24"/>
            <w:lang w:val="bg-BG"/>
          </w:rPr>
          <w:t>http://data.europa.eu/eli/reg/2024/2509/oj.</w:t>
        </w:r>
      </w:hyperlink>
    </w:p>
  </w:footnote>
  <w:footnote w:id="2">
    <w:p w:rsidR="00FD3DDF" w:rsidRPr="00020BCE" w:rsidRDefault="00FD3DDF" w:rsidP="00020BCE">
      <w:pPr>
        <w:pStyle w:val="FootnoteText"/>
        <w:ind w:left="567" w:hanging="567"/>
        <w:rPr>
          <w:sz w:val="24"/>
          <w:lang w:val="bg-BG"/>
        </w:rPr>
      </w:pPr>
      <w:r w:rsidRPr="00020BCE">
        <w:rPr>
          <w:rStyle w:val="FootnoteReference"/>
          <w:sz w:val="24"/>
          <w:lang w:val="bg-BG"/>
        </w:rPr>
        <w:footnoteRef/>
      </w:r>
      <w:r w:rsidR="00020BCE" w:rsidRPr="00020BCE">
        <w:rPr>
          <w:sz w:val="24"/>
          <w:lang w:val="bg-BG"/>
        </w:rPr>
        <w:t xml:space="preserve"> </w:t>
      </w:r>
      <w:r w:rsidR="00020BCE" w:rsidRPr="00020BCE">
        <w:rPr>
          <w:sz w:val="24"/>
          <w:lang w:val="bg-BG"/>
        </w:rPr>
        <w:tab/>
      </w:r>
      <w:r w:rsidRPr="00020BCE">
        <w:rPr>
          <w:sz w:val="24"/>
          <w:lang w:val="bg-BG"/>
        </w:rPr>
        <w:t xml:space="preserve">OВ L, 2024/207, 22.2.2024 г., ELI: </w:t>
      </w:r>
      <w:r w:rsidR="008D4095">
        <w:fldChar w:fldCharType="begin"/>
      </w:r>
      <w:r w:rsidR="008D4095" w:rsidRPr="008D4095">
        <w:rPr>
          <w:lang w:val="fi-FI"/>
        </w:rPr>
        <w:instrText xml:space="preserve"> HYPERLINK "http://data.europa.eu/eli/budget/2024/207/oj" </w:instrText>
      </w:r>
      <w:r w:rsidR="008D4095">
        <w:fldChar w:fldCharType="separate"/>
      </w:r>
      <w:r w:rsidRPr="00020BCE">
        <w:rPr>
          <w:rStyle w:val="Hyperlink"/>
          <w:sz w:val="24"/>
          <w:lang w:val="bg-BG"/>
        </w:rPr>
        <w:t>http://data.europa.eu/eli/budget/2024/207/oj</w:t>
      </w:r>
      <w:r w:rsidR="008D4095">
        <w:rPr>
          <w:rStyle w:val="Hyperlink"/>
          <w:sz w:val="24"/>
          <w:lang w:val="bg-BG"/>
        </w:rPr>
        <w:fldChar w:fldCharType="end"/>
      </w:r>
      <w:r w:rsidRPr="00020BCE">
        <w:rPr>
          <w:sz w:val="24"/>
          <w:lang w:val="bg-BG"/>
        </w:rPr>
        <w:t>.</w:t>
      </w:r>
    </w:p>
  </w:footnote>
  <w:footnote w:id="3">
    <w:p w:rsidR="00FD3DDF" w:rsidRPr="00020BCE" w:rsidRDefault="00FD3DDF" w:rsidP="00020BCE">
      <w:pPr>
        <w:pStyle w:val="FootnoteText"/>
        <w:ind w:left="567" w:hanging="567"/>
        <w:rPr>
          <w:sz w:val="24"/>
          <w:lang w:val="bg-BG"/>
        </w:rPr>
      </w:pPr>
      <w:r w:rsidRPr="00020BCE">
        <w:rPr>
          <w:rStyle w:val="FootnoteReference"/>
          <w:sz w:val="24"/>
          <w:lang w:val="bg-BG"/>
        </w:rPr>
        <w:footnoteRef/>
      </w:r>
      <w:r w:rsidR="00020BCE" w:rsidRPr="00020BCE">
        <w:rPr>
          <w:sz w:val="24"/>
          <w:lang w:val="bg-BG"/>
        </w:rPr>
        <w:t xml:space="preserve"> </w:t>
      </w:r>
      <w:r w:rsidR="00020BCE" w:rsidRPr="00020BCE">
        <w:rPr>
          <w:sz w:val="24"/>
          <w:lang w:val="bg-BG"/>
        </w:rPr>
        <w:tab/>
      </w:r>
      <w:r w:rsidRPr="00020BCE">
        <w:rPr>
          <w:sz w:val="24"/>
          <w:lang w:val="bg-BG"/>
        </w:rPr>
        <w:t xml:space="preserve">ОВ L 433 I, 22.12.2020 г., стр. 11, ELI: </w:t>
      </w:r>
      <w:r w:rsidR="008D4095">
        <w:fldChar w:fldCharType="begin"/>
      </w:r>
      <w:r w:rsidR="008D4095" w:rsidRPr="008D4095">
        <w:rPr>
          <w:lang w:val="fi-FI"/>
        </w:rPr>
        <w:instrText xml:space="preserve"> HYPERLINK "http://data.europa.eu/eli/reg/2020/2093/oj" </w:instrText>
      </w:r>
      <w:r w:rsidR="008D4095">
        <w:fldChar w:fldCharType="separate"/>
      </w:r>
      <w:r w:rsidRPr="00020BCE">
        <w:rPr>
          <w:rStyle w:val="Hyperlink"/>
          <w:sz w:val="24"/>
          <w:lang w:val="bg-BG"/>
        </w:rPr>
        <w:t>http://data.europa.eu/eli/reg/2020/2093/oj</w:t>
      </w:r>
      <w:r w:rsidR="008D4095">
        <w:rPr>
          <w:rStyle w:val="Hyperlink"/>
          <w:sz w:val="24"/>
          <w:lang w:val="bg-BG"/>
        </w:rPr>
        <w:fldChar w:fldCharType="end"/>
      </w:r>
      <w:r w:rsidRPr="00020BCE">
        <w:rPr>
          <w:sz w:val="24"/>
          <w:lang w:val="bg-BG"/>
        </w:rPr>
        <w:t>.</w:t>
      </w:r>
    </w:p>
  </w:footnote>
  <w:footnote w:id="4">
    <w:p w:rsidR="00FD3DDF" w:rsidRPr="00020BCE" w:rsidRDefault="00FD3DDF" w:rsidP="00020BCE">
      <w:pPr>
        <w:pStyle w:val="FootnoteText"/>
        <w:ind w:left="567" w:hanging="567"/>
        <w:rPr>
          <w:sz w:val="24"/>
          <w:lang w:val="bg-BG"/>
        </w:rPr>
      </w:pPr>
      <w:r w:rsidRPr="00020BCE">
        <w:rPr>
          <w:rStyle w:val="FootnoteReference"/>
          <w:sz w:val="24"/>
          <w:lang w:val="bg-BG"/>
        </w:rPr>
        <w:footnoteRef/>
      </w:r>
      <w:r w:rsidR="00020BCE" w:rsidRPr="00020BCE">
        <w:rPr>
          <w:sz w:val="24"/>
          <w:lang w:val="bg-BG"/>
        </w:rPr>
        <w:t xml:space="preserve"> </w:t>
      </w:r>
      <w:r w:rsidR="00020BCE" w:rsidRPr="00020BCE">
        <w:rPr>
          <w:sz w:val="24"/>
          <w:lang w:val="bg-BG"/>
        </w:rPr>
        <w:tab/>
      </w:r>
      <w:r w:rsidRPr="00020BCE">
        <w:rPr>
          <w:sz w:val="24"/>
          <w:lang w:val="bg-BG"/>
        </w:rPr>
        <w:t xml:space="preserve">ОВ L 433 I, 22.12.2020 г., стр. 28, ELI: </w:t>
      </w:r>
      <w:r w:rsidR="008D4095">
        <w:fldChar w:fldCharType="begin"/>
      </w:r>
      <w:r w:rsidR="008D4095" w:rsidRPr="008D4095">
        <w:rPr>
          <w:lang w:val="fi-FI"/>
        </w:rPr>
        <w:instrText xml:space="preserve"> HYPERLINK "http://data.europa.eu/eli/agree_interinstit/2020/1222/oj" </w:instrText>
      </w:r>
      <w:r w:rsidR="008D4095">
        <w:fldChar w:fldCharType="separate"/>
      </w:r>
      <w:r w:rsidRPr="00020BCE">
        <w:rPr>
          <w:rStyle w:val="Hyperlink"/>
          <w:sz w:val="24"/>
          <w:lang w:val="bg-BG"/>
        </w:rPr>
        <w:t>http://data.europa.eu/eli/agree_interinstit/2020/1222/oj</w:t>
      </w:r>
      <w:r w:rsidR="008D4095">
        <w:rPr>
          <w:rStyle w:val="Hyperlink"/>
          <w:sz w:val="24"/>
          <w:lang w:val="bg-BG"/>
        </w:rPr>
        <w:fldChar w:fldCharType="end"/>
      </w:r>
    </w:p>
  </w:footnote>
  <w:footnote w:id="5">
    <w:p w:rsidR="00FD3DDF" w:rsidRPr="00020BCE" w:rsidRDefault="00FD3DDF" w:rsidP="00020BCE">
      <w:pPr>
        <w:pStyle w:val="FootnoteText"/>
        <w:ind w:left="567" w:hanging="567"/>
        <w:rPr>
          <w:sz w:val="24"/>
          <w:lang w:val="bg-BG"/>
        </w:rPr>
      </w:pPr>
      <w:r w:rsidRPr="00020BCE">
        <w:rPr>
          <w:rStyle w:val="FootnoteReference"/>
          <w:sz w:val="24"/>
          <w:lang w:val="bg-BG"/>
        </w:rPr>
        <w:footnoteRef/>
      </w:r>
      <w:r w:rsidR="00020BCE" w:rsidRPr="00020BCE">
        <w:rPr>
          <w:sz w:val="24"/>
          <w:lang w:val="bg-BG"/>
        </w:rPr>
        <w:t xml:space="preserve"> </w:t>
      </w:r>
      <w:r w:rsidR="00020BCE" w:rsidRPr="00020BCE">
        <w:rPr>
          <w:sz w:val="24"/>
          <w:lang w:val="bg-BG"/>
        </w:rPr>
        <w:tab/>
      </w:r>
      <w:r w:rsidRPr="00020BCE">
        <w:rPr>
          <w:sz w:val="24"/>
          <w:lang w:val="bg-BG"/>
        </w:rPr>
        <w:t xml:space="preserve">OВ L 424, 15.12.2020 г., стр. 1, ELI: </w:t>
      </w:r>
      <w:r w:rsidR="008D4095">
        <w:fldChar w:fldCharType="begin"/>
      </w:r>
      <w:r w:rsidR="008D4095" w:rsidRPr="008D4095">
        <w:rPr>
          <w:lang w:val="fi-FI"/>
        </w:rPr>
        <w:instrText xml:space="preserve"> HYPERLINK "http://data.europa.eu/eli/dec/2</w:instrText>
      </w:r>
      <w:r w:rsidR="008D4095" w:rsidRPr="008D4095">
        <w:rPr>
          <w:lang w:val="fi-FI"/>
        </w:rPr>
        <w:instrText xml:space="preserve">020/2053/oj" </w:instrText>
      </w:r>
      <w:r w:rsidR="008D4095">
        <w:fldChar w:fldCharType="separate"/>
      </w:r>
      <w:r w:rsidRPr="00020BCE">
        <w:rPr>
          <w:rStyle w:val="Hyperlink"/>
          <w:sz w:val="24"/>
          <w:lang w:val="bg-BG"/>
        </w:rPr>
        <w:t>http://data.europa.eu/eli/dec/2020/2053/oj</w:t>
      </w:r>
      <w:r w:rsidR="008D4095">
        <w:rPr>
          <w:rStyle w:val="Hyperlink"/>
          <w:sz w:val="24"/>
          <w:lang w:val="bg-BG"/>
        </w:rPr>
        <w:fldChar w:fldCharType="end"/>
      </w:r>
      <w:r w:rsidRPr="00020BCE">
        <w:rPr>
          <w:sz w:val="24"/>
          <w:lang w:val="bg-BG"/>
        </w:rPr>
        <w:t>.</w:t>
      </w:r>
    </w:p>
  </w:footnote>
  <w:footnote w:id="6">
    <w:p w:rsidR="00FD3DDF" w:rsidRPr="00020BCE" w:rsidRDefault="00FD3DDF" w:rsidP="00020BCE">
      <w:pPr>
        <w:pStyle w:val="FootnoteText"/>
        <w:ind w:left="567" w:hanging="567"/>
        <w:rPr>
          <w:sz w:val="24"/>
          <w:lang w:val="bg-BG"/>
        </w:rPr>
      </w:pPr>
      <w:r w:rsidRPr="00020BCE">
        <w:rPr>
          <w:rStyle w:val="FootnoteReference"/>
          <w:sz w:val="24"/>
          <w:lang w:val="bg-BG"/>
        </w:rPr>
        <w:footnoteRef/>
      </w:r>
      <w:r w:rsidR="00020BCE" w:rsidRPr="00020BCE">
        <w:rPr>
          <w:sz w:val="24"/>
          <w:lang w:val="bg-BG"/>
        </w:rPr>
        <w:t xml:space="preserve"> </w:t>
      </w:r>
      <w:r w:rsidR="00020BCE" w:rsidRPr="00020BCE">
        <w:rPr>
          <w:sz w:val="24"/>
          <w:lang w:val="bg-BG"/>
        </w:rPr>
        <w:tab/>
      </w:r>
      <w:r w:rsidRPr="00020BCE">
        <w:rPr>
          <w:sz w:val="24"/>
          <w:lang w:val="bg-BG"/>
        </w:rPr>
        <w:t xml:space="preserve">Регламент </w:t>
      </w:r>
      <w:r w:rsidRPr="00020BCE">
        <w:rPr>
          <w:sz w:val="24"/>
          <w:lang w:val="bg-BG"/>
        </w:rPr>
        <w:t>(ЕС</w:t>
      </w:r>
      <w:bookmarkStart w:id="8" w:name="_GoBack"/>
      <w:bookmarkEnd w:id="8"/>
      <w:r w:rsidRPr="00020BCE">
        <w:rPr>
          <w:sz w:val="24"/>
          <w:lang w:val="bg-BG"/>
        </w:rPr>
        <w:t xml:space="preserve">) 2024/2773 на Европейския парламент и на Съвета от 24 октомври 2024 г. за създаване на механизъм за сътрудничество по заемите за Украйна и за предоставяне на извънредна </w:t>
      </w:r>
      <w:proofErr w:type="spellStart"/>
      <w:r w:rsidRPr="00020BCE">
        <w:rPr>
          <w:sz w:val="24"/>
          <w:lang w:val="bg-BG"/>
        </w:rPr>
        <w:t>макрофинансова</w:t>
      </w:r>
      <w:proofErr w:type="spellEnd"/>
      <w:r w:rsidRPr="00020BCE">
        <w:rPr>
          <w:sz w:val="24"/>
          <w:lang w:val="bg-BG"/>
        </w:rPr>
        <w:t xml:space="preserve"> помощ на Украйна (ОВ L, 2024/2773, 28.10.2024 г., ELI: </w:t>
      </w:r>
      <w:hyperlink r:id="rId2" w:history="1">
        <w:r w:rsidRPr="00020BCE">
          <w:rPr>
            <w:rStyle w:val="Hyperlink"/>
            <w:sz w:val="24"/>
            <w:lang w:val="bg-BG"/>
          </w:rPr>
          <w:t>http://data.europa.eu/eli/reg/2024/2773/oj</w:t>
        </w:r>
      </w:hyperlink>
      <w:r w:rsidRPr="00020BCE">
        <w:rPr>
          <w:sz w:val="24"/>
          <w:lang w:val="bg-BG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B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B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B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BG"/>
    <w:docVar w:name="dvnumam" w:val="0"/>
    <w:docVar w:name="dvpe" w:val="765.136"/>
    <w:docVar w:name="dvrapporteur" w:val="Докладчик: "/>
    <w:docVar w:name="dvtitre" w:val="Резолюция на Европейския парламент от ... 2024 г. относно позицията на Съвета относно проект на коригиращ бюджет № 5/2024 на Европейския съюз за финансовата 2024 година – корекции на бюджетните кредити за плащания, актуализация на приходите и други технически актуализации(14477/2024 – C10-0186/2024 – 2024/0252(BUD))"/>
  </w:docVars>
  <w:rsids>
    <w:rsidRoot w:val="00BC56A7"/>
    <w:rsid w:val="00002272"/>
    <w:rsid w:val="00020BC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024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09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6A7"/>
    <w:rsid w:val="00BD48FE"/>
    <w:rsid w:val="00BD7BD8"/>
    <w:rsid w:val="00BE6ADC"/>
    <w:rsid w:val="00C05BFE"/>
    <w:rsid w:val="00C23CD4"/>
    <w:rsid w:val="00C248D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1DF"/>
    <w:rsid w:val="00F5134D"/>
    <w:rsid w:val="00F74202"/>
    <w:rsid w:val="00F87713"/>
    <w:rsid w:val="00FB4360"/>
    <w:rsid w:val="00FD0C70"/>
    <w:rsid w:val="00FD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7A1DC"/>
  <w15:chartTrackingRefBased/>
  <w15:docId w15:val="{B6453F76-25E4-4B8F-A826-C4683470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3DDF"/>
    <w:pPr>
      <w:spacing w:before="480" w:after="240"/>
    </w:pPr>
  </w:style>
  <w:style w:type="paragraph" w:customStyle="1" w:styleId="NormalHanging12a">
    <w:name w:val="NormalHanging12a"/>
    <w:basedOn w:val="Normal"/>
    <w:rsid w:val="00FD3DD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FD3D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2773/oj" TargetMode="External"/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C000-CCCA-4096-B304-634793DA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1455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Karina Pesa</cp:lastModifiedBy>
  <cp:revision>3</cp:revision>
  <cp:lastPrinted>2004-11-19T15:42:00Z</cp:lastPrinted>
  <dcterms:created xsi:type="dcterms:W3CDTF">2025-02-10T14:44:00Z</dcterms:created>
  <dcterms:modified xsi:type="dcterms:W3CDTF">2025-03-03T09:45:00Z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P10_TA(2024)0049_</vt:lpwstr>
  </property>
  <property fmtid="{D5CDD505-2E9C-101B-9397-08002B2CF9AE}" pid="4" name="&lt;Type&gt;">
    <vt:lpwstr>RR</vt:lpwstr>
  </property>
</Properties>
</file>