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5233" w14:paraId="5ECDBE1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DCAED1" w14:textId="77777777" w:rsidR="00751A4A" w:rsidRPr="00C05233" w:rsidRDefault="0025440D" w:rsidP="0010095E">
            <w:pPr>
              <w:pStyle w:val="EPName"/>
            </w:pPr>
            <w:r w:rsidRPr="00C05233">
              <w:t>Evropský parlament</w:t>
            </w:r>
          </w:p>
          <w:p w14:paraId="782B6043" w14:textId="77777777" w:rsidR="00751A4A" w:rsidRPr="00C0523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5233">
              <w:t>2024</w:t>
            </w:r>
            <w:r w:rsidR="00817416" w:rsidRPr="00C05233">
              <w:t>-202</w:t>
            </w:r>
            <w:r w:rsidRPr="00C05233">
              <w:t>9</w:t>
            </w:r>
          </w:p>
        </w:tc>
        <w:tc>
          <w:tcPr>
            <w:tcW w:w="2268" w:type="dxa"/>
            <w:shd w:val="clear" w:color="auto" w:fill="auto"/>
          </w:tcPr>
          <w:p w14:paraId="3318F076" w14:textId="77777777" w:rsidR="00751A4A" w:rsidRPr="00C05233" w:rsidRDefault="00187494" w:rsidP="0010095E">
            <w:pPr>
              <w:pStyle w:val="EPLogo"/>
            </w:pPr>
            <w:r w:rsidRPr="00C05233">
              <w:rPr>
                <w:noProof/>
                <w:lang w:val="en-GB"/>
              </w:rPr>
              <w:drawing>
                <wp:inline distT="0" distB="0" distL="0" distR="0" wp14:anchorId="6007162D" wp14:editId="0AEA94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02C01E" w14:textId="77777777" w:rsidR="00D058B8" w:rsidRPr="00C05233" w:rsidRDefault="00D058B8" w:rsidP="004C5D52">
      <w:pPr>
        <w:pStyle w:val="LineTop"/>
      </w:pPr>
    </w:p>
    <w:p w14:paraId="0290FC1E" w14:textId="77777777" w:rsidR="00680577" w:rsidRPr="00C05233" w:rsidRDefault="0025440D" w:rsidP="00680577">
      <w:pPr>
        <w:pStyle w:val="EPBodyTA1"/>
      </w:pPr>
      <w:r w:rsidRPr="00C05233">
        <w:t>PŘIJATÉ TEXTY</w:t>
      </w:r>
    </w:p>
    <w:p w14:paraId="0F24CDBD" w14:textId="77777777" w:rsidR="00D058B8" w:rsidRPr="00C05233" w:rsidRDefault="00D058B8" w:rsidP="00D058B8">
      <w:pPr>
        <w:pStyle w:val="LineBottom"/>
      </w:pPr>
    </w:p>
    <w:p w14:paraId="11F5800A" w14:textId="417DB93E" w:rsidR="0025440D" w:rsidRPr="00C05233" w:rsidRDefault="0025440D" w:rsidP="0025440D">
      <w:pPr>
        <w:pStyle w:val="ATHeading1"/>
      </w:pPr>
      <w:bookmarkStart w:id="0" w:name="TANumber"/>
      <w:r w:rsidRPr="00C05233">
        <w:t>P10_TA(2024)00</w:t>
      </w:r>
      <w:r w:rsidR="00D8150B">
        <w:t>49</w:t>
      </w:r>
      <w:bookmarkEnd w:id="0"/>
    </w:p>
    <w:p w14:paraId="123DC8D7" w14:textId="2963E2FA" w:rsidR="0025440D" w:rsidRPr="00C05233" w:rsidRDefault="0025440D" w:rsidP="0025440D">
      <w:pPr>
        <w:pStyle w:val="ATHeading2"/>
      </w:pPr>
      <w:bookmarkStart w:id="1" w:name="title"/>
      <w:r w:rsidRPr="00C05233">
        <w:t>Návrh opravného rozpočtu č. 5/2024: úprav</w:t>
      </w:r>
      <w:r w:rsidR="00FE64D0">
        <w:t>y</w:t>
      </w:r>
      <w:r w:rsidRPr="00C05233">
        <w:t xml:space="preserve"> prostředků na platby, aktualizace příjmů a další technické aktualizace</w:t>
      </w:r>
      <w:bookmarkEnd w:id="1"/>
    </w:p>
    <w:p w14:paraId="674EA556" w14:textId="77777777" w:rsidR="0025440D" w:rsidRPr="00C05233" w:rsidRDefault="0025440D" w:rsidP="0025440D">
      <w:pPr>
        <w:rPr>
          <w:i/>
          <w:vanish/>
        </w:rPr>
      </w:pPr>
      <w:r w:rsidRPr="00C05233">
        <w:rPr>
          <w:i/>
        </w:rPr>
        <w:fldChar w:fldCharType="begin"/>
      </w:r>
      <w:r w:rsidRPr="00C05233">
        <w:rPr>
          <w:i/>
        </w:rPr>
        <w:instrText xml:space="preserve"> TC"(</w:instrText>
      </w:r>
      <w:bookmarkStart w:id="2" w:name="DocNumber"/>
      <w:r w:rsidRPr="00C05233">
        <w:rPr>
          <w:i/>
        </w:rPr>
        <w:instrText>A10-0017/2024</w:instrText>
      </w:r>
      <w:bookmarkEnd w:id="2"/>
      <w:r w:rsidRPr="00C05233">
        <w:rPr>
          <w:i/>
        </w:rPr>
        <w:instrText xml:space="preserve"> - Zpravodaj: Siegfried Mureşan)"\l3 \n&gt; \* MERGEFORMAT </w:instrText>
      </w:r>
      <w:r w:rsidRPr="00C05233">
        <w:rPr>
          <w:i/>
        </w:rPr>
        <w:fldChar w:fldCharType="end"/>
      </w:r>
    </w:p>
    <w:p w14:paraId="4F29CE26" w14:textId="77777777" w:rsidR="0025440D" w:rsidRPr="00C05233" w:rsidRDefault="0025440D" w:rsidP="0025440D">
      <w:pPr>
        <w:rPr>
          <w:vanish/>
        </w:rPr>
      </w:pPr>
      <w:bookmarkStart w:id="3" w:name="Commission"/>
      <w:r w:rsidRPr="00C05233">
        <w:rPr>
          <w:vanish/>
        </w:rPr>
        <w:t>Rozpočtový výbor</w:t>
      </w:r>
      <w:bookmarkEnd w:id="3"/>
    </w:p>
    <w:p w14:paraId="11D675F4" w14:textId="77777777" w:rsidR="0025440D" w:rsidRPr="00C05233" w:rsidRDefault="0025440D" w:rsidP="0025440D">
      <w:pPr>
        <w:rPr>
          <w:vanish/>
        </w:rPr>
      </w:pPr>
      <w:bookmarkStart w:id="4" w:name="PE"/>
      <w:r w:rsidRPr="00C05233">
        <w:rPr>
          <w:vanish/>
        </w:rPr>
        <w:t>PE765.136</w:t>
      </w:r>
      <w:bookmarkEnd w:id="4"/>
    </w:p>
    <w:p w14:paraId="6B77C590" w14:textId="6FE3E44E" w:rsidR="0025440D" w:rsidRPr="00C05233" w:rsidRDefault="0025440D" w:rsidP="0025440D">
      <w:pPr>
        <w:pStyle w:val="ATHeading3"/>
      </w:pPr>
      <w:bookmarkStart w:id="5" w:name="Sujet"/>
      <w:r w:rsidRPr="00C05233">
        <w:t>Usnesení Evropského parlamentu ze dne 27. listopadu 2024 o postoji Rady k návrhu opravného rozpočtu Evropské unie č. 5/20</w:t>
      </w:r>
      <w:bookmarkStart w:id="6" w:name="_GoBack"/>
      <w:bookmarkEnd w:id="6"/>
      <w:r w:rsidRPr="00C05233">
        <w:t>24 na rozpočtový rok 2024 – úprava prostředků na platby, aktualizace příjmů a další technické aktualizace</w:t>
      </w:r>
      <w:bookmarkEnd w:id="5"/>
      <w:r w:rsidRPr="00C05233">
        <w:t xml:space="preserve"> </w:t>
      </w:r>
      <w:bookmarkStart w:id="7" w:name="References"/>
      <w:r w:rsidRPr="00C05233">
        <w:t>(14477/2024 – C10-0186/2024 – 2024/0252(BUD))</w:t>
      </w:r>
      <w:bookmarkEnd w:id="7"/>
    </w:p>
    <w:p w14:paraId="6CE320CB" w14:textId="77777777" w:rsidR="00E628BD" w:rsidRPr="00C05233" w:rsidRDefault="00E628BD" w:rsidP="00E628BD">
      <w:pPr>
        <w:pStyle w:val="EPComma"/>
      </w:pPr>
      <w:bookmarkStart w:id="8" w:name="TextBodyBegin"/>
      <w:bookmarkEnd w:id="8"/>
      <w:r w:rsidRPr="00C05233">
        <w:rPr>
          <w:i/>
        </w:rPr>
        <w:t>Evropský parlament</w:t>
      </w:r>
      <w:r w:rsidRPr="00C05233">
        <w:t>,</w:t>
      </w:r>
    </w:p>
    <w:p w14:paraId="606DF2C5" w14:textId="77777777" w:rsidR="00E628BD" w:rsidRPr="00C05233" w:rsidRDefault="00E628BD" w:rsidP="0026310F">
      <w:pPr>
        <w:pStyle w:val="NormalHanging12a"/>
      </w:pPr>
      <w:r w:rsidRPr="00C05233">
        <w:t>–</w:t>
      </w:r>
      <w:r w:rsidRPr="00C05233">
        <w:tab/>
        <w:t>s ohledem na článek 314 Smlouvy o fungování Evropské unie,</w:t>
      </w:r>
    </w:p>
    <w:p w14:paraId="7507667A" w14:textId="77777777" w:rsidR="00E628BD" w:rsidRPr="00C05233" w:rsidRDefault="00E628BD">
      <w:pPr>
        <w:pStyle w:val="NormalHanging12a"/>
      </w:pPr>
      <w:r w:rsidRPr="00C05233">
        <w:t>–</w:t>
      </w:r>
      <w:r w:rsidRPr="00C05233">
        <w:tab/>
        <w:t>s ohledem na článek 106a Smlouvy o založení Evropského společenství pro atomovou energii,</w:t>
      </w:r>
    </w:p>
    <w:p w14:paraId="37F33A47" w14:textId="77777777" w:rsidR="00E628BD" w:rsidRPr="00C05233" w:rsidRDefault="00E628BD">
      <w:pPr>
        <w:pStyle w:val="NormalHanging12a"/>
      </w:pPr>
      <w:r w:rsidRPr="00C05233">
        <w:t>–</w:t>
      </w:r>
      <w:r w:rsidRPr="00C05233">
        <w:tab/>
        <w:t>s ohledem na nařízení Evropského parlamentu a Rady (EU, Euratom) 2024/2509 ze dne 23. září 2024, kterým se stanoví finanční pravidla pro souhrnný rozpočet Unie</w:t>
      </w:r>
      <w:r w:rsidRPr="00C05233">
        <w:rPr>
          <w:rStyle w:val="FootnoteReference"/>
        </w:rPr>
        <w:footnoteReference w:id="1"/>
      </w:r>
      <w:r w:rsidRPr="00C05233">
        <w:t>, a zejména na článek 44 tohoto nařízení,</w:t>
      </w:r>
    </w:p>
    <w:p w14:paraId="090F7543" w14:textId="77777777" w:rsidR="00E628BD" w:rsidRPr="00C05233" w:rsidRDefault="00E628BD">
      <w:pPr>
        <w:pStyle w:val="NormalHanging12a"/>
      </w:pPr>
      <w:r w:rsidRPr="00C05233">
        <w:t>–</w:t>
      </w:r>
      <w:r w:rsidRPr="00C05233">
        <w:tab/>
        <w:t>s ohledem na souhrnný rozpočet Evropské unie na rozpočtový rok 2024 přijatý s konečnou platností dne 22. listopadu 2023</w:t>
      </w:r>
      <w:r w:rsidRPr="00C05233">
        <w:rPr>
          <w:rStyle w:val="FootnoteReference"/>
        </w:rPr>
        <w:footnoteReference w:id="2"/>
      </w:r>
      <w:r w:rsidRPr="00C05233">
        <w:t>,</w:t>
      </w:r>
    </w:p>
    <w:p w14:paraId="3112390C" w14:textId="77777777" w:rsidR="00E628BD" w:rsidRPr="00C05233" w:rsidRDefault="00E628BD">
      <w:pPr>
        <w:pStyle w:val="NormalHanging12a"/>
      </w:pPr>
      <w:r w:rsidRPr="00C05233">
        <w:t>–</w:t>
      </w:r>
      <w:r w:rsidRPr="00C05233">
        <w:tab/>
        <w:t>s ohledem na nařízení Rady (EU, Euratom) 2020/2093 ze dne 17. prosince 2020, kterým se stanoví víceletý finanční rámec na období 2021–2027</w:t>
      </w:r>
      <w:r w:rsidRPr="00C05233">
        <w:rPr>
          <w:rStyle w:val="FootnoteReference"/>
        </w:rPr>
        <w:footnoteReference w:id="3"/>
      </w:r>
      <w:r w:rsidRPr="00C05233">
        <w:t>,</w:t>
      </w:r>
    </w:p>
    <w:p w14:paraId="2323538F" w14:textId="77777777" w:rsidR="00E628BD" w:rsidRPr="00C05233" w:rsidRDefault="00E628BD">
      <w:pPr>
        <w:pStyle w:val="NormalHanging12a"/>
      </w:pPr>
      <w:r w:rsidRPr="00C05233">
        <w:t>–</w:t>
      </w:r>
      <w:r w:rsidRPr="00C05233">
        <w:tab/>
        <w:t>s ohledem na interinstitucionální dohodu ze dne 16. prosince 2020 mezi Evropským parlamentem, Radou Evropské unie a Evropskou komisí o rozpočtové kázni, spolupráci v rozpočtových záležitostech a řádném finančním řízení, jakož i o nových vlastních zdrojích, včetně plánu zavádění nových vlastních zdrojů</w:t>
      </w:r>
      <w:r w:rsidRPr="00C05233">
        <w:rPr>
          <w:rStyle w:val="FootnoteReference"/>
        </w:rPr>
        <w:footnoteReference w:id="4"/>
      </w:r>
      <w:r w:rsidRPr="00C05233">
        <w:t>,</w:t>
      </w:r>
    </w:p>
    <w:p w14:paraId="1D495265" w14:textId="77777777" w:rsidR="00E628BD" w:rsidRPr="00C05233" w:rsidRDefault="00E628BD">
      <w:pPr>
        <w:pStyle w:val="NormalHanging12a"/>
      </w:pPr>
      <w:r w:rsidRPr="00C05233">
        <w:t>–</w:t>
      </w:r>
      <w:r w:rsidRPr="00C05233">
        <w:tab/>
        <w:t xml:space="preserve">s ohledem na rozhodnutí Rady (EU, Euratom) 2020/2053 ze dne 14. prosince 2020 o </w:t>
      </w:r>
      <w:r w:rsidRPr="00C05233">
        <w:lastRenderedPageBreak/>
        <w:t>systému vlastních zdrojů Evropské unie a o zrušení rozhodnutí 2014/335/EU, Euratom</w:t>
      </w:r>
      <w:r w:rsidRPr="00C05233">
        <w:rPr>
          <w:rStyle w:val="FootnoteReference"/>
        </w:rPr>
        <w:footnoteReference w:id="5"/>
      </w:r>
      <w:r w:rsidRPr="00C05233">
        <w:t>,</w:t>
      </w:r>
    </w:p>
    <w:p w14:paraId="20EA9E12" w14:textId="77777777" w:rsidR="00E628BD" w:rsidRPr="00C05233" w:rsidRDefault="00E628BD">
      <w:pPr>
        <w:pStyle w:val="NormalHanging12a"/>
      </w:pPr>
      <w:r w:rsidRPr="00C05233">
        <w:t>–</w:t>
      </w:r>
      <w:r w:rsidRPr="00C05233">
        <w:tab/>
        <w:t>s ohledem na návrh opravného rozpočtu č. 5/2024, který Komise přijala dne 10. října 2024 (COM(2024)0650),</w:t>
      </w:r>
    </w:p>
    <w:p w14:paraId="63BEE6EA" w14:textId="77777777" w:rsidR="00E628BD" w:rsidRPr="00C05233" w:rsidRDefault="00E628BD">
      <w:pPr>
        <w:pStyle w:val="NormalHanging12a"/>
      </w:pPr>
      <w:r w:rsidRPr="00C05233">
        <w:t>–</w:t>
      </w:r>
      <w:r w:rsidRPr="00C05233">
        <w:tab/>
        <w:t>s ohledem na postoj k návrhu opravného rozpočtu č. 5/2024, který Rada přijala dne 5. listopadu 2024 a postoupila Evropskému parlamentu dne 12. listopadu 2024 (14477/2024 – C10-0186/2024,</w:t>
      </w:r>
    </w:p>
    <w:p w14:paraId="2DAD78B3" w14:textId="77777777" w:rsidR="00E628BD" w:rsidRPr="00C05233" w:rsidRDefault="00E628BD">
      <w:pPr>
        <w:pStyle w:val="NormalHanging12a"/>
      </w:pPr>
      <w:r w:rsidRPr="00C05233">
        <w:t>–</w:t>
      </w:r>
      <w:r w:rsidRPr="00C05233">
        <w:tab/>
        <w:t>s ohledem na články 96 a 98 jednacího řádu,</w:t>
      </w:r>
    </w:p>
    <w:p w14:paraId="72FC2EC2" w14:textId="77777777" w:rsidR="00E628BD" w:rsidRPr="00C05233" w:rsidRDefault="00E628BD">
      <w:pPr>
        <w:pStyle w:val="NormalHanging12a"/>
      </w:pPr>
      <w:r w:rsidRPr="00C05233">
        <w:t>–</w:t>
      </w:r>
      <w:r w:rsidRPr="00C05233">
        <w:tab/>
        <w:t>s ohledem na zprávu Rozpočtového výboru (A10-0017/2024),</w:t>
      </w:r>
    </w:p>
    <w:p w14:paraId="4F9AD079" w14:textId="77777777" w:rsidR="00E628BD" w:rsidRPr="00C05233" w:rsidRDefault="00E628BD">
      <w:pPr>
        <w:pStyle w:val="NormalHanging12a"/>
      </w:pPr>
      <w:r w:rsidRPr="00C05233">
        <w:t>A.</w:t>
      </w:r>
      <w:r w:rsidRPr="00C05233">
        <w:tab/>
        <w:t>vzhledem k tomu, že účelem návrhu opravného rozpočtu č. 5/2024 je provést úpravy výdajů, zejména pokud jde o prostředky na platby, a aktualizovat příjmy rozpočtu Unie;</w:t>
      </w:r>
    </w:p>
    <w:p w14:paraId="013C7F83" w14:textId="77777777" w:rsidR="00E628BD" w:rsidRPr="00C05233" w:rsidRDefault="00E628BD">
      <w:pPr>
        <w:pStyle w:val="NormalHanging12a"/>
      </w:pPr>
      <w:r w:rsidRPr="00C05233">
        <w:t>B.</w:t>
      </w:r>
      <w:r w:rsidRPr="00C05233">
        <w:tab/>
        <w:t>vzhledem k tomu, že návrh opravného rozpočtu č. 5/2024 obsahuje čisté zvýšení výdajů o 44,5 milionu EUR v prostředcích na závazky a o 2,95 miliard EUR v prostředcích na platby; vzhledem k tomu, že v okruzích 2b, 5 a 7 víceletého finančního rámce (VFR) není k dispozici žádné rozpětí, navrhuje se uvolnit dalších 7,2 milionu EUR z nástroje pružnosti a použít dodatečných 68,5 milionu EUR z oddílu a) nástroje jediného rozpětí;</w:t>
      </w:r>
    </w:p>
    <w:p w14:paraId="08F477FF" w14:textId="77777777" w:rsidR="00E628BD" w:rsidRPr="00C05233" w:rsidRDefault="00E628BD">
      <w:pPr>
        <w:pStyle w:val="NormalHanging12a"/>
      </w:pPr>
      <w:r w:rsidRPr="00C05233">
        <w:t>C.</w:t>
      </w:r>
      <w:r w:rsidRPr="00C05233">
        <w:tab/>
        <w:t>vzhledem k tomu, že na straně příjmů začleňuje návrh opravného rozpočtu č. 5/2024 do rozpočtu na rok 2024 konečné pokuty a sankce zaplacené do října 2024 v celkové výši 2,82 miliardy EUR, což znamená, že k pokrytí platebních potřeb jsou nezbytné dodatečné příspěvky z HND ve výši 139,9 milionu EUR;</w:t>
      </w:r>
    </w:p>
    <w:p w14:paraId="25AC15FB" w14:textId="77777777" w:rsidR="00E628BD" w:rsidRPr="00C05233" w:rsidRDefault="00E628BD">
      <w:pPr>
        <w:pStyle w:val="NormalHanging12a"/>
      </w:pPr>
      <w:r w:rsidRPr="00C05233">
        <w:t>D.</w:t>
      </w:r>
      <w:r w:rsidRPr="00C05233">
        <w:tab/>
        <w:t>vzhledem k tomu, že návrh opravného rozpočtu č. 5/2024 rovněž zavádí nové příjmové a výdajové rozpočtové položky pro mechanismus úvěrové spolupráce pro Ukrajinu, v jejichž rámci bude poskytována podpora ve formě půjček obsluhovaných a splácených budoucími toky příjmů z imobilizovaných ruských státních aktiv;</w:t>
      </w:r>
    </w:p>
    <w:p w14:paraId="55D400D5" w14:textId="77777777" w:rsidR="00E628BD" w:rsidRPr="00C05233" w:rsidRDefault="00E628BD">
      <w:pPr>
        <w:pStyle w:val="NormalHanging12a"/>
      </w:pPr>
      <w:r w:rsidRPr="00C05233">
        <w:t>1.</w:t>
      </w:r>
      <w:r w:rsidRPr="00C05233">
        <w:tab/>
        <w:t>bere na vědomí návrh opravného rozpočtu č. 5/2024 v podobě, v jaké jej předložila Komise;</w:t>
      </w:r>
    </w:p>
    <w:p w14:paraId="4130C7E1" w14:textId="77777777" w:rsidR="00E628BD" w:rsidRPr="00C05233" w:rsidRDefault="00E628BD">
      <w:pPr>
        <w:pStyle w:val="NormalHanging12a"/>
      </w:pPr>
      <w:r w:rsidRPr="00C05233">
        <w:t>2.</w:t>
      </w:r>
      <w:r w:rsidRPr="00C05233">
        <w:tab/>
        <w:t xml:space="preserve">vítá zvýšené platební potřeby pro Evropský fond pro regionální rozvoj (EFRR) i platební potřeby pro společnou zemědělskou politiku v rámci globálního převodu (DEC 11/24), což svědčí o tom, že se provádění programu po znepokojivě pomalém začátku v období 2021–2027 začalo zrychlovat; </w:t>
      </w:r>
    </w:p>
    <w:p w14:paraId="0770D277" w14:textId="77777777" w:rsidR="00E628BD" w:rsidRPr="00C05233" w:rsidRDefault="00E628BD">
      <w:pPr>
        <w:pStyle w:val="NormalHanging12a"/>
      </w:pPr>
      <w:r w:rsidRPr="00C05233">
        <w:t>3.</w:t>
      </w:r>
      <w:r w:rsidRPr="00C05233">
        <w:tab/>
        <w:t>s potěšením konstatuje, že změny pravidel zavedených Platformou strategických technologií pro Evropu (STEP) – s výjimečným předběžným financováním a dobrovolným 100 % spolufinancováním – měly pozitivní dopad na provádění EFRR, což znamená, že členské státy vynakládají finanční prostředky na cíle platformy STEP; dále se domnívá, že zvýšené platby v roce 2024 by měly pomoci zmírnit tlak na platby v letech 2025 až 2027;</w:t>
      </w:r>
    </w:p>
    <w:p w14:paraId="0E46DCE6" w14:textId="77777777" w:rsidR="00E628BD" w:rsidRPr="00C05233" w:rsidRDefault="00E628BD">
      <w:pPr>
        <w:pStyle w:val="NormalHanging12a"/>
      </w:pPr>
      <w:r w:rsidRPr="00C05233">
        <w:t>4.</w:t>
      </w:r>
      <w:r w:rsidRPr="00C05233">
        <w:tab/>
        <w:t xml:space="preserve">konstatuje, že zvýšené platební potřeby jsou téměř zcela pokryty příjmy z pokut a sankcí, zejména z pokuty ve výši 2,4 miliardy EUR uložené společnosti Google za </w:t>
      </w:r>
      <w:r w:rsidRPr="00C05233">
        <w:lastRenderedPageBreak/>
        <w:t>porušování antimonopolních pravidel;</w:t>
      </w:r>
    </w:p>
    <w:p w14:paraId="4F9529D6" w14:textId="77777777" w:rsidR="00E628BD" w:rsidRPr="00C05233" w:rsidRDefault="00E628BD">
      <w:pPr>
        <w:pStyle w:val="NormalHanging12a"/>
      </w:pPr>
      <w:r w:rsidRPr="00C05233">
        <w:t>5.</w:t>
      </w:r>
      <w:r w:rsidRPr="00C05233">
        <w:tab/>
        <w:t>opakuje, že jsou zapotřebí dlouhodobě udržitelné příjmy pro rozpočet Unie, který je v reakci na různé krize v posledních letech značně napjatý; vyjadřuje proto politování nad tím, že v Radě nebylo dosaženo pokroku, pokud jde o reformu systému vlastních zdrojů v souladu s plánem v interinstitucionální dohodě; připomíná svůj postoj na podporu pozměněných návrhů Komise a naléhavě vyzývá Radu a členské státy, aby tyto návrhy urychleně přijaly s cílem zvýšit vlastní zdroje, které jsou k dispozici pro rozpočet Unie; připomíná svůj dlouhodobý postoj, že pokuty a poplatky by měly být použity jako dodatečný příjem pro rozpočet Unie;</w:t>
      </w:r>
    </w:p>
    <w:p w14:paraId="2872DF1E" w14:textId="77777777" w:rsidR="00E628BD" w:rsidRPr="00C05233" w:rsidRDefault="00E628BD">
      <w:pPr>
        <w:pStyle w:val="NormalHanging12a"/>
      </w:pPr>
      <w:r w:rsidRPr="00C05233">
        <w:t>6.</w:t>
      </w:r>
      <w:r w:rsidRPr="00C05233">
        <w:tab/>
        <w:t xml:space="preserve">vítá začlenění příjmových a výdajových rozpočtových položek pro mechanismus úvěrové spolupráce pro Ukrajinu; zdůrazňuje význam stabilní finanční podpory pro Ukrajinu v situaci, kdy financování v rámci Nástroje pro Ukrajinu a stávajících dohod o makrofinanční pomoci není dostatečné k naplnění jejích potřeb; </w:t>
      </w:r>
    </w:p>
    <w:p w14:paraId="59E65CB6" w14:textId="77777777" w:rsidR="00E628BD" w:rsidRPr="00C05233" w:rsidRDefault="00E628BD">
      <w:pPr>
        <w:pStyle w:val="NormalHanging12a"/>
      </w:pPr>
      <w:r w:rsidRPr="00C05233">
        <w:t>7.</w:t>
      </w:r>
      <w:r w:rsidRPr="00C05233">
        <w:tab/>
        <w:t xml:space="preserve">připomíná, že další úvěry v rámci makrofinanční pomoci budou zajišťovány z manévrovacího prostoru rozpočtu, a opakuje svou výzvu Komisi, aby rozpočtovému orgánu poskytla podrobné informace o kumulaci závazků v manévrovacím prostoru v souvislosti s výpůjčními a úvěrovými operacemi; očekává, že Komise bude Parlamentu a Radě poskytovat veškeré nezbytné informace v souladu se svým prohlášením připojeným k nařízení </w:t>
      </w:r>
      <w:r w:rsidRPr="00C05233">
        <w:rPr>
          <w:color w:val="333333"/>
          <w:shd w:val="clear" w:color="auto" w:fill="FFFFFF"/>
        </w:rPr>
        <w:t>Evropského parlamentu a Rady</w:t>
      </w:r>
      <w:r w:rsidRPr="00C05233">
        <w:t xml:space="preserve"> (EU) 2024/2773</w:t>
      </w:r>
      <w:r w:rsidRPr="00C05233">
        <w:rPr>
          <w:rStyle w:val="FootnoteReference"/>
          <w:color w:val="333333"/>
          <w:shd w:val="clear" w:color="auto" w:fill="FFFFFF"/>
        </w:rPr>
        <w:footnoteReference w:id="6"/>
      </w:r>
      <w:r w:rsidRPr="00C05233">
        <w:t>;</w:t>
      </w:r>
    </w:p>
    <w:p w14:paraId="757F91A6" w14:textId="77777777" w:rsidR="00E628BD" w:rsidRPr="00C05233" w:rsidRDefault="00E628BD">
      <w:pPr>
        <w:pStyle w:val="NormalHanging12a"/>
      </w:pPr>
      <w:r w:rsidRPr="00C05233">
        <w:t>8.</w:t>
      </w:r>
      <w:r w:rsidRPr="00C05233">
        <w:tab/>
        <w:t>bere na vědomí úpravu platů za rok 2024, která je vyšší, než se v rozpočtu plánovalo, což má dopad jak na odměny, tak na důchody, přičemž skutečnost, že je v roce 2024 počet nových důchodců vyšší, než se očekávalo, dále zvyšuje náklady na důchody; vítá skutečnost, že téměř všechny dodatečné náklady v jednotlivých orgánech byly pokryty interními přesuny, a využití nástroje jediného rozpětí bylo tedy omezené;</w:t>
      </w:r>
    </w:p>
    <w:p w14:paraId="3A037DD9" w14:textId="77777777" w:rsidR="00E628BD" w:rsidRPr="00C05233" w:rsidRDefault="00E628BD">
      <w:pPr>
        <w:pStyle w:val="NormalHanging12a"/>
      </w:pPr>
      <w:r w:rsidRPr="00C05233">
        <w:t>9.</w:t>
      </w:r>
      <w:r w:rsidRPr="00C05233">
        <w:tab/>
        <w:t>zdůrazňuje, že úprava platů se týká také decentralizovaných agentur, jež se potýkají s inflací přesahující 2% deflátor, o který se zvyšují jejich roční rozpočty, a jež se vyznačují tím, že pro ně náklady na zaměstnance a provozní náklady představují velkou část výdajů; vítá skutečnost, že v případě agentur, které nedokázaly najít zdroje na základě přerozdělení, došlo ke zvýšení příspěvku Unie o 1,7 %; opakuje, že je třeba se dále zamyslet nad stávajícím způsobem nakládání s rozpočty decentralizovaných agentur v rámci příprav Komise na VFR na období po roce 2027;</w:t>
      </w:r>
    </w:p>
    <w:p w14:paraId="32FFC114" w14:textId="77777777" w:rsidR="00E628BD" w:rsidRPr="00C05233" w:rsidRDefault="00E628BD">
      <w:pPr>
        <w:pStyle w:val="NormalHanging12a"/>
      </w:pPr>
      <w:r w:rsidRPr="00C05233">
        <w:t>10.</w:t>
      </w:r>
      <w:r w:rsidRPr="00C05233">
        <w:tab/>
        <w:t>bere na vědomí zvýšení prostředků pro Agenturu Evropské unie pro provozní řízení rozsáhlých informačních systémů v prostoru svobody, bezpečnosti a práva (eu-LISA) na pokrytí rostoucích nákladů, je však znepokojen odpovídajícím snížením prostředků pro Agenturu Evropské unie pro azyl (EUAA); vítá skutečnost, že agentura EUAA byla posílena v rámci revize VFR v polovině období, aby mohla plnit nové úkoly s ohledem na provádění paktu o migraci a azylu; vyzývá Komisi, aby úzce spolupracovala s oběma agenturami s cílem zajistit, aby byly vybaveny ke kompletnímu plnění svých úkolů a absorbování dodatečných prostředků, které jim byly přiděleny;</w:t>
      </w:r>
    </w:p>
    <w:p w14:paraId="189EEE8A" w14:textId="77777777" w:rsidR="00E628BD" w:rsidRPr="00C05233" w:rsidRDefault="00E628BD">
      <w:pPr>
        <w:pStyle w:val="NormalHanging12a"/>
      </w:pPr>
      <w:r w:rsidRPr="00C05233">
        <w:lastRenderedPageBreak/>
        <w:t>11.</w:t>
      </w:r>
      <w:r w:rsidRPr="00C05233">
        <w:tab/>
        <w:t xml:space="preserve">vítá dodatečné prostředky přidělené Agentuře EU pro vzdělávání a výcvik v oblasti prosazování práva (CEPOL) v roce 2024 poté, co v červnu 2024 došlo ke kybernetickému útoku na tuto agenturu; trvá na tom, že je třeba se poučit a poskytnout dalším agenturám a orgánům dodatečnou technickou podporu ze strany služby kybernetické bezpečnosti pro subjekty Unie (CERT-EU) s ohledem na vysokou hrozbu v oblasti kybernetické bezpečnosti a s cílem zajistit, aby agentury nebo orgány Unie neohrozil žádný další útok; </w:t>
      </w:r>
    </w:p>
    <w:p w14:paraId="2431E88B" w14:textId="77777777" w:rsidR="00E628BD" w:rsidRPr="00C05233" w:rsidRDefault="00E628BD">
      <w:pPr>
        <w:pStyle w:val="NormalHanging12a"/>
      </w:pPr>
      <w:r w:rsidRPr="00C05233">
        <w:t>12.</w:t>
      </w:r>
      <w:r w:rsidRPr="00C05233">
        <w:tab/>
        <w:t xml:space="preserve">zdůrazňuje význam nově zřízeného Orgánu pro boj proti praní peněz v revidovaném rámci pro boj proti praní peněz na úrovni Unie; je proto hluboce znepokojen zpožděním ve fázi jeho zřizování, zejména pokud jde o nábor zaměstnanců; </w:t>
      </w:r>
    </w:p>
    <w:p w14:paraId="29B2F01E" w14:textId="77777777" w:rsidR="00E628BD" w:rsidRPr="00C05233" w:rsidRDefault="00E628BD">
      <w:pPr>
        <w:pStyle w:val="NormalHanging12a"/>
      </w:pPr>
      <w:r w:rsidRPr="00C05233">
        <w:t>13.</w:t>
      </w:r>
      <w:r w:rsidRPr="00C05233">
        <w:tab/>
        <w:t xml:space="preserve">vítá skutečnost, že díky přepracovanému finančnímu nařízení, jež je nyní v platnosti, je možné do rozpočtu zahrnovat záporné příjmy na platbu vyrovnávacích úroků v případě prohraných soudních sporů; konstatuje, že Komise v současné době stanovuje přesnou výši těchto úroků, a vyzývá Komisi, aby tyto informace poskytla rozpočtovému orgánu co nejdříve v roce 2025; </w:t>
      </w:r>
    </w:p>
    <w:p w14:paraId="50B27DA6" w14:textId="77777777" w:rsidR="00E628BD" w:rsidRPr="00C05233" w:rsidRDefault="00E628BD">
      <w:pPr>
        <w:pStyle w:val="NormalHanging12a"/>
      </w:pPr>
      <w:r w:rsidRPr="00C05233">
        <w:t>14.</w:t>
      </w:r>
      <w:r w:rsidRPr="00C05233">
        <w:tab/>
        <w:t>schvaluje postoj Rady k návrhu opravného rozpočtu č. 5/2024;</w:t>
      </w:r>
    </w:p>
    <w:p w14:paraId="6A8B1F78" w14:textId="77777777" w:rsidR="00E628BD" w:rsidRPr="00C05233" w:rsidRDefault="00E628BD">
      <w:pPr>
        <w:pStyle w:val="NormalHanging12a"/>
      </w:pPr>
      <w:r w:rsidRPr="00C05233">
        <w:t>15.</w:t>
      </w:r>
      <w:r w:rsidRPr="00C05233">
        <w:tab/>
        <w:t xml:space="preserve">pověřuje svou předsedkyni, aby prohlásila opravný rozpočet č. 5/2024 za přijatý s konečnou platností a aby zajistila jeho zveřejnění v </w:t>
      </w:r>
      <w:r w:rsidRPr="00C05233">
        <w:rPr>
          <w:i/>
        </w:rPr>
        <w:t>Úředním věstníku Evropské unie</w:t>
      </w:r>
      <w:r w:rsidRPr="00C05233">
        <w:t>;</w:t>
      </w:r>
    </w:p>
    <w:p w14:paraId="76433A72" w14:textId="03C1A87B" w:rsidR="00822B01" w:rsidRPr="00C05233" w:rsidRDefault="00E628BD">
      <w:pPr>
        <w:pStyle w:val="NormalHanging12a"/>
      </w:pPr>
      <w:r w:rsidRPr="00C05233">
        <w:t>16.</w:t>
      </w:r>
      <w:r w:rsidRPr="00C05233">
        <w:tab/>
        <w:t>pověřuje svou předsedkyni, aby předala toto usnesení Radě</w:t>
      </w:r>
      <w:r w:rsidR="00C05233">
        <w:t xml:space="preserve"> a</w:t>
      </w:r>
      <w:r w:rsidRPr="00C05233">
        <w:t xml:space="preserve"> Komisi, jakož i vnitrostátním parlamentům.</w:t>
      </w:r>
    </w:p>
    <w:p w14:paraId="0C263149" w14:textId="77777777" w:rsidR="00E365E1" w:rsidRPr="00C05233" w:rsidRDefault="00E365E1" w:rsidP="006D5E5A">
      <w:pPr>
        <w:spacing w:after="240"/>
        <w:ind w:left="567" w:hanging="567"/>
      </w:pPr>
    </w:p>
    <w:sectPr w:rsidR="00E365E1" w:rsidRPr="00C05233" w:rsidSect="00822B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03BCB" w14:textId="77777777" w:rsidR="0025440D" w:rsidRPr="00822B01" w:rsidRDefault="0025440D">
      <w:r w:rsidRPr="00822B01">
        <w:separator/>
      </w:r>
    </w:p>
  </w:endnote>
  <w:endnote w:type="continuationSeparator" w:id="0">
    <w:p w14:paraId="7E479E84" w14:textId="77777777" w:rsidR="0025440D" w:rsidRPr="00822B01" w:rsidRDefault="0025440D">
      <w:r w:rsidRPr="00822B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8FBFC" w14:textId="77777777" w:rsidR="00064002" w:rsidRPr="00822B0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76975" w14:textId="77777777" w:rsidR="00064002" w:rsidRPr="00822B0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D1E04" w14:textId="77777777" w:rsidR="00064002" w:rsidRPr="00822B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38C5FB" w14:textId="77777777" w:rsidR="0025440D" w:rsidRPr="00822B01" w:rsidRDefault="0025440D">
      <w:r w:rsidRPr="00822B01">
        <w:separator/>
      </w:r>
    </w:p>
  </w:footnote>
  <w:footnote w:type="continuationSeparator" w:id="0">
    <w:p w14:paraId="6C66B076" w14:textId="77777777" w:rsidR="0025440D" w:rsidRPr="00822B01" w:rsidRDefault="0025440D">
      <w:r w:rsidRPr="00822B01">
        <w:continuationSeparator/>
      </w:r>
    </w:p>
  </w:footnote>
  <w:footnote w:id="1">
    <w:p w14:paraId="444AD1EE" w14:textId="2DC319D4" w:rsidR="00E628BD" w:rsidRPr="00822B01" w:rsidRDefault="00E628BD" w:rsidP="00822B01">
      <w:pPr>
        <w:pStyle w:val="FootnoteText"/>
        <w:ind w:left="567" w:hanging="567"/>
        <w:rPr>
          <w:sz w:val="24"/>
          <w:lang w:val="cs-CZ"/>
        </w:rPr>
      </w:pPr>
      <w:r w:rsidRPr="00822B01">
        <w:rPr>
          <w:rStyle w:val="FootnoteReference"/>
          <w:sz w:val="24"/>
          <w:lang w:val="cs-CZ"/>
        </w:rPr>
        <w:footnoteRef/>
      </w:r>
      <w:r w:rsidR="00822B01" w:rsidRPr="00822B01">
        <w:rPr>
          <w:sz w:val="24"/>
          <w:lang w:val="cs-CZ"/>
        </w:rPr>
        <w:t xml:space="preserve"> </w:t>
      </w:r>
      <w:r w:rsidR="00822B01" w:rsidRPr="00822B01">
        <w:rPr>
          <w:sz w:val="24"/>
          <w:lang w:val="cs-CZ"/>
        </w:rPr>
        <w:tab/>
      </w:r>
      <w:r w:rsidRPr="00822B01">
        <w:rPr>
          <w:sz w:val="24"/>
          <w:lang w:val="cs-CZ"/>
        </w:rPr>
        <w:t xml:space="preserve">Úř. věst. L, 2024/2509, 26.9.2024, </w:t>
      </w:r>
      <w:r w:rsidR="00FE64D0" w:rsidRPr="00822B01">
        <w:rPr>
          <w:sz w:val="24"/>
          <w:lang w:val="cs-CZ"/>
        </w:rPr>
        <w:t xml:space="preserve">ELI: </w:t>
      </w:r>
      <w:hyperlink r:id="rId1" w:history="1">
        <w:r w:rsidRPr="00822B01">
          <w:rPr>
            <w:rStyle w:val="Hyperlink"/>
            <w:sz w:val="24"/>
            <w:lang w:val="cs-CZ"/>
          </w:rPr>
          <w:t>http://data.europa.eu/eli/reg/2024/2509/oj</w:t>
        </w:r>
      </w:hyperlink>
      <w:r w:rsidRPr="00822B01">
        <w:rPr>
          <w:sz w:val="24"/>
          <w:lang w:val="cs-CZ"/>
        </w:rPr>
        <w:t>.</w:t>
      </w:r>
    </w:p>
  </w:footnote>
  <w:footnote w:id="2">
    <w:p w14:paraId="05647A25" w14:textId="77777777" w:rsidR="00E628BD" w:rsidRPr="00822B01" w:rsidRDefault="00E628BD" w:rsidP="00822B01">
      <w:pPr>
        <w:pStyle w:val="FootnoteText"/>
        <w:ind w:left="567" w:hanging="567"/>
        <w:rPr>
          <w:sz w:val="24"/>
          <w:lang w:val="cs-CZ"/>
        </w:rPr>
      </w:pPr>
      <w:r w:rsidRPr="00822B01">
        <w:rPr>
          <w:rStyle w:val="FootnoteReference"/>
          <w:sz w:val="24"/>
          <w:lang w:val="cs-CZ"/>
        </w:rPr>
        <w:footnoteRef/>
      </w:r>
      <w:r w:rsidR="00822B01" w:rsidRPr="00822B01">
        <w:rPr>
          <w:sz w:val="24"/>
          <w:lang w:val="cs-CZ"/>
        </w:rPr>
        <w:t xml:space="preserve"> </w:t>
      </w:r>
      <w:r w:rsidR="00822B01" w:rsidRPr="00822B01">
        <w:rPr>
          <w:sz w:val="24"/>
          <w:lang w:val="cs-CZ"/>
        </w:rPr>
        <w:tab/>
      </w:r>
      <w:r w:rsidRPr="00822B01">
        <w:rPr>
          <w:sz w:val="24"/>
          <w:lang w:val="cs-CZ"/>
        </w:rPr>
        <w:t xml:space="preserve">Úř. věst. L, 2024/207, 22.2.2024, ELI: </w:t>
      </w:r>
      <w:hyperlink r:id="rId2" w:history="1">
        <w:r w:rsidRPr="00822B01">
          <w:rPr>
            <w:rStyle w:val="Hyperlink"/>
            <w:sz w:val="24"/>
            <w:lang w:val="cs-CZ"/>
          </w:rPr>
          <w:t>http://data.europa.eu/eli/budget/2024/207/oj</w:t>
        </w:r>
      </w:hyperlink>
      <w:r w:rsidRPr="00822B01">
        <w:rPr>
          <w:sz w:val="24"/>
          <w:lang w:val="cs-CZ"/>
        </w:rPr>
        <w:t>.</w:t>
      </w:r>
    </w:p>
  </w:footnote>
  <w:footnote w:id="3">
    <w:p w14:paraId="7AAE9961" w14:textId="77777777" w:rsidR="00E628BD" w:rsidRPr="00822B01" w:rsidRDefault="00E628BD" w:rsidP="00822B01">
      <w:pPr>
        <w:pStyle w:val="FootnoteText"/>
        <w:ind w:left="567" w:hanging="567"/>
        <w:rPr>
          <w:sz w:val="24"/>
          <w:lang w:val="cs-CZ"/>
        </w:rPr>
      </w:pPr>
      <w:r w:rsidRPr="00822B01">
        <w:rPr>
          <w:rStyle w:val="FootnoteReference"/>
          <w:sz w:val="24"/>
          <w:lang w:val="cs-CZ"/>
        </w:rPr>
        <w:footnoteRef/>
      </w:r>
      <w:r w:rsidR="00822B01" w:rsidRPr="00822B01">
        <w:rPr>
          <w:sz w:val="24"/>
          <w:lang w:val="cs-CZ"/>
        </w:rPr>
        <w:t xml:space="preserve"> </w:t>
      </w:r>
      <w:r w:rsidR="00822B01" w:rsidRPr="00822B01">
        <w:rPr>
          <w:sz w:val="24"/>
          <w:lang w:val="cs-CZ"/>
        </w:rPr>
        <w:tab/>
      </w:r>
      <w:r w:rsidRPr="00822B01">
        <w:rPr>
          <w:sz w:val="24"/>
          <w:lang w:val="cs-CZ"/>
        </w:rPr>
        <w:t xml:space="preserve">Úř. věst. L 433 I, 22.12.2020, s. 11, ELI: </w:t>
      </w:r>
      <w:hyperlink r:id="rId3" w:history="1">
        <w:r w:rsidRPr="00822B01">
          <w:rPr>
            <w:rStyle w:val="Hyperlink"/>
            <w:sz w:val="24"/>
            <w:lang w:val="cs-CZ"/>
          </w:rPr>
          <w:t>http://data.europa.eu/eli/reg/2020/2093/oj</w:t>
        </w:r>
      </w:hyperlink>
      <w:r w:rsidRPr="00822B01">
        <w:rPr>
          <w:sz w:val="24"/>
          <w:lang w:val="cs-CZ"/>
        </w:rPr>
        <w:t>.</w:t>
      </w:r>
    </w:p>
  </w:footnote>
  <w:footnote w:id="4">
    <w:p w14:paraId="173F2A6F" w14:textId="7778300E" w:rsidR="00E628BD" w:rsidRPr="00822B01" w:rsidRDefault="00E628BD" w:rsidP="00822B01">
      <w:pPr>
        <w:pStyle w:val="FootnoteText"/>
        <w:ind w:left="567" w:hanging="567"/>
        <w:rPr>
          <w:sz w:val="24"/>
          <w:lang w:val="cs-CZ"/>
        </w:rPr>
      </w:pPr>
      <w:r w:rsidRPr="00822B01">
        <w:rPr>
          <w:rStyle w:val="FootnoteReference"/>
          <w:sz w:val="24"/>
          <w:lang w:val="cs-CZ"/>
        </w:rPr>
        <w:footnoteRef/>
      </w:r>
      <w:r w:rsidR="00822B01" w:rsidRPr="00822B01">
        <w:rPr>
          <w:sz w:val="24"/>
          <w:lang w:val="cs-CZ"/>
        </w:rPr>
        <w:t xml:space="preserve"> </w:t>
      </w:r>
      <w:r w:rsidR="00822B01" w:rsidRPr="00822B01">
        <w:rPr>
          <w:sz w:val="24"/>
          <w:lang w:val="cs-CZ"/>
        </w:rPr>
        <w:tab/>
      </w:r>
      <w:r w:rsidRPr="00822B01">
        <w:rPr>
          <w:sz w:val="24"/>
          <w:lang w:val="cs-CZ"/>
        </w:rPr>
        <w:t xml:space="preserve">Úř. věst. L 433 I, 22.12.2020, s. 28, ELI: </w:t>
      </w:r>
      <w:hyperlink r:id="rId4" w:history="1">
        <w:r w:rsidRPr="00822B01">
          <w:rPr>
            <w:rStyle w:val="Hyperlink"/>
            <w:sz w:val="24"/>
            <w:lang w:val="cs-CZ"/>
          </w:rPr>
          <w:t>http://data.europa.eu/eli/agree_interinstit/2020/1222/oj</w:t>
        </w:r>
      </w:hyperlink>
      <w:r w:rsidR="0026310F" w:rsidRPr="00822B01">
        <w:rPr>
          <w:sz w:val="24"/>
          <w:lang w:val="cs-CZ"/>
        </w:rPr>
        <w:t>.</w:t>
      </w:r>
    </w:p>
  </w:footnote>
  <w:footnote w:id="5">
    <w:p w14:paraId="6D4B921A" w14:textId="77777777" w:rsidR="00E628BD" w:rsidRPr="00822B01" w:rsidRDefault="00E628BD" w:rsidP="00822B01">
      <w:pPr>
        <w:pStyle w:val="FootnoteText"/>
        <w:ind w:left="567" w:hanging="567"/>
        <w:rPr>
          <w:sz w:val="24"/>
          <w:lang w:val="cs-CZ"/>
        </w:rPr>
      </w:pPr>
      <w:r w:rsidRPr="00822B01">
        <w:rPr>
          <w:rStyle w:val="FootnoteReference"/>
          <w:sz w:val="24"/>
          <w:lang w:val="cs-CZ"/>
        </w:rPr>
        <w:footnoteRef/>
      </w:r>
      <w:r w:rsidR="00822B01" w:rsidRPr="00822B01">
        <w:rPr>
          <w:sz w:val="24"/>
          <w:lang w:val="cs-CZ"/>
        </w:rPr>
        <w:t xml:space="preserve"> </w:t>
      </w:r>
      <w:r w:rsidR="00822B01" w:rsidRPr="00822B01">
        <w:rPr>
          <w:sz w:val="24"/>
          <w:lang w:val="cs-CZ"/>
        </w:rPr>
        <w:tab/>
      </w:r>
      <w:r w:rsidRPr="00822B01">
        <w:rPr>
          <w:sz w:val="24"/>
          <w:lang w:val="cs-CZ"/>
        </w:rPr>
        <w:t xml:space="preserve">Úř. věst. L 424, 15.12.2020, s. 1, ELI: </w:t>
      </w:r>
      <w:hyperlink r:id="rId5" w:history="1">
        <w:r w:rsidRPr="00822B01">
          <w:rPr>
            <w:rStyle w:val="Hyperlink"/>
            <w:sz w:val="24"/>
            <w:lang w:val="cs-CZ"/>
          </w:rPr>
          <w:t>http://data.europa.eu/eli/dec/2020/2053/oj</w:t>
        </w:r>
      </w:hyperlink>
      <w:r w:rsidRPr="00822B01">
        <w:rPr>
          <w:sz w:val="24"/>
          <w:lang w:val="cs-CZ"/>
        </w:rPr>
        <w:t>.</w:t>
      </w:r>
    </w:p>
  </w:footnote>
  <w:footnote w:id="6">
    <w:p w14:paraId="0730EEFA" w14:textId="77777777" w:rsidR="00E628BD" w:rsidRPr="00822B01" w:rsidRDefault="00E628BD" w:rsidP="00822B01">
      <w:pPr>
        <w:pStyle w:val="FootnoteText"/>
        <w:ind w:left="567" w:hanging="567"/>
        <w:rPr>
          <w:sz w:val="24"/>
          <w:lang w:val="cs-CZ"/>
        </w:rPr>
      </w:pPr>
      <w:r w:rsidRPr="00822B01">
        <w:rPr>
          <w:rStyle w:val="FootnoteReference"/>
          <w:sz w:val="24"/>
          <w:lang w:val="cs-CZ"/>
        </w:rPr>
        <w:footnoteRef/>
      </w:r>
      <w:r w:rsidR="00822B01" w:rsidRPr="00822B01">
        <w:rPr>
          <w:sz w:val="24"/>
          <w:lang w:val="cs-CZ"/>
        </w:rPr>
        <w:t xml:space="preserve"> </w:t>
      </w:r>
      <w:r w:rsidR="00822B01" w:rsidRPr="00822B01">
        <w:rPr>
          <w:sz w:val="24"/>
          <w:lang w:val="cs-CZ"/>
        </w:rPr>
        <w:tab/>
      </w:r>
      <w:r w:rsidRPr="00822B01">
        <w:rPr>
          <w:sz w:val="24"/>
          <w:lang w:val="cs-CZ"/>
        </w:rPr>
        <w:t xml:space="preserve">Nařízení Evropského parlamentu a Rady (EU) 2024/2773 ze dne 24. října 2024, kterým se zřizuje mechanismus úvěrové spolupráce pro Ukrajinu a poskytuje mimořádná makrofinanční pomoc Ukrajině (Úř. věst. L, 2024/2773, 28.10.2024, ELI: </w:t>
      </w:r>
      <w:hyperlink r:id="rId6" w:history="1">
        <w:r w:rsidRPr="00822B01">
          <w:rPr>
            <w:rStyle w:val="Hyperlink"/>
            <w:sz w:val="24"/>
            <w:lang w:val="cs-CZ"/>
          </w:rPr>
          <w:t>http://data.europa.eu/eli/reg/2024/2773/oj</w:t>
        </w:r>
      </w:hyperlink>
      <w:r w:rsidRPr="00822B01">
        <w:rPr>
          <w:sz w:val="24"/>
          <w:lang w:val="cs-CZ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B2C2C" w14:textId="77777777" w:rsidR="00064002" w:rsidRPr="00822B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51D0A" w14:textId="77777777" w:rsidR="00064002" w:rsidRPr="00822B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07868" w14:textId="77777777" w:rsidR="00064002" w:rsidRPr="00822B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4"/>
    <w:docVar w:name="dvlangue" w:val="CS"/>
    <w:docVar w:name="dvnumam" w:val="0"/>
    <w:docVar w:name="dvpe" w:val="765.136"/>
    <w:docVar w:name="dvrapporteur" w:val="Zpravodaj: "/>
    <w:docVar w:name="dvtitre" w:val="Usnesení Evropského parlamentu ze dne 27. listopadu 2024 o postoji Rady k návrhu opravného rozpočtu Evropské unie č. 5/2024 na rozpočtový rok 2024 – úprava prostředků na platby, aktualizace příjmů a další technické aktualizace(14477/2024 – C10-0186/2024 – 2024/0252(BUD))"/>
  </w:docVars>
  <w:rsids>
    <w:rsidRoot w:val="0025440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440D"/>
    <w:rsid w:val="0026310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5900"/>
    <w:rsid w:val="006037C0"/>
    <w:rsid w:val="006631B6"/>
    <w:rsid w:val="00680577"/>
    <w:rsid w:val="006D5E5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B0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59C"/>
    <w:rsid w:val="00B558F0"/>
    <w:rsid w:val="00BD48FE"/>
    <w:rsid w:val="00BD7BD8"/>
    <w:rsid w:val="00BE6ADC"/>
    <w:rsid w:val="00C05233"/>
    <w:rsid w:val="00C05BFE"/>
    <w:rsid w:val="00C23CD4"/>
    <w:rsid w:val="00C61C0C"/>
    <w:rsid w:val="00C941CB"/>
    <w:rsid w:val="00CC2357"/>
    <w:rsid w:val="00CF071A"/>
    <w:rsid w:val="00D058B8"/>
    <w:rsid w:val="00D56C11"/>
    <w:rsid w:val="00D8150B"/>
    <w:rsid w:val="00D834A0"/>
    <w:rsid w:val="00D872DF"/>
    <w:rsid w:val="00D91E21"/>
    <w:rsid w:val="00DA7FCD"/>
    <w:rsid w:val="00E365E1"/>
    <w:rsid w:val="00E628B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0E681F"/>
  <w15:chartTrackingRefBased/>
  <w15:docId w15:val="{74764113-2DA9-4BD1-A9F4-C8078BEB8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28BD"/>
    <w:pPr>
      <w:spacing w:before="480" w:after="240"/>
    </w:pPr>
  </w:style>
  <w:style w:type="paragraph" w:customStyle="1" w:styleId="NormalHanging12a">
    <w:name w:val="NormalHanging12a"/>
    <w:basedOn w:val="Normal"/>
    <w:rsid w:val="00E628BD"/>
    <w:pPr>
      <w:spacing w:after="240"/>
      <w:ind w:left="567" w:hanging="567"/>
    </w:pPr>
  </w:style>
  <w:style w:type="character" w:styleId="Hyperlink">
    <w:name w:val="Hyperlink"/>
    <w:basedOn w:val="DefaultParagraphFont"/>
    <w:rsid w:val="00E628B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C052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523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5233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C052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5233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C052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5233"/>
    <w:rPr>
      <w:rFonts w:ascii="Segoe UI" w:hAnsi="Segoe UI" w:cs="Segoe UI"/>
      <w:sz w:val="18"/>
      <w:szCs w:val="18"/>
      <w:lang w:val="cs-CZ"/>
    </w:rPr>
  </w:style>
  <w:style w:type="paragraph" w:customStyle="1" w:styleId="Default">
    <w:name w:val="Default"/>
    <w:rsid w:val="00FE64D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budget/2024/207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reg/2024/2773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21005-3219-40EA-848B-1B495EB23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1313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2024-11-27T11:54:00Z</dcterms:created>
  <dcterms:modified xsi:type="dcterms:W3CDTF">2024-11-27T11:54:00Z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A10-0017/2024</vt:lpwstr>
  </property>
  <property fmtid="{D5CDD505-2E9C-101B-9397-08002B2CF9AE}" pid="4" name="&lt;Type&gt;">
    <vt:lpwstr>RR</vt:lpwstr>
  </property>
</Properties>
</file>