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9265E" w:rsidTr="0010095E">
        <w:trPr>
          <w:trHeight w:hRule="exact" w:val="1418"/>
        </w:trPr>
        <w:tc>
          <w:tcPr>
            <w:tcW w:w="6804" w:type="dxa"/>
            <w:shd w:val="clear" w:color="auto" w:fill="auto"/>
            <w:vAlign w:val="center"/>
          </w:tcPr>
          <w:p w:rsidR="00751A4A" w:rsidRPr="00D9265E" w:rsidRDefault="00670851" w:rsidP="0010095E">
            <w:pPr>
              <w:pStyle w:val="EPName"/>
            </w:pPr>
            <w:bookmarkStart w:id="0" w:name="_GoBack"/>
            <w:bookmarkEnd w:id="0"/>
            <w:r w:rsidRPr="00D9265E">
              <w:t>Ευρωπαϊκό Κοινοβούλιο</w:t>
            </w:r>
          </w:p>
          <w:p w:rsidR="00751A4A" w:rsidRPr="00D9265E" w:rsidRDefault="005F1B17" w:rsidP="005F1B17">
            <w:pPr>
              <w:pStyle w:val="EPTerm"/>
              <w:rPr>
                <w:rStyle w:val="HideTWBExt"/>
                <w:noProof w:val="0"/>
                <w:vanish w:val="0"/>
                <w:color w:val="auto"/>
              </w:rPr>
            </w:pPr>
            <w:r w:rsidRPr="00D9265E">
              <w:t>2024</w:t>
            </w:r>
            <w:r w:rsidR="00817416" w:rsidRPr="00D9265E">
              <w:t>-202</w:t>
            </w:r>
            <w:r w:rsidRPr="00D9265E">
              <w:t>9</w:t>
            </w:r>
          </w:p>
        </w:tc>
        <w:tc>
          <w:tcPr>
            <w:tcW w:w="2268" w:type="dxa"/>
            <w:shd w:val="clear" w:color="auto" w:fill="auto"/>
          </w:tcPr>
          <w:p w:rsidR="00751A4A" w:rsidRPr="00D9265E" w:rsidRDefault="00187494" w:rsidP="0010095E">
            <w:pPr>
              <w:pStyle w:val="EPLogo"/>
            </w:pPr>
            <w:r w:rsidRPr="00D9265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D9265E" w:rsidRDefault="00D058B8" w:rsidP="004C5D52">
      <w:pPr>
        <w:pStyle w:val="LineTop"/>
      </w:pPr>
    </w:p>
    <w:p w:rsidR="00680577" w:rsidRPr="00D9265E" w:rsidRDefault="00670851" w:rsidP="00680577">
      <w:pPr>
        <w:pStyle w:val="EPBodyTA1"/>
      </w:pPr>
      <w:r w:rsidRPr="00D9265E">
        <w:t>ΚΕΙΜΕΝΑ ΠΟΥ ΕΓΚΡΙΘΗΚΑΝ</w:t>
      </w:r>
    </w:p>
    <w:p w:rsidR="00D058B8" w:rsidRPr="00D9265E" w:rsidRDefault="00D058B8" w:rsidP="00D058B8">
      <w:pPr>
        <w:pStyle w:val="LineBottom"/>
      </w:pPr>
    </w:p>
    <w:p w:rsidR="00670851" w:rsidRPr="00D9265E" w:rsidRDefault="00670851" w:rsidP="00670851">
      <w:pPr>
        <w:pStyle w:val="ATHeading1"/>
      </w:pPr>
      <w:bookmarkStart w:id="1" w:name="TANumber"/>
      <w:r w:rsidRPr="00D9265E">
        <w:t>P10_TA(2024)00</w:t>
      </w:r>
      <w:r w:rsidR="00D9265E" w:rsidRPr="00D9265E">
        <w:t>49</w:t>
      </w:r>
      <w:bookmarkEnd w:id="1"/>
    </w:p>
    <w:p w:rsidR="00670851" w:rsidRPr="00D9265E" w:rsidRDefault="00BD31DC" w:rsidP="00BD31DC">
      <w:pPr>
        <w:pStyle w:val="ATHeading2"/>
      </w:pPr>
      <w:bookmarkStart w:id="2" w:name="title"/>
      <w:r w:rsidRPr="00D9265E">
        <w:t>Σχέδιο διορθωτικού προϋπολογισμού αριθ. 5 στον γενικό προϋπολογισμό του 2024: Προσαρμογές στις πιστώσεις πληρωμών, επικαιροποίηση εσόδων και άλλες τεχνικές επικαιροποιήσεις</w:t>
      </w:r>
      <w:bookmarkEnd w:id="2"/>
    </w:p>
    <w:p w:rsidR="00670851" w:rsidRPr="00D9265E" w:rsidRDefault="00670851" w:rsidP="00670851">
      <w:pPr>
        <w:rPr>
          <w:i/>
          <w:vanish/>
        </w:rPr>
      </w:pPr>
      <w:r w:rsidRPr="00D9265E">
        <w:rPr>
          <w:i/>
        </w:rPr>
        <w:fldChar w:fldCharType="begin"/>
      </w:r>
      <w:r w:rsidRPr="00D9265E">
        <w:rPr>
          <w:i/>
        </w:rPr>
        <w:instrText xml:space="preserve"> TC"(</w:instrText>
      </w:r>
      <w:bookmarkStart w:id="3" w:name="DocNumber"/>
      <w:r w:rsidRPr="00D9265E">
        <w:rPr>
          <w:i/>
        </w:rPr>
        <w:instrText>A10-0017/2024</w:instrText>
      </w:r>
      <w:bookmarkEnd w:id="3"/>
      <w:r w:rsidRPr="00D9265E">
        <w:rPr>
          <w:i/>
        </w:rPr>
        <w:instrText xml:space="preserve"> - Εισηγητής: Siegfried Mureşan)"\l3 \n&gt; \* MERGEFORMAT </w:instrText>
      </w:r>
      <w:r w:rsidRPr="00D9265E">
        <w:rPr>
          <w:i/>
        </w:rPr>
        <w:fldChar w:fldCharType="end"/>
      </w:r>
    </w:p>
    <w:p w:rsidR="00670851" w:rsidRPr="00D9265E" w:rsidRDefault="00670851" w:rsidP="00670851">
      <w:pPr>
        <w:rPr>
          <w:vanish/>
        </w:rPr>
      </w:pPr>
      <w:bookmarkStart w:id="4" w:name="Commission"/>
      <w:r w:rsidRPr="00D9265E">
        <w:rPr>
          <w:vanish/>
        </w:rPr>
        <w:t>Επιτροπή Προϋπολογισμών</w:t>
      </w:r>
      <w:bookmarkEnd w:id="4"/>
    </w:p>
    <w:p w:rsidR="00670851" w:rsidRPr="00D9265E" w:rsidRDefault="00670851" w:rsidP="00670851">
      <w:pPr>
        <w:rPr>
          <w:vanish/>
        </w:rPr>
      </w:pPr>
      <w:bookmarkStart w:id="5" w:name="PE"/>
      <w:r w:rsidRPr="00D9265E">
        <w:rPr>
          <w:vanish/>
        </w:rPr>
        <w:t>PE765.136</w:t>
      </w:r>
      <w:bookmarkEnd w:id="5"/>
    </w:p>
    <w:p w:rsidR="00670851" w:rsidRPr="00D9265E" w:rsidRDefault="00670851" w:rsidP="00670851">
      <w:pPr>
        <w:pStyle w:val="ATHeading3"/>
      </w:pPr>
      <w:bookmarkStart w:id="6" w:name="Sujet"/>
      <w:r w:rsidRPr="00D9265E">
        <w:t xml:space="preserve">Ψήφισμα του Ευρωπαϊκού Κοινοβουλίου </w:t>
      </w:r>
      <w:r w:rsidR="00BD31DC" w:rsidRPr="00D9265E">
        <w:t xml:space="preserve">της 27ης Νοεμβρίου 2024 </w:t>
      </w:r>
      <w:r w:rsidRPr="00D9265E">
        <w:t>σχετικά με τη θέση του Συμβουλίου επί του σχεδίου διορθωτικού προϋπολογισμού αριθ. 5/2024 της Ευρωπαϊκής Ένωσης για το οικονομικό έτος 2024 – προσαρμογή των πιστώσεων πληρωμών, επικαιροποίηση των εσόδων και άλλες τεχνικές επικαιροποιήσεις</w:t>
      </w:r>
      <w:bookmarkEnd w:id="6"/>
      <w:r w:rsidRPr="00D9265E">
        <w:t xml:space="preserve"> </w:t>
      </w:r>
      <w:bookmarkStart w:id="7" w:name="References"/>
      <w:r w:rsidRPr="00D9265E">
        <w:t>(14477/2024 – C10-0186/2024 – 2024/0252(BUD))</w:t>
      </w:r>
      <w:bookmarkEnd w:id="7"/>
    </w:p>
    <w:p w:rsidR="009940A6" w:rsidRPr="00D9265E" w:rsidRDefault="009940A6" w:rsidP="009940A6">
      <w:pPr>
        <w:pStyle w:val="EPComma"/>
      </w:pPr>
      <w:bookmarkStart w:id="8" w:name="TextBodyBegin"/>
      <w:bookmarkEnd w:id="8"/>
      <w:r w:rsidRPr="00D9265E">
        <w:rPr>
          <w:i/>
        </w:rPr>
        <w:t>Το Ευρωπαϊκό Κοινοβούλιο</w:t>
      </w:r>
      <w:r w:rsidRPr="00D9265E">
        <w:t>,</w:t>
      </w:r>
    </w:p>
    <w:p w:rsidR="009940A6" w:rsidRPr="00D9265E" w:rsidRDefault="009940A6" w:rsidP="00BD31DC">
      <w:pPr>
        <w:pStyle w:val="NormalHanging12a"/>
        <w:widowControl/>
      </w:pPr>
      <w:r w:rsidRPr="00D9265E">
        <w:t>–</w:t>
      </w:r>
      <w:r w:rsidRPr="00D9265E">
        <w:tab/>
        <w:t>έχοντας υπόψη το άρθρο 314 της Συνθήκης για τη λειτουργία της Ευρωπαϊκής Ένωσης,</w:t>
      </w:r>
    </w:p>
    <w:p w:rsidR="009940A6" w:rsidRPr="00D9265E" w:rsidRDefault="009940A6" w:rsidP="00BD31DC">
      <w:pPr>
        <w:pStyle w:val="NormalHanging12a"/>
        <w:widowControl/>
      </w:pPr>
      <w:r w:rsidRPr="00D9265E">
        <w:t>–</w:t>
      </w:r>
      <w:r w:rsidRPr="00D9265E">
        <w:tab/>
        <w:t>έχοντας υπόψη το άρθρο 106α της Συνθήκης περί ιδρύσεως της Ευρωπαϊκής Κοινότητας Ατομικής Ενεργείας,</w:t>
      </w:r>
    </w:p>
    <w:p w:rsidR="009940A6" w:rsidRPr="00D9265E" w:rsidRDefault="009940A6" w:rsidP="00BD31DC">
      <w:pPr>
        <w:pStyle w:val="NormalHanging12a"/>
        <w:widowControl/>
      </w:pPr>
      <w:r w:rsidRPr="00D9265E">
        <w:t>–</w:t>
      </w:r>
      <w:r w:rsidRPr="00D9265E">
        <w:tab/>
        <w:t>έχοντας υπόψη τον κανονισμό (ΕΕ, Ευρατόμ) 2024/2509 του Ευρωπαϊκού Κοινοβουλίου και του Συμβουλίου, της 23ης Σεπτεμβρίου 2024, σχετικά με τους δημοσιονομικούς κανόνες που εφαρμόζονται στον γενικό προϋπολογισμό της Ένωσης</w:t>
      </w:r>
      <w:r w:rsidRPr="00D9265E">
        <w:rPr>
          <w:rStyle w:val="FootnoteReference"/>
        </w:rPr>
        <w:footnoteReference w:id="1"/>
      </w:r>
      <w:r w:rsidRPr="00D9265E">
        <w:t>, και ιδίως το άρθρο 44,</w:t>
      </w:r>
    </w:p>
    <w:p w:rsidR="009940A6" w:rsidRPr="00D9265E" w:rsidRDefault="009940A6" w:rsidP="00BD31DC">
      <w:pPr>
        <w:pStyle w:val="NormalHanging12a"/>
        <w:widowControl/>
      </w:pPr>
      <w:r w:rsidRPr="00D9265E">
        <w:t>–</w:t>
      </w:r>
      <w:r w:rsidRPr="00D9265E">
        <w:tab/>
        <w:t>έχοντας υπόψη τον γενικό προϋπολογισμό της Ευρωπαϊκής Ένωσης για το οικονομικό έτος 2024, που εκδόθηκε οριστικά στις 22 Νοεμβρίου 2023</w:t>
      </w:r>
      <w:r w:rsidRPr="00D9265E">
        <w:rPr>
          <w:rStyle w:val="FootnoteReference"/>
        </w:rPr>
        <w:footnoteReference w:id="2"/>
      </w:r>
      <w:r w:rsidRPr="00D9265E">
        <w:t>,</w:t>
      </w:r>
    </w:p>
    <w:p w:rsidR="009940A6" w:rsidRPr="00D9265E" w:rsidRDefault="009940A6" w:rsidP="00BD31DC">
      <w:pPr>
        <w:pStyle w:val="NormalHanging12a"/>
        <w:widowControl/>
      </w:pPr>
      <w:r w:rsidRPr="00D9265E">
        <w:t>–</w:t>
      </w:r>
      <w:r w:rsidRPr="00D9265E">
        <w:tab/>
        <w:t>έχοντας υπόψη τον κανονισμό (ΕΕ, Ευρατόμ) 2020/2093 του Συμβουλίου, της 17ης</w:t>
      </w:r>
      <w:r w:rsidR="00BD31DC" w:rsidRPr="00D9265E">
        <w:t> </w:t>
      </w:r>
      <w:r w:rsidRPr="00D9265E">
        <w:t>Δεκεμβρίου 2020, για τον καθορισμό του πολυετούς δημοσιονομικού πλαισίου για τα έτη 2021 έως 2027</w:t>
      </w:r>
      <w:r w:rsidRPr="00D9265E">
        <w:rPr>
          <w:rStyle w:val="FootnoteReference"/>
        </w:rPr>
        <w:footnoteReference w:id="3"/>
      </w:r>
      <w:r w:rsidRPr="00D9265E">
        <w:t>,</w:t>
      </w:r>
    </w:p>
    <w:p w:rsidR="009940A6" w:rsidRPr="00D9265E" w:rsidRDefault="009940A6" w:rsidP="00BD31DC">
      <w:pPr>
        <w:pStyle w:val="NormalHanging12a"/>
        <w:widowControl/>
      </w:pPr>
      <w:r w:rsidRPr="00D9265E">
        <w:t>–</w:t>
      </w:r>
      <w:r w:rsidRPr="00D9265E">
        <w:tab/>
        <w:t xml:space="preserve">έχοντας υπόψη τη διοργανική συμφωνία της 16ης Δεκεμβρίου 2020 μεταξύ του Ευρωπαϊκού Κοινοβουλίου, του Συμβουλίου της Ευρωπαϊκής Ένωσης και της Ευρωπαϊκής Επιτροπής για τη δημοσιονομική πειθαρχία, τη συνεργασία σε δημοσιονομικά θέματα και τη χρηστή δημοσιονομική διαχείριση, καθώς και τους νέους </w:t>
      </w:r>
      <w:r w:rsidRPr="00D9265E">
        <w:lastRenderedPageBreak/>
        <w:t>ιδίους πόρους, συμπεριλαμβανομένου ενός οδικού χάρτη για την εισαγωγή νέων ιδίων πόρων</w:t>
      </w:r>
      <w:r w:rsidRPr="00D9265E">
        <w:rPr>
          <w:rStyle w:val="FootnoteReference"/>
        </w:rPr>
        <w:footnoteReference w:id="4"/>
      </w:r>
      <w:r w:rsidRPr="00D9265E">
        <w:t>,</w:t>
      </w:r>
    </w:p>
    <w:p w:rsidR="009940A6" w:rsidRPr="00D9265E" w:rsidRDefault="009940A6" w:rsidP="00BD31DC">
      <w:pPr>
        <w:pStyle w:val="NormalHanging12a"/>
        <w:widowControl/>
      </w:pPr>
      <w:r w:rsidRPr="00D9265E">
        <w:t>–</w:t>
      </w:r>
      <w:r w:rsidRPr="00D9265E">
        <w:tab/>
        <w:t>έχοντας υπόψη την απόφαση (ΕΕ, Ευρατόμ) 2020/2053/ΕΕ του Συμβουλίου, της 14ης</w:t>
      </w:r>
      <w:r w:rsidR="00BD31DC" w:rsidRPr="00D9265E">
        <w:rPr>
          <w:lang w:val="en-GB"/>
        </w:rPr>
        <w:t> </w:t>
      </w:r>
      <w:r w:rsidRPr="00D9265E">
        <w:t>Δεκεμβρίου 2020, για το σύστημα των ιδίων πόρων της Ευρωπαϊκής Ένωσης και για την κατάργηση της απόφασης 2014/335/ΕΕ, Ευρατόμ</w:t>
      </w:r>
      <w:r w:rsidRPr="00D9265E">
        <w:rPr>
          <w:rStyle w:val="FootnoteReference"/>
        </w:rPr>
        <w:footnoteReference w:id="5"/>
      </w:r>
      <w:r w:rsidRPr="00D9265E">
        <w:t>,</w:t>
      </w:r>
    </w:p>
    <w:p w:rsidR="009940A6" w:rsidRPr="00D9265E" w:rsidRDefault="009940A6" w:rsidP="00BD31DC">
      <w:pPr>
        <w:pStyle w:val="NormalHanging12a"/>
        <w:widowControl/>
      </w:pPr>
      <w:r w:rsidRPr="00D9265E">
        <w:t>–</w:t>
      </w:r>
      <w:r w:rsidRPr="00D9265E">
        <w:tab/>
        <w:t>έχοντας υπόψη το σχέδιο διορθωτικού προϋπολογισμού αριθ. 5/2024 που εγκρίθηκε από την Επιτροπή στις 10 Οκτωβρίου 2024 (COM(2024)0650),</w:t>
      </w:r>
    </w:p>
    <w:p w:rsidR="009940A6" w:rsidRPr="00D9265E" w:rsidRDefault="009940A6" w:rsidP="00BD31DC">
      <w:pPr>
        <w:pStyle w:val="NormalHanging12a"/>
        <w:widowControl/>
      </w:pPr>
      <w:r w:rsidRPr="00D9265E">
        <w:t>–</w:t>
      </w:r>
      <w:r w:rsidRPr="00D9265E">
        <w:tab/>
        <w:t>έχοντας υπόψη τη θέση επί του σχεδίου διορθωτικού προϋπολογισμού αριθ. 5/2024, η οποία εγκρίθηκε από το Συμβούλιο στις 5 Νοεμβρίου 2024 και διαβιβάστηκε στο Ευρωπαϊκό Κοινοβούλιο στις 12 Νοεμβρίου 2024 (14477/2024 – C10-0186/2024)</w:t>
      </w:r>
    </w:p>
    <w:p w:rsidR="009940A6" w:rsidRPr="00D9265E" w:rsidRDefault="009940A6" w:rsidP="00BD31DC">
      <w:pPr>
        <w:pStyle w:val="NormalHanging12a"/>
        <w:widowControl/>
      </w:pPr>
      <w:r w:rsidRPr="00D9265E">
        <w:t>–</w:t>
      </w:r>
      <w:r w:rsidRPr="00D9265E">
        <w:tab/>
        <w:t>έχοντας υπόψη τα άρθρα 96 και 98 του Κανονισμού του,</w:t>
      </w:r>
    </w:p>
    <w:p w:rsidR="009940A6" w:rsidRPr="00D9265E" w:rsidRDefault="009940A6" w:rsidP="00BD31DC">
      <w:pPr>
        <w:pStyle w:val="NormalHanging12a"/>
        <w:widowControl/>
      </w:pPr>
      <w:r w:rsidRPr="00D9265E">
        <w:t>–</w:t>
      </w:r>
      <w:r w:rsidRPr="00D9265E">
        <w:tab/>
        <w:t>έχοντας υπόψη την έκθεση της Επιτροπής Προϋπολογισμών (A10-0017/2024),</w:t>
      </w:r>
    </w:p>
    <w:p w:rsidR="009940A6" w:rsidRPr="00D9265E" w:rsidRDefault="009940A6" w:rsidP="00BD31DC">
      <w:pPr>
        <w:pStyle w:val="NormalHanging12a"/>
        <w:widowControl/>
      </w:pPr>
      <w:r w:rsidRPr="00D9265E">
        <w:t>Α.</w:t>
      </w:r>
      <w:r w:rsidRPr="00D9265E">
        <w:tab/>
        <w:t>λαμβάνοντας υπόψη ότι σκοπός του σχεδίου διορθωτικού προϋπολογισμού αριθ. 5/2024 είναι η προσαρμογή των δαπανών, ιδίως όσον αφορά τις πιστώσεις πληρωμών, και η επικαιροποίηση των εσόδων για τον προϋπολογισμό της Ένωσης·</w:t>
      </w:r>
    </w:p>
    <w:p w:rsidR="009940A6" w:rsidRPr="00D9265E" w:rsidRDefault="009940A6" w:rsidP="00BD31DC">
      <w:pPr>
        <w:pStyle w:val="NormalHanging12a"/>
        <w:widowControl/>
      </w:pPr>
      <w:r w:rsidRPr="00D9265E">
        <w:t>Β.</w:t>
      </w:r>
      <w:r w:rsidRPr="00D9265E">
        <w:tab/>
        <w:t>λαμβάνοντας υπόψη ότι, όσον αφορά τις δαπάνες, το σχέδιο διορθωτικού προϋπολογισμού αριθ. 5/2024 συνεπάγεται καθαρή αύξηση κατά 44,5 εκατομμύρια EUR σε πιστώσεις ανάληψης υποχρεώσεων και κατά 2,95 δισεκατομμύρια EUR σε πιστώσεις πληρωμών· λαμβάνοντας υπόψη ότι, λόγω της απουσίας οποιουδήποτε διαθέσιμου περιθωρίου στο πλαίσιο των τομέων 2β, 5 και 7 του πολυετούς δημοσιονομικού πλαισίου (ΠΔΠ), προτείνεται να κινητοποιηθούν επιπλέον 7,2</w:t>
      </w:r>
      <w:r w:rsidR="00BD31DC" w:rsidRPr="00D9265E">
        <w:rPr>
          <w:lang w:val="en-GB"/>
        </w:rPr>
        <w:t> </w:t>
      </w:r>
      <w:r w:rsidRPr="00D9265E">
        <w:t>εκατομμύρια EUR από τον μηχανισμό ευελιξίας και επιπλέον 68,5 εκατομμύρια EUR που θα χρησιμοποιηθούν από τη συνιστώσα α) του Ενιαίου Μέσου Περιθωρίου·</w:t>
      </w:r>
    </w:p>
    <w:p w:rsidR="009940A6" w:rsidRPr="00D9265E" w:rsidRDefault="009940A6" w:rsidP="00BD31DC">
      <w:pPr>
        <w:pStyle w:val="NormalHanging12a"/>
        <w:widowControl/>
      </w:pPr>
      <w:r w:rsidRPr="00D9265E">
        <w:t>Γ.</w:t>
      </w:r>
      <w:r w:rsidRPr="00D9265E">
        <w:tab/>
        <w:t>λαμβάνοντας υπόψη ότι, στο σκέλος των εσόδων, το σχέδιο διορθωτικού προϋπολογισμού αριθ. 5/2024 εγγράφει στον προϋπολογισμό του 2024 οριστικά πρόστιμα και ποινές που καταβλήθηκαν έως τον Οκτώβριο του 2024, συνολικού ύψους 2,82 δισεκατομμυρίων EUR, γεγονός που σημαίνει ότι απαιτούνται πρόσθετες συνεισφορές βάσει του ΑΕΕ ύψους 139,9 εκατομμυρίων EUR για την κάλυψη των αναγκών πληρωμών·</w:t>
      </w:r>
    </w:p>
    <w:p w:rsidR="009940A6" w:rsidRPr="00D9265E" w:rsidRDefault="009940A6" w:rsidP="00BD31DC">
      <w:pPr>
        <w:pStyle w:val="NormalHanging12a"/>
        <w:widowControl/>
      </w:pPr>
      <w:r w:rsidRPr="00D9265E">
        <w:t>Δ.</w:t>
      </w:r>
      <w:r w:rsidRPr="00D9265E">
        <w:tab/>
        <w:t>λαμβάνοντας υπόψη ότι το σχέδιο διορθωτικού προϋπολογισμού αριθ. 5/2024 εισάγει επίσης νέες γραμμές του προϋπολογισμού για τα έσοδα και τις δαπάνες για τον μηχανισμό δανειακής συνεργασίας για την Ουκρανία, στο πλαίσιο των οποίων η στήριξη θα παρέχεται μέσω δανείων που θα εξυπηρετούνται και θα αποπληρώνονται από μελλοντικές ροές εσόδων από ακινητοποιημένα ρωσικά κρατικά περιουσιακά στοιχεία·</w:t>
      </w:r>
    </w:p>
    <w:p w:rsidR="009940A6" w:rsidRPr="00D9265E" w:rsidRDefault="00D9265E" w:rsidP="00D9265E">
      <w:pPr>
        <w:pStyle w:val="NormalHanging12a"/>
        <w:widowControl/>
        <w:ind w:left="570" w:hanging="570"/>
      </w:pPr>
      <w:r w:rsidRPr="00D9265E">
        <w:t>1.</w:t>
      </w:r>
      <w:r w:rsidRPr="00D9265E">
        <w:tab/>
      </w:r>
      <w:r w:rsidR="009940A6" w:rsidRPr="00D9265E">
        <w:t xml:space="preserve">λαμβάνει γνώση του σχεδίου διορθωτικού προϋπολογισμού </w:t>
      </w:r>
      <w:r w:rsidR="00BD31DC" w:rsidRPr="00D9265E">
        <w:t xml:space="preserve">αριθ. </w:t>
      </w:r>
      <w:r w:rsidR="009940A6" w:rsidRPr="00D9265E">
        <w:t>5/2024, όπως υποβλήθηκε από την Επιτροπή·</w:t>
      </w:r>
    </w:p>
    <w:p w:rsidR="009940A6" w:rsidRPr="00D9265E" w:rsidRDefault="00D9265E" w:rsidP="00D9265E">
      <w:pPr>
        <w:pStyle w:val="NormalHanging12a"/>
        <w:widowControl/>
        <w:ind w:left="570" w:hanging="570"/>
      </w:pPr>
      <w:r w:rsidRPr="00D9265E">
        <w:lastRenderedPageBreak/>
        <w:t>2.</w:t>
      </w:r>
      <w:r w:rsidRPr="00D9265E">
        <w:tab/>
      </w:r>
      <w:r w:rsidR="009940A6" w:rsidRPr="00D9265E">
        <w:t xml:space="preserve">εκφράζει την ικανοποίησή του για τις αυξημένες ανάγκες πληρωμών για το Ευρωπαϊκό Ταμείο Περιφερειακής Ανάπτυξης (ΕΤΠΑ), σε συνδυασμό με εκείνες για την Κοινή Γεωργική Πολιτική στη Συνολική Μεταφορά (DEC 11/24), ως ένδειξη ότι η υλοποίηση του προγράμματος επιταχύνεται μετά από ανησυχητικά αργή εκκίνηση κατά την περίοδο 2021-2027· </w:t>
      </w:r>
    </w:p>
    <w:p w:rsidR="009940A6" w:rsidRPr="00D9265E" w:rsidRDefault="00D9265E" w:rsidP="00D9265E">
      <w:pPr>
        <w:pStyle w:val="NormalHanging12a"/>
        <w:widowControl/>
        <w:ind w:left="570" w:hanging="570"/>
      </w:pPr>
      <w:r w:rsidRPr="00D9265E">
        <w:t>3.</w:t>
      </w:r>
      <w:r w:rsidRPr="00D9265E">
        <w:tab/>
      </w:r>
      <w:r w:rsidR="009940A6" w:rsidRPr="00D9265E">
        <w:t>σημειώνει με ικανοποίηση ότι οι αλλαγές στους κανόνες που εισήγαγε η πλατφόρμα στρατηγικών τεχνολογιών για την Ευρώπη (STEP) – με έκτακτη προχρηματοδότηση και εθελοντική συγχρηματοδότηση κατά 100 % – είχαν θετικό αντίκτυπο στην υλοποίηση του ΕΤΠΑ, γεγονός που σημαίνει ότι τα κράτη μέλη δαπανούν χρήματα για τους στόχους της STEP· θεωρεί, επιπλέον, ότι η αύξηση των πληρωμών το 2024 αναμένεται να συμβάλει στην ελάφρυνση της πίεσης που ασκείται στις πληρωμές μεταξύ του 2025 και του 2027·</w:t>
      </w:r>
    </w:p>
    <w:p w:rsidR="009940A6" w:rsidRPr="00D9265E" w:rsidRDefault="00D9265E" w:rsidP="00D9265E">
      <w:pPr>
        <w:pStyle w:val="NormalHanging12a"/>
        <w:widowControl/>
        <w:ind w:left="570" w:hanging="570"/>
      </w:pPr>
      <w:r w:rsidRPr="00D9265E">
        <w:t>4.</w:t>
      </w:r>
      <w:r w:rsidRPr="00D9265E">
        <w:tab/>
      </w:r>
      <w:r w:rsidR="009940A6" w:rsidRPr="00D9265E">
        <w:t>σημειώνει ότι οι αυξημένες ανάγκες πληρωμών καλύπτονται σχεδόν εξ ολοκλήρου από έσοδα από πρόστιμα και κυρώσεις, ιδίως από το πρόστιμο ανταγωνισμού ύψους 2,4</w:t>
      </w:r>
      <w:r w:rsidR="00BD31DC" w:rsidRPr="00D9265E">
        <w:t> </w:t>
      </w:r>
      <w:r w:rsidR="009940A6" w:rsidRPr="00D9265E">
        <w:t xml:space="preserve">δισεκατομμυρίων EUR που επιβλήθηκε στην </w:t>
      </w:r>
      <w:proofErr w:type="spellStart"/>
      <w:r w:rsidR="009940A6" w:rsidRPr="00D9265E">
        <w:t>Google</w:t>
      </w:r>
      <w:proofErr w:type="spellEnd"/>
      <w:r w:rsidR="009940A6" w:rsidRPr="00D9265E">
        <w:t xml:space="preserve"> για παραβάσεις της αντιμονοπωλιακής νομοθεσίας·</w:t>
      </w:r>
    </w:p>
    <w:p w:rsidR="009940A6" w:rsidRPr="00D9265E" w:rsidRDefault="00D9265E" w:rsidP="00D9265E">
      <w:pPr>
        <w:pStyle w:val="NormalHanging12a"/>
        <w:widowControl/>
        <w:ind w:left="570" w:hanging="570"/>
      </w:pPr>
      <w:r w:rsidRPr="00D9265E">
        <w:t>5.</w:t>
      </w:r>
      <w:r w:rsidRPr="00D9265E">
        <w:tab/>
      </w:r>
      <w:r w:rsidR="009940A6" w:rsidRPr="00D9265E">
        <w:t>επαναλαμβάνει την ανάγκη για μακροπρόθεσμα βιώσιμα έσοδα για τον προϋπολογισμό της Ένωσης, ο οποίος έχει επιβαρυνθεί σημαντικά ώστε να ανταποκριθεί σε διάφορες κρίσεις τα τελευταία χρόνια· εκφράζει, επομένως, τη λύπη του για την απουσία προόδου στο Συμβούλιο όσον αφορά τη μεταρρύθμιση του συστήματος ιδίων πόρων σύμφωνα με τον οδικό χάρτη της διοργανικής συμφωνίας· υπενθυμίζει τη θέση του υπέρ των τροποποιημένων προτάσεων της Επιτροπής και παροτρύνει το Συμβούλιο και τα κράτη μέλη να εγκρίνουν ταχέως τις προτάσεις αυτές προκειμένου να αυξηθούν οι ίδιοι πόροι που είναι διαθέσιμοι για τον προϋπολογισμό της Ένωσης· υπενθυμίζει την πάγια θέση του ότι τα πρόστιμα και τα τέλη θα πρέπει να χρησιμοποιούνται ως συμπληρωματικά έσοδα για τον προϋπολογισμό της Ένωσης·</w:t>
      </w:r>
    </w:p>
    <w:p w:rsidR="009940A6" w:rsidRPr="00D9265E" w:rsidRDefault="00D9265E" w:rsidP="00D9265E">
      <w:pPr>
        <w:pStyle w:val="NormalHanging12a"/>
        <w:widowControl/>
        <w:ind w:left="570" w:hanging="570"/>
      </w:pPr>
      <w:r w:rsidRPr="00D9265E">
        <w:t>6.</w:t>
      </w:r>
      <w:r w:rsidRPr="00D9265E">
        <w:tab/>
      </w:r>
      <w:r w:rsidR="009940A6" w:rsidRPr="00D9265E">
        <w:t xml:space="preserve">εκφράζει την ικανοποίησή του για τη συμπερίληψη γραμμών του προϋπολογισμού για τα έσοδα και τις δαπάνες για τον μηχανισμό δανειακής συνεργασίας για την Ουκρανία· υπογραμμίζει τη σημασία της διαρκούς χρηματοδοτικής στήριξης προς την Ουκρανία σε ένα πλαίσιο όπου η χρηματοδότηση στο πλαίσιο της διευκόλυνσης για την Ουκρανία και των υφιστάμενων ρυθμίσεων μακροοικονομικής χρηματοδοτικής συνδρομής (ΜΧΣ) υπολείπεται των αναγκών· </w:t>
      </w:r>
    </w:p>
    <w:p w:rsidR="009940A6" w:rsidRPr="00D9265E" w:rsidRDefault="00D9265E" w:rsidP="00D9265E">
      <w:pPr>
        <w:pStyle w:val="NormalHanging12a"/>
        <w:widowControl/>
        <w:ind w:left="570" w:hanging="570"/>
      </w:pPr>
      <w:r w:rsidRPr="00D9265E">
        <w:t>7.</w:t>
      </w:r>
      <w:r w:rsidRPr="00D9265E">
        <w:tab/>
      </w:r>
      <w:r w:rsidR="009940A6" w:rsidRPr="00D9265E">
        <w:t xml:space="preserve">υπενθυμίζει ότι τα πρόσθετα δάνεια ΜΧΣ θα αναληφθούν από το περιθώριο του προϋπολογισμού και επαναλαμβάνει την έκκλησή του προς την Επιτροπή να παράσχει στην αρμόδια για τον προϋπολογισμό αρχή λεπτομέρειες σχετικά με τη συγκέντρωση των υποχρεώσεων στο περιθώριο που εξαρτάται από τις δανειοληπτικές και δανειοδοτικές πράξεις· αναμένει από την Επιτροπή να παράσχει στο Κοινοβούλιο και το Συμβούλιο όλες τις απαραίτητες πληροφορίες σύμφωνα με τη δήλωσή της που </w:t>
      </w:r>
      <w:r w:rsidR="009940A6" w:rsidRPr="00D9265E">
        <w:lastRenderedPageBreak/>
        <w:t xml:space="preserve">επισυνάπτεται στον κανονισμό (ΕΕ) 2024/2773 </w:t>
      </w:r>
      <w:r w:rsidR="009940A6" w:rsidRPr="00D9265E">
        <w:rPr>
          <w:color w:val="333333"/>
          <w:shd w:val="clear" w:color="auto" w:fill="FFFFFF"/>
        </w:rPr>
        <w:t>του Ευρωπαϊκού Κοινοβουλίου και του Συμβουλίου</w:t>
      </w:r>
      <w:r w:rsidR="009940A6" w:rsidRPr="00D9265E">
        <w:rPr>
          <w:rStyle w:val="FootnoteReference"/>
          <w:bCs/>
          <w:color w:val="333333"/>
          <w:shd w:val="clear" w:color="auto" w:fill="FFFFFF"/>
        </w:rPr>
        <w:footnoteReference w:id="6"/>
      </w:r>
      <w:r w:rsidR="009940A6" w:rsidRPr="00D9265E">
        <w:t>·</w:t>
      </w:r>
    </w:p>
    <w:p w:rsidR="009940A6" w:rsidRPr="00D9265E" w:rsidRDefault="00D9265E" w:rsidP="00D9265E">
      <w:pPr>
        <w:pStyle w:val="NormalHanging12a"/>
        <w:widowControl/>
        <w:ind w:left="570" w:hanging="570"/>
      </w:pPr>
      <w:r w:rsidRPr="00D9265E">
        <w:t>8.</w:t>
      </w:r>
      <w:r w:rsidRPr="00D9265E">
        <w:tab/>
      </w:r>
      <w:r w:rsidR="009940A6" w:rsidRPr="00D9265E">
        <w:t>σημειώνει την αναπροσαρμογή των μισθών για το 2024, η οποία είναι υψηλότερη από αυτή που έχει εγγραφεί στον προϋπολογισμό και επηρεάζει τόσο τις αποδοχές όσο και τις συντάξεις, με υψηλότερο από τον προβλεπόμενο αριθμό νέων συνταξιούχων το 2024, γεγονός που αυξάνει περαιτέρω το συνταξιοδοτικό κόστος· εκφράζει την ικανοποίησή του για το γεγονός ότι σχεδόν όλες οι πρόσθετες δαπάνες σε όλα τα θεσμικά όργανα έχουν καλυφθεί μέσω εσωτερικών ανακατανομών και ότι, ως εκ τούτου, η προσφυγή στο Ενιαίο Μέσο Περιθωρίου είναι περιορισμένη·</w:t>
      </w:r>
    </w:p>
    <w:p w:rsidR="009940A6" w:rsidRPr="00D9265E" w:rsidRDefault="00D9265E" w:rsidP="00D9265E">
      <w:pPr>
        <w:pStyle w:val="NormalHanging12a"/>
        <w:widowControl/>
        <w:ind w:left="570" w:hanging="570"/>
      </w:pPr>
      <w:r w:rsidRPr="00D9265E">
        <w:t>9.</w:t>
      </w:r>
      <w:r w:rsidRPr="00D9265E">
        <w:tab/>
      </w:r>
      <w:r w:rsidR="009940A6" w:rsidRPr="00D9265E">
        <w:t>υπογραμμίζει ότι η αναπροσαρμογή των μισθών επηρεάζει επίσης τους αποκεντρωμένους οργανισμούς, οι οποίοι αντιμετωπίζουν προβλήματα πληθωρισμού πάνω από τον αποπληθωριστή 2 %, με τον οποίο αυξάνονται οι ετήσιοι προϋπολογισμοί τους, και ιδίως στον βαθμό που οι δαπάνες προσωπικού και λειτουργίας αντιπροσωπεύουν μεγάλο μέρος των δαπανών τους· εκφράζει την ικανοποίησή του για το γεγονός ότι οι οργανισμοί που δεν μπόρεσαν να βρουν τους πόρους μέσω ανακατανομής διαπιστώνουν αύξηση της συνεισφοράς της Ένωσης κατά 1,7 %· επαναλαμβάνει ότι η τρέχουσα αντιμετώπιση των προϋπολογισμών των αποκεντρωμένων οργανισμών απαιτεί περαιτέρω προβληματισμό στο πλαίσιο των προετοιμασιών της Επιτροπής για το ΠΔΠ μετά το 2027·</w:t>
      </w:r>
    </w:p>
    <w:p w:rsidR="009940A6" w:rsidRPr="00D9265E" w:rsidRDefault="00D9265E" w:rsidP="00D9265E">
      <w:pPr>
        <w:pStyle w:val="NormalHanging12a"/>
        <w:widowControl/>
        <w:ind w:left="570" w:hanging="570"/>
      </w:pPr>
      <w:r w:rsidRPr="00D9265E">
        <w:t>10.</w:t>
      </w:r>
      <w:r w:rsidRPr="00D9265E">
        <w:tab/>
      </w:r>
      <w:r w:rsidR="009940A6" w:rsidRPr="00D9265E">
        <w:t>σημειώνει την αύξηση των πιστώσεων για τον Οργανισμό της Ευρωπαϊκής Ένωσης για τη Λειτουργική Διαχείριση Συστημάτων ΤΠ Μεγάλης Κλίμακας στον Χώρο Ελευθερίας, Ασφάλειας και Δικαιοσύνης (</w:t>
      </w:r>
      <w:proofErr w:type="spellStart"/>
      <w:r w:rsidR="009940A6" w:rsidRPr="00D9265E">
        <w:t>eu</w:t>
      </w:r>
      <w:proofErr w:type="spellEnd"/>
      <w:r w:rsidR="009940A6" w:rsidRPr="00D9265E">
        <w:t>-LISA) για την κάλυψη των αυξανόμενων δαπανών, αν και εκφράζει την ανησυχία του για την αντίστοιχη μείωση των πιστώσεων για τον Οργανισμό της Ευρωπαϊκής Ένωσης για το Άσυλο· εκφράζει την ικανοποίησή του για το γεγονός ότι ο EUAA ενισχύθηκε στο πλαίσιο της ενδιάμεσης αναθεώρησης του ΠΔΠ, προκειμένου να είναι σε θέση να εκτελεί νέα καθήκοντα σύμφωνα με την εφαρμογή του συμφώνου για τη μετανάστευση και το άσυλο· καλεί την Επιτροπή να συνεργαστεί στενά και με τους δύο Οργανισμούς για να διασφαλίσει ότι είναι εξοπλισμένοι για την πλήρη εκτέλεση των καθηκόντων τους και για να απορροφήσουν τις πρόσθετες πιστώσεις που τους έχουν ανατεθεί·</w:t>
      </w:r>
    </w:p>
    <w:p w:rsidR="009940A6" w:rsidRPr="00D9265E" w:rsidRDefault="00D9265E" w:rsidP="00D9265E">
      <w:pPr>
        <w:pStyle w:val="NormalHanging12a"/>
        <w:widowControl/>
        <w:ind w:left="570" w:hanging="570"/>
      </w:pPr>
      <w:r w:rsidRPr="00D9265E">
        <w:t>11.</w:t>
      </w:r>
      <w:r w:rsidRPr="00D9265E">
        <w:tab/>
      </w:r>
      <w:r w:rsidR="009940A6" w:rsidRPr="00D9265E">
        <w:t>εκφράζει την ικανοποίησή του για τις πρόσθετες πιστώσεις για τον Οργανισμό της ΕΕ για την Κατάρτιση στον Τομέα της Επιβολής του Νόμου (</w:t>
      </w:r>
      <w:r w:rsidR="00DF0C7A" w:rsidRPr="00D9265E">
        <w:rPr>
          <w:lang w:val="en-GB"/>
        </w:rPr>
        <w:t>EAA</w:t>
      </w:r>
      <w:r w:rsidR="009940A6" w:rsidRPr="00D9265E">
        <w:t xml:space="preserve">) το 2024 μετά την κυβερνοεπίθεση κατά του οργανισμού τον Ιούνιο του 2024· επιμένει στην ανάγκη να αντληθούν διδάγματα και να παρασχεθεί περαιτέρω τεχνική υποστήριξη σε άλλους οργανισμούς και θεσμικά όργανα από την υπηρεσία κυβερνοασφάλειας για τις οντότητες της Ένωσης (CERT-ΕΕ), δεδομένης της υψηλής απειλής για την κυβερνοασφάλεια, και να διασφαλιστεί ότι δεν θα τεθούν ξανά υπό κίνδυνο από επιθέσεις άλλοι οργανισμοί ή θεσμικά όργανα της Ένωσης· </w:t>
      </w:r>
    </w:p>
    <w:p w:rsidR="009940A6" w:rsidRPr="00D9265E" w:rsidRDefault="00D9265E" w:rsidP="00D9265E">
      <w:pPr>
        <w:pStyle w:val="NormalHanging12a"/>
        <w:widowControl/>
        <w:ind w:left="570" w:hanging="570"/>
      </w:pPr>
      <w:r w:rsidRPr="00D9265E">
        <w:t>12.</w:t>
      </w:r>
      <w:r w:rsidRPr="00D9265E">
        <w:tab/>
      </w:r>
      <w:r w:rsidR="009940A6" w:rsidRPr="00D9265E">
        <w:t xml:space="preserve">υπογραμμίζει τη σημασία της νεοσυσταθείσας αρχής για την καταπολέμηση της νομιμοποίησης εσόδων από παράνομες δραστηριότητες στο αναθεωρημένο πλαίσιο για </w:t>
      </w:r>
      <w:r w:rsidR="009940A6" w:rsidRPr="00D9265E">
        <w:lastRenderedPageBreak/>
        <w:t xml:space="preserve">την καταπολέμηση της νομιμοποίησης εσόδων από παράνομες δραστηριότητες σε επίπεδο Ένωσης· εκφράζει, ως εκ τούτου, τη βαθιά του ανησυχία για τις καθυστερήσεις στη φάση σύστασης, ιδίως όσον αφορά τις προσλήψεις· </w:t>
      </w:r>
    </w:p>
    <w:p w:rsidR="009940A6" w:rsidRPr="00D9265E" w:rsidRDefault="00D9265E" w:rsidP="00D9265E">
      <w:pPr>
        <w:pStyle w:val="NormalHanging12a"/>
        <w:widowControl/>
        <w:ind w:left="570" w:hanging="570"/>
      </w:pPr>
      <w:r w:rsidRPr="00D9265E">
        <w:t>13.</w:t>
      </w:r>
      <w:r w:rsidRPr="00D9265E">
        <w:tab/>
      </w:r>
      <w:r w:rsidR="009940A6" w:rsidRPr="00D9265E">
        <w:t xml:space="preserve">εκφράζει την ικανοποίησή του για το γεγονός ότι, με τον αναδιατυπωμένο δημοσιονομικό κανονισμό που ισχύει σήμερα, είναι δυνατόν να συμπεριληφθούν στον προϋπολογισμό αρνητικά έσοδα για την καταβολή αντισταθμιστικών τόκων σε χαμένες δικαστικές υποθέσεις· σημειώνει ότι η Επιτροπή καθορίζει επί του παρόντος το ακριβές ποσό των εν λόγω τόκων και καλεί την Επιτροπή να παράσχει τις πληροφορίες αυτές στην αρμόδια για τον προϋπολογισμό αρχή το συντομότερο δυνατόν εντός του 2025· </w:t>
      </w:r>
    </w:p>
    <w:p w:rsidR="009940A6" w:rsidRPr="00D9265E" w:rsidRDefault="00D9265E" w:rsidP="00D9265E">
      <w:pPr>
        <w:pStyle w:val="NormalHanging12a"/>
        <w:widowControl/>
        <w:ind w:left="570" w:hanging="570"/>
      </w:pPr>
      <w:r w:rsidRPr="00D9265E">
        <w:t>14.</w:t>
      </w:r>
      <w:r w:rsidRPr="00D9265E">
        <w:tab/>
      </w:r>
      <w:r w:rsidR="009940A6" w:rsidRPr="00D9265E">
        <w:t>εγκρίνει τη θέση του Συμβουλίου επί του σχεδίου διορθωτικού προϋπολογισμού αριθ. 5/2024·</w:t>
      </w:r>
    </w:p>
    <w:p w:rsidR="009940A6" w:rsidRPr="00D9265E" w:rsidRDefault="00D9265E" w:rsidP="00D9265E">
      <w:pPr>
        <w:pStyle w:val="NormalHanging12a"/>
        <w:widowControl/>
        <w:ind w:left="570" w:hanging="570"/>
      </w:pPr>
      <w:r w:rsidRPr="00D9265E">
        <w:t>15.</w:t>
      </w:r>
      <w:r w:rsidRPr="00D9265E">
        <w:tab/>
      </w:r>
      <w:r w:rsidR="009940A6" w:rsidRPr="00D9265E">
        <w:t xml:space="preserve">αναθέτει στην Πρόεδρό του να διαπιστώσει την οριστική έκδοση του διορθωτικού προϋπολογισμού αριθ. 5/2024 και να μεριμνήσει για τη δημοσίευσή του στην </w:t>
      </w:r>
      <w:r w:rsidR="009940A6" w:rsidRPr="00D9265E">
        <w:rPr>
          <w:i/>
          <w:iCs/>
        </w:rPr>
        <w:t>Επίσημη Εφημερίδα της Ευρωπαϊκής Ένωσης</w:t>
      </w:r>
      <w:r w:rsidR="009940A6" w:rsidRPr="00D9265E">
        <w:t>·</w:t>
      </w:r>
    </w:p>
    <w:p w:rsidR="00E365E1" w:rsidRPr="00D9265E" w:rsidRDefault="00D9265E" w:rsidP="00D9265E">
      <w:pPr>
        <w:widowControl/>
        <w:spacing w:after="240"/>
        <w:ind w:left="570" w:hanging="570"/>
      </w:pPr>
      <w:r w:rsidRPr="00D9265E">
        <w:t>16.</w:t>
      </w:r>
      <w:r w:rsidRPr="00D9265E">
        <w:tab/>
      </w:r>
      <w:r w:rsidR="009940A6" w:rsidRPr="00D9265E">
        <w:t>αναθέτει στην Πρόεδρό του να διαβιβάσει το παρόν ψήφισμα στο Συμβούλιο, στην Επιτροπή, καθώς και στα εθνικά κοινοβούλια.</w:t>
      </w:r>
    </w:p>
    <w:sectPr w:rsidR="00E365E1" w:rsidRPr="00D9265E" w:rsidSect="004B180F">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70851" w:rsidRPr="004B180F" w:rsidRDefault="00670851">
      <w:r w:rsidRPr="004B180F">
        <w:separator/>
      </w:r>
    </w:p>
  </w:endnote>
  <w:endnote w:type="continuationSeparator" w:id="0">
    <w:p w:rsidR="00670851" w:rsidRPr="004B180F" w:rsidRDefault="00670851">
      <w:r w:rsidRPr="004B180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B180F"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B180F"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B180F"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70851" w:rsidRPr="004B180F" w:rsidRDefault="00670851">
      <w:r w:rsidRPr="004B180F">
        <w:separator/>
      </w:r>
    </w:p>
  </w:footnote>
  <w:footnote w:type="continuationSeparator" w:id="0">
    <w:p w:rsidR="00670851" w:rsidRPr="004B180F" w:rsidRDefault="00670851">
      <w:r w:rsidRPr="004B180F">
        <w:continuationSeparator/>
      </w:r>
    </w:p>
  </w:footnote>
  <w:footnote w:id="1">
    <w:p w:rsidR="009940A6" w:rsidRPr="00D9265E" w:rsidRDefault="009940A6" w:rsidP="00BD31DC">
      <w:pPr>
        <w:pStyle w:val="FootnoteText"/>
        <w:spacing w:line="240" w:lineRule="auto"/>
        <w:ind w:left="567" w:hanging="567"/>
        <w:rPr>
          <w:sz w:val="24"/>
          <w:lang w:val="fi-FI"/>
        </w:rPr>
      </w:pPr>
      <w:r w:rsidRPr="004B180F">
        <w:rPr>
          <w:rStyle w:val="FootnoteReference"/>
          <w:sz w:val="24"/>
          <w:lang w:val="el-GR"/>
        </w:rPr>
        <w:footnoteRef/>
      </w:r>
      <w:r w:rsidR="004B180F" w:rsidRPr="00D9265E">
        <w:rPr>
          <w:sz w:val="24"/>
          <w:lang w:val="fi-FI"/>
        </w:rPr>
        <w:t xml:space="preserve"> </w:t>
      </w:r>
      <w:r w:rsidR="004B180F" w:rsidRPr="00D9265E">
        <w:rPr>
          <w:sz w:val="24"/>
          <w:lang w:val="fi-FI"/>
        </w:rPr>
        <w:tab/>
      </w:r>
      <w:r w:rsidRPr="004B180F">
        <w:rPr>
          <w:sz w:val="24"/>
          <w:lang w:val="el-GR"/>
        </w:rPr>
        <w:t>ΕΕ</w:t>
      </w:r>
      <w:r w:rsidRPr="00D9265E">
        <w:rPr>
          <w:sz w:val="24"/>
          <w:lang w:val="fi-FI"/>
        </w:rPr>
        <w:t xml:space="preserve"> L, 2024/2509, 26.9.2024, </w:t>
      </w:r>
      <w:r w:rsidR="00DF0C7A" w:rsidRPr="00D9265E">
        <w:rPr>
          <w:sz w:val="24"/>
          <w:lang w:val="fi-FI"/>
        </w:rPr>
        <w:t xml:space="preserve">ELI: </w:t>
      </w:r>
      <w:hyperlink r:id="rId1" w:history="1">
        <w:r w:rsidRPr="00D9265E">
          <w:rPr>
            <w:rStyle w:val="Hyperlink"/>
            <w:sz w:val="24"/>
            <w:lang w:val="fi-FI"/>
          </w:rPr>
          <w:t>http://data.europa.eu/eli/reg/2024/2509/oj</w:t>
        </w:r>
      </w:hyperlink>
      <w:r w:rsidRPr="00D9265E">
        <w:rPr>
          <w:sz w:val="24"/>
          <w:lang w:val="fi-FI"/>
        </w:rPr>
        <w:t>.</w:t>
      </w:r>
    </w:p>
  </w:footnote>
  <w:footnote w:id="2">
    <w:p w:rsidR="009940A6" w:rsidRPr="00D9265E" w:rsidRDefault="009940A6" w:rsidP="00BD31DC">
      <w:pPr>
        <w:pStyle w:val="FootnoteText"/>
        <w:spacing w:line="240" w:lineRule="auto"/>
        <w:ind w:left="567" w:hanging="567"/>
        <w:rPr>
          <w:sz w:val="24"/>
          <w:lang w:val="fi-FI"/>
        </w:rPr>
      </w:pPr>
      <w:r w:rsidRPr="004B180F">
        <w:rPr>
          <w:rStyle w:val="FootnoteReference"/>
          <w:sz w:val="24"/>
          <w:lang w:val="el-GR"/>
        </w:rPr>
        <w:footnoteRef/>
      </w:r>
      <w:r w:rsidR="004B180F" w:rsidRPr="00D9265E">
        <w:rPr>
          <w:sz w:val="24"/>
          <w:lang w:val="fi-FI"/>
        </w:rPr>
        <w:t xml:space="preserve"> </w:t>
      </w:r>
      <w:r w:rsidR="004B180F" w:rsidRPr="00D9265E">
        <w:rPr>
          <w:sz w:val="24"/>
          <w:lang w:val="fi-FI"/>
        </w:rPr>
        <w:tab/>
      </w:r>
      <w:r w:rsidRPr="004B180F">
        <w:rPr>
          <w:sz w:val="24"/>
          <w:lang w:val="el-GR"/>
        </w:rPr>
        <w:t>ΕΕ</w:t>
      </w:r>
      <w:r w:rsidRPr="00D9265E">
        <w:rPr>
          <w:sz w:val="24"/>
          <w:lang w:val="fi-FI"/>
        </w:rPr>
        <w:t xml:space="preserve"> L, 2024/207, 22.2.2024, ELI: </w:t>
      </w:r>
      <w:hyperlink r:id="rId2" w:history="1">
        <w:r w:rsidRPr="00D9265E">
          <w:rPr>
            <w:rStyle w:val="Hyperlink"/>
            <w:sz w:val="24"/>
            <w:lang w:val="fi-FI"/>
          </w:rPr>
          <w:t>http://data.europa.eu/eli/budget/2024/207/oj</w:t>
        </w:r>
      </w:hyperlink>
      <w:r w:rsidRPr="00D9265E">
        <w:rPr>
          <w:sz w:val="24"/>
          <w:lang w:val="fi-FI"/>
        </w:rPr>
        <w:t>.</w:t>
      </w:r>
    </w:p>
  </w:footnote>
  <w:footnote w:id="3">
    <w:p w:rsidR="009940A6" w:rsidRPr="004B180F" w:rsidRDefault="009940A6" w:rsidP="00BD31DC">
      <w:pPr>
        <w:pStyle w:val="FootnoteText"/>
        <w:spacing w:line="240" w:lineRule="auto"/>
        <w:ind w:left="567" w:hanging="567"/>
        <w:rPr>
          <w:sz w:val="24"/>
          <w:lang w:val="el-GR"/>
        </w:rPr>
      </w:pPr>
      <w:r w:rsidRPr="004B180F">
        <w:rPr>
          <w:rStyle w:val="FootnoteReference"/>
          <w:sz w:val="24"/>
          <w:lang w:val="el-GR"/>
        </w:rPr>
        <w:footnoteRef/>
      </w:r>
      <w:r w:rsidR="004B180F" w:rsidRPr="004B180F">
        <w:rPr>
          <w:sz w:val="24"/>
          <w:lang w:val="el-GR"/>
        </w:rPr>
        <w:t xml:space="preserve"> </w:t>
      </w:r>
      <w:r w:rsidR="004B180F" w:rsidRPr="004B180F">
        <w:rPr>
          <w:sz w:val="24"/>
          <w:lang w:val="el-GR"/>
        </w:rPr>
        <w:tab/>
      </w:r>
      <w:r w:rsidRPr="004B180F">
        <w:rPr>
          <w:sz w:val="24"/>
          <w:lang w:val="el-GR"/>
        </w:rPr>
        <w:t xml:space="preserve">ΕΕ L 433 I της 22.12.2020, σ. </w:t>
      </w:r>
      <w:r w:rsidRPr="004B180F">
        <w:rPr>
          <w:sz w:val="24"/>
          <w:lang w:val="el-GR"/>
        </w:rPr>
        <w:t xml:space="preserve">11, ELI: </w:t>
      </w:r>
      <w:hyperlink r:id="rId3" w:history="1">
        <w:r w:rsidRPr="004B180F">
          <w:rPr>
            <w:rStyle w:val="Hyperlink"/>
            <w:sz w:val="24"/>
            <w:lang w:val="el-GR"/>
          </w:rPr>
          <w:t>http://data.europa.eu/eli/reg/2020/2093/oj</w:t>
        </w:r>
      </w:hyperlink>
      <w:r w:rsidRPr="004B180F">
        <w:rPr>
          <w:sz w:val="24"/>
          <w:lang w:val="el-GR"/>
        </w:rPr>
        <w:t>.</w:t>
      </w:r>
    </w:p>
  </w:footnote>
  <w:footnote w:id="4">
    <w:p w:rsidR="009940A6" w:rsidRPr="004B180F" w:rsidRDefault="009940A6" w:rsidP="00BD31DC">
      <w:pPr>
        <w:pStyle w:val="FootnoteText"/>
        <w:spacing w:line="240" w:lineRule="auto"/>
        <w:ind w:left="567" w:hanging="567"/>
        <w:rPr>
          <w:sz w:val="24"/>
          <w:lang w:val="el-GR"/>
        </w:rPr>
      </w:pPr>
      <w:r w:rsidRPr="004B180F">
        <w:rPr>
          <w:rStyle w:val="FootnoteReference"/>
          <w:sz w:val="24"/>
          <w:lang w:val="el-GR"/>
        </w:rPr>
        <w:footnoteRef/>
      </w:r>
      <w:r w:rsidR="004B180F" w:rsidRPr="004B180F">
        <w:rPr>
          <w:sz w:val="24"/>
          <w:lang w:val="el-GR"/>
        </w:rPr>
        <w:t xml:space="preserve"> </w:t>
      </w:r>
      <w:r w:rsidR="004B180F" w:rsidRPr="004B180F">
        <w:rPr>
          <w:sz w:val="24"/>
          <w:lang w:val="el-GR"/>
        </w:rPr>
        <w:tab/>
      </w:r>
      <w:r w:rsidRPr="004B180F">
        <w:rPr>
          <w:sz w:val="24"/>
          <w:lang w:val="el-GR"/>
        </w:rPr>
        <w:t xml:space="preserve">ΕΕ L 433 I της 22.12.2020, σ. </w:t>
      </w:r>
      <w:r w:rsidRPr="004B180F">
        <w:rPr>
          <w:sz w:val="24"/>
          <w:lang w:val="el-GR"/>
        </w:rPr>
        <w:t xml:space="preserve">28, ELI: </w:t>
      </w:r>
      <w:hyperlink r:id="rId4" w:history="1">
        <w:r w:rsidRPr="004B180F">
          <w:rPr>
            <w:rStyle w:val="Hyperlink"/>
            <w:sz w:val="24"/>
            <w:lang w:val="el-GR"/>
          </w:rPr>
          <w:t>http://data.europa.eu/eli/agree_interinstit/2020/1222/oj</w:t>
        </w:r>
      </w:hyperlink>
    </w:p>
  </w:footnote>
  <w:footnote w:id="5">
    <w:p w:rsidR="009940A6" w:rsidRPr="004B180F" w:rsidRDefault="009940A6" w:rsidP="00BD31DC">
      <w:pPr>
        <w:pStyle w:val="FootnoteText"/>
        <w:spacing w:line="240" w:lineRule="auto"/>
        <w:ind w:left="567" w:hanging="567"/>
        <w:rPr>
          <w:sz w:val="24"/>
          <w:lang w:val="el-GR"/>
        </w:rPr>
      </w:pPr>
      <w:r w:rsidRPr="004B180F">
        <w:rPr>
          <w:rStyle w:val="FootnoteReference"/>
          <w:sz w:val="24"/>
          <w:lang w:val="el-GR"/>
        </w:rPr>
        <w:footnoteRef/>
      </w:r>
      <w:r w:rsidR="004B180F" w:rsidRPr="004B180F">
        <w:rPr>
          <w:sz w:val="24"/>
          <w:lang w:val="el-GR"/>
        </w:rPr>
        <w:t xml:space="preserve"> </w:t>
      </w:r>
      <w:r w:rsidR="004B180F" w:rsidRPr="004B180F">
        <w:rPr>
          <w:sz w:val="24"/>
          <w:lang w:val="el-GR"/>
        </w:rPr>
        <w:tab/>
      </w:r>
      <w:r w:rsidRPr="004B180F">
        <w:rPr>
          <w:sz w:val="24"/>
          <w:lang w:val="el-GR"/>
        </w:rPr>
        <w:t xml:space="preserve">ΕΕ L 424 της 15.12.2020, σ. </w:t>
      </w:r>
      <w:r w:rsidRPr="004B180F">
        <w:rPr>
          <w:sz w:val="24"/>
          <w:lang w:val="el-GR"/>
        </w:rPr>
        <w:t xml:space="preserve">1, ELI: </w:t>
      </w:r>
      <w:hyperlink r:id="rId5" w:history="1">
        <w:r w:rsidRPr="004B180F">
          <w:rPr>
            <w:rStyle w:val="Hyperlink"/>
            <w:sz w:val="24"/>
            <w:lang w:val="el-GR"/>
          </w:rPr>
          <w:t>http://data.europa.eu/eli/dec/2020/2053/oj</w:t>
        </w:r>
      </w:hyperlink>
      <w:r w:rsidRPr="004B180F">
        <w:rPr>
          <w:sz w:val="24"/>
          <w:lang w:val="el-GR"/>
        </w:rPr>
        <w:t>.</w:t>
      </w:r>
    </w:p>
  </w:footnote>
  <w:footnote w:id="6">
    <w:p w:rsidR="009940A6" w:rsidRPr="004B180F" w:rsidRDefault="009940A6" w:rsidP="00BD31DC">
      <w:pPr>
        <w:pStyle w:val="FootnoteText"/>
        <w:spacing w:line="240" w:lineRule="auto"/>
        <w:ind w:left="567" w:hanging="567"/>
        <w:rPr>
          <w:sz w:val="24"/>
          <w:lang w:val="el-GR"/>
        </w:rPr>
      </w:pPr>
      <w:r w:rsidRPr="004B180F">
        <w:rPr>
          <w:rStyle w:val="FootnoteReference"/>
          <w:sz w:val="24"/>
          <w:lang w:val="el-GR"/>
        </w:rPr>
        <w:footnoteRef/>
      </w:r>
      <w:r w:rsidR="004B180F" w:rsidRPr="004B180F">
        <w:rPr>
          <w:sz w:val="24"/>
          <w:lang w:val="el-GR"/>
        </w:rPr>
        <w:t xml:space="preserve"> </w:t>
      </w:r>
      <w:r w:rsidR="004B180F" w:rsidRPr="004B180F">
        <w:rPr>
          <w:sz w:val="24"/>
          <w:lang w:val="el-GR"/>
        </w:rPr>
        <w:tab/>
      </w:r>
      <w:r w:rsidRPr="004B180F">
        <w:rPr>
          <w:sz w:val="24"/>
          <w:lang w:val="el-GR"/>
        </w:rPr>
        <w:t xml:space="preserve">Κανονισμός (ΕΕ) 2024/2773 του Ευρωπαϊκού Κοινοβουλίου και του Συμβουλίου, της 24ης Οκτωβρίου 2024, για τη σύσταση του μηχανισμού συνεργασίας για τα δάνεια προς την Ουκρανία και τη χορήγηση έκτακτης μακροοικονομικής χρηματοδοτικής συνδρομής στην Ουκρανία (ΕΕ L, 2024/2773, 28.10.2024, ELI: </w:t>
      </w:r>
      <w:hyperlink r:id="rId6" w:history="1">
        <w:r w:rsidRPr="004B180F">
          <w:rPr>
            <w:rStyle w:val="Hyperlink"/>
            <w:sz w:val="24"/>
            <w:lang w:val="el-GR"/>
          </w:rPr>
          <w:t>http://data.europa.eu/eli/reg/2024/2773/oj</w:t>
        </w:r>
      </w:hyperlink>
      <w:r w:rsidRPr="004B180F">
        <w:rPr>
          <w:sz w:val="24"/>
          <w:lang w:val="el-GR"/>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B180F"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B180F"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4B180F"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0AA513AF"/>
    <w:multiLevelType w:val="hybridMultilevel"/>
    <w:tmpl w:val="88905BA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0F8A56C4"/>
    <w:multiLevelType w:val="hybridMultilevel"/>
    <w:tmpl w:val="A14EBD2C"/>
    <w:lvl w:ilvl="0" w:tplc="9EA6D9F2">
      <w:start w:val="1"/>
      <w:numFmt w:val="decimal"/>
      <w:lvlText w:val="%1."/>
      <w:lvlJc w:val="left"/>
      <w:pPr>
        <w:ind w:left="570" w:hanging="57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3"/>
  </w:num>
  <w:num w:numId="45">
    <w:abstractNumId w:val="11"/>
  </w:num>
  <w:num w:numId="4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10-0017/2024"/>
    <w:docVar w:name="dvlangue" w:val="EL"/>
    <w:docVar w:name="dvnumam" w:val="0"/>
    <w:docVar w:name="dvpe" w:val="765.136"/>
    <w:docVar w:name="dvrapporteur" w:val="Εισηγητής: "/>
    <w:docVar w:name="dvtitre" w:val="Ψήφισμα του Ευρωπαϊκού Κοινοβουλίου σχετικά με τη θέση του Συμβουλίου επί του σχεδίου διορθωτικού προϋπολογισμού αριθ. 5/2024 της Ευρωπαϊκής Ένωσης για το οικονομικό έτος 2024 – προσαρμογή των πιστώσεων πληρωμών, επικαιροποίηση των εσόδων και άλλες τεχνικές επικαιροποιήσεις(14477/2024 – C10-0186/2024 – 2024/0252(BUD))"/>
  </w:docVars>
  <w:rsids>
    <w:rsidRoot w:val="00670851"/>
    <w:rsid w:val="00002272"/>
    <w:rsid w:val="00064002"/>
    <w:rsid w:val="000677B9"/>
    <w:rsid w:val="000831BA"/>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B180F"/>
    <w:rsid w:val="004C0004"/>
    <w:rsid w:val="004C5D52"/>
    <w:rsid w:val="0050519A"/>
    <w:rsid w:val="005072A1"/>
    <w:rsid w:val="00514517"/>
    <w:rsid w:val="00545827"/>
    <w:rsid w:val="00560270"/>
    <w:rsid w:val="005C2568"/>
    <w:rsid w:val="005F1B17"/>
    <w:rsid w:val="006037C0"/>
    <w:rsid w:val="006631B6"/>
    <w:rsid w:val="00670851"/>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940A6"/>
    <w:rsid w:val="00A1687D"/>
    <w:rsid w:val="00A43E52"/>
    <w:rsid w:val="00A4678D"/>
    <w:rsid w:val="00A778C7"/>
    <w:rsid w:val="00AB441E"/>
    <w:rsid w:val="00AB6293"/>
    <w:rsid w:val="00AE0928"/>
    <w:rsid w:val="00AF3B82"/>
    <w:rsid w:val="00B12E95"/>
    <w:rsid w:val="00B22876"/>
    <w:rsid w:val="00B558F0"/>
    <w:rsid w:val="00BD31DC"/>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9265E"/>
    <w:rsid w:val="00DA7FCD"/>
    <w:rsid w:val="00DF0C7A"/>
    <w:rsid w:val="00E365E1"/>
    <w:rsid w:val="00E820A4"/>
    <w:rsid w:val="00E87E1C"/>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74B8F46"/>
  <w15:chartTrackingRefBased/>
  <w15:docId w15:val="{D397A932-CB53-4611-AE02-46426FEE73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9940A6"/>
    <w:pPr>
      <w:spacing w:before="480" w:after="240"/>
    </w:pPr>
  </w:style>
  <w:style w:type="paragraph" w:customStyle="1" w:styleId="NormalBold">
    <w:name w:val="NormalBold"/>
    <w:basedOn w:val="Normal"/>
    <w:rsid w:val="009940A6"/>
    <w:rPr>
      <w:b/>
    </w:rPr>
  </w:style>
  <w:style w:type="paragraph" w:customStyle="1" w:styleId="NormalHanging12a">
    <w:name w:val="NormalHanging12a"/>
    <w:basedOn w:val="Normal"/>
    <w:rsid w:val="009940A6"/>
    <w:pPr>
      <w:spacing w:after="240"/>
      <w:ind w:left="567" w:hanging="567"/>
    </w:pPr>
  </w:style>
  <w:style w:type="character" w:styleId="Hyperlink">
    <w:name w:val="Hyperlink"/>
    <w:basedOn w:val="DefaultParagraphFont"/>
    <w:uiPriority w:val="99"/>
    <w:rsid w:val="009940A6"/>
    <w:rPr>
      <w:color w:val="0563C1" w:themeColor="hyperlink"/>
      <w:u w:val="single"/>
    </w:rPr>
  </w:style>
  <w:style w:type="paragraph" w:styleId="ListParagraph">
    <w:name w:val="List Paragraph"/>
    <w:basedOn w:val="Normal"/>
    <w:uiPriority w:val="34"/>
    <w:qFormat/>
    <w:rsid w:val="00BD31DC"/>
    <w:pPr>
      <w:ind w:left="720"/>
      <w:contextualSpacing/>
    </w:pPr>
  </w:style>
  <w:style w:type="paragraph" w:styleId="BalloonText">
    <w:name w:val="Balloon Text"/>
    <w:basedOn w:val="Normal"/>
    <w:link w:val="BalloonTextChar"/>
    <w:rsid w:val="00BD31DC"/>
    <w:rPr>
      <w:rFonts w:ascii="Segoe UI" w:hAnsi="Segoe UI" w:cs="Segoe UI"/>
      <w:sz w:val="18"/>
      <w:szCs w:val="18"/>
    </w:rPr>
  </w:style>
  <w:style w:type="character" w:customStyle="1" w:styleId="BalloonTextChar">
    <w:name w:val="Balloon Text Char"/>
    <w:basedOn w:val="DefaultParagraphFont"/>
    <w:link w:val="BalloonText"/>
    <w:rsid w:val="00BD31DC"/>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0/2093/oj" TargetMode="External"/><Relationship Id="rId2" Type="http://schemas.openxmlformats.org/officeDocument/2006/relationships/hyperlink" Target="http://data.europa.eu/eli/budget/2024/207/oj" TargetMode="External"/><Relationship Id="rId1" Type="http://schemas.openxmlformats.org/officeDocument/2006/relationships/hyperlink" Target="http://data.europa.eu/eli/reg/2024/2509/oj" TargetMode="External"/><Relationship Id="rId6" Type="http://schemas.openxmlformats.org/officeDocument/2006/relationships/hyperlink" Target="http://data.europa.eu/eli/reg/2024/2773/oj" TargetMode="External"/><Relationship Id="rId5" Type="http://schemas.openxmlformats.org/officeDocument/2006/relationships/hyperlink" Target="http://data.europa.eu/eli/dec/2020/2053/oj" TargetMode="External"/><Relationship Id="rId4" Type="http://schemas.openxmlformats.org/officeDocument/2006/relationships/hyperlink" Target="http://data.europa.eu/eli/agree_interinstit/2020/1222/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3FF581-D9DD-48B3-9F8C-EB90E0CDA5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1579</Words>
  <Characters>9473</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11030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RELFINAL Amalia</cp:lastModifiedBy>
  <cp:revision>2</cp:revision>
  <cp:lastPrinted>2004-11-19T15:42:00Z</cp:lastPrinted>
  <dcterms:created xsi:type="dcterms:W3CDTF">2024-11-27T11:39:00Z</dcterms:created>
  <dcterms:modified xsi:type="dcterms:W3CDTF">2024-11-27T11:39:00Z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A10-0017/2024</vt:lpwstr>
  </property>
  <property fmtid="{D5CDD505-2E9C-101B-9397-08002B2CF9AE}" pid="4" name="&lt;Type&gt;">
    <vt:lpwstr>RR</vt:lpwstr>
  </property>
</Properties>
</file>