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59D4" w:rsidTr="0010095E">
        <w:trPr>
          <w:trHeight w:hRule="exact" w:val="1418"/>
        </w:trPr>
        <w:tc>
          <w:tcPr>
            <w:tcW w:w="6804" w:type="dxa"/>
            <w:shd w:val="clear" w:color="auto" w:fill="auto"/>
            <w:vAlign w:val="center"/>
          </w:tcPr>
          <w:p w:rsidR="00751A4A" w:rsidRPr="005359D4" w:rsidRDefault="005474C4" w:rsidP="0010095E">
            <w:pPr>
              <w:pStyle w:val="EPName"/>
            </w:pPr>
            <w:r w:rsidRPr="005359D4">
              <w:t>Euroopa Parlament</w:t>
            </w:r>
          </w:p>
          <w:p w:rsidR="00751A4A" w:rsidRPr="005359D4" w:rsidRDefault="005F1B17" w:rsidP="005F1B17">
            <w:pPr>
              <w:pStyle w:val="EPTerm"/>
              <w:rPr>
                <w:rStyle w:val="HideTWBExt"/>
                <w:noProof w:val="0"/>
                <w:vanish w:val="0"/>
                <w:color w:val="auto"/>
              </w:rPr>
            </w:pPr>
            <w:r w:rsidRPr="005359D4">
              <w:t>2024</w:t>
            </w:r>
            <w:r w:rsidR="00817416" w:rsidRPr="005359D4">
              <w:t>-202</w:t>
            </w:r>
            <w:r w:rsidRPr="005359D4">
              <w:t>9</w:t>
            </w:r>
          </w:p>
        </w:tc>
        <w:tc>
          <w:tcPr>
            <w:tcW w:w="2268" w:type="dxa"/>
            <w:shd w:val="clear" w:color="auto" w:fill="auto"/>
          </w:tcPr>
          <w:p w:rsidR="00751A4A" w:rsidRPr="005359D4" w:rsidRDefault="00187494" w:rsidP="0010095E">
            <w:pPr>
              <w:pStyle w:val="EPLogo"/>
            </w:pPr>
            <w:r w:rsidRPr="005359D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359D4" w:rsidRDefault="00D058B8" w:rsidP="004C5D52">
      <w:pPr>
        <w:pStyle w:val="LineTop"/>
      </w:pPr>
    </w:p>
    <w:p w:rsidR="00680577" w:rsidRPr="005359D4" w:rsidRDefault="005474C4" w:rsidP="00680577">
      <w:pPr>
        <w:pStyle w:val="EPBodyTA1"/>
      </w:pPr>
      <w:r w:rsidRPr="005359D4">
        <w:t>VASTUVÕETUD TEKSTID</w:t>
      </w:r>
    </w:p>
    <w:p w:rsidR="00D058B8" w:rsidRPr="005359D4" w:rsidRDefault="00D058B8" w:rsidP="00D058B8">
      <w:pPr>
        <w:pStyle w:val="LineBottom"/>
      </w:pPr>
    </w:p>
    <w:p w:rsidR="005474C4" w:rsidRPr="005359D4" w:rsidRDefault="005474C4" w:rsidP="005474C4">
      <w:pPr>
        <w:pStyle w:val="ATHeading1"/>
      </w:pPr>
      <w:bookmarkStart w:id="0" w:name="TANumber"/>
      <w:r w:rsidRPr="005359D4">
        <w:t>P10_TA(2024)00</w:t>
      </w:r>
      <w:r w:rsidR="003B30A7" w:rsidRPr="005359D4">
        <w:t>49</w:t>
      </w:r>
      <w:bookmarkEnd w:id="0"/>
    </w:p>
    <w:p w:rsidR="005474C4" w:rsidRPr="005359D4" w:rsidRDefault="00D86FE6" w:rsidP="005474C4">
      <w:pPr>
        <w:pStyle w:val="ATHeading2"/>
      </w:pPr>
      <w:bookmarkStart w:id="1" w:name="title"/>
      <w:r w:rsidRPr="005359D4">
        <w:t>Paranduseelarve projekt nr </w:t>
      </w:r>
      <w:r w:rsidR="005474C4" w:rsidRPr="005359D4">
        <w:t>5/2024: maksete assigneeringute kohandamine, tulude ajakohastamine ja muud tehnilised ajakohastamised</w:t>
      </w:r>
      <w:bookmarkEnd w:id="1"/>
    </w:p>
    <w:p w:rsidR="005474C4" w:rsidRPr="005359D4" w:rsidRDefault="005474C4" w:rsidP="005474C4">
      <w:pPr>
        <w:rPr>
          <w:i/>
          <w:vanish/>
        </w:rPr>
      </w:pPr>
      <w:r w:rsidRPr="005359D4">
        <w:rPr>
          <w:i/>
        </w:rPr>
        <w:fldChar w:fldCharType="begin"/>
      </w:r>
      <w:r w:rsidRPr="005359D4">
        <w:rPr>
          <w:i/>
        </w:rPr>
        <w:instrText xml:space="preserve"> TC"(</w:instrText>
      </w:r>
      <w:bookmarkStart w:id="2" w:name="DocNumber"/>
      <w:r w:rsidRPr="005359D4">
        <w:rPr>
          <w:i/>
        </w:rPr>
        <w:instrText>A10-0017/2024</w:instrText>
      </w:r>
      <w:bookmarkEnd w:id="2"/>
      <w:r w:rsidRPr="005359D4">
        <w:rPr>
          <w:i/>
        </w:rPr>
        <w:instrText xml:space="preserve"> - Raportöör: Siegfried Mureşan)"\l3 \n&gt; \* MERGEFORMAT </w:instrText>
      </w:r>
      <w:r w:rsidRPr="005359D4">
        <w:rPr>
          <w:i/>
        </w:rPr>
        <w:fldChar w:fldCharType="end"/>
      </w:r>
    </w:p>
    <w:p w:rsidR="005474C4" w:rsidRPr="005359D4" w:rsidRDefault="005474C4" w:rsidP="005474C4">
      <w:pPr>
        <w:rPr>
          <w:vanish/>
        </w:rPr>
      </w:pPr>
      <w:bookmarkStart w:id="3" w:name="Commission"/>
      <w:r w:rsidRPr="005359D4">
        <w:rPr>
          <w:vanish/>
        </w:rPr>
        <w:t>Eelarvekomisjon</w:t>
      </w:r>
      <w:bookmarkEnd w:id="3"/>
    </w:p>
    <w:p w:rsidR="005474C4" w:rsidRPr="005359D4" w:rsidRDefault="005474C4" w:rsidP="005474C4">
      <w:pPr>
        <w:rPr>
          <w:vanish/>
        </w:rPr>
      </w:pPr>
      <w:bookmarkStart w:id="4" w:name="PE"/>
      <w:r w:rsidRPr="005359D4">
        <w:rPr>
          <w:vanish/>
        </w:rPr>
        <w:t>PE765.136</w:t>
      </w:r>
      <w:bookmarkEnd w:id="4"/>
    </w:p>
    <w:p w:rsidR="005474C4" w:rsidRPr="005359D4" w:rsidRDefault="006A6FAF" w:rsidP="006A6FAF">
      <w:pPr>
        <w:pStyle w:val="ATHeading3"/>
      </w:pPr>
      <w:bookmarkStart w:id="5" w:name="Sujet"/>
      <w:r w:rsidRPr="005359D4">
        <w:t>Euroopa Parlamendi 27</w:t>
      </w:r>
      <w:r w:rsidR="005474C4" w:rsidRPr="005359D4">
        <w:t>.</w:t>
      </w:r>
      <w:r w:rsidRPr="005359D4">
        <w:t> novembri 2024. </w:t>
      </w:r>
      <w:r w:rsidR="005474C4" w:rsidRPr="005359D4">
        <w:t>aasta resolutsioon</w:t>
      </w:r>
      <w:r w:rsidRPr="005359D4">
        <w:t>,</w:t>
      </w:r>
      <w:r w:rsidR="005474C4" w:rsidRPr="005359D4">
        <w:t xml:space="preserve"> mis käsitleb nõukogu</w:t>
      </w:r>
      <w:r w:rsidRPr="005359D4">
        <w:t xml:space="preserve"> seisukohta Euroopa Liidu 2024. </w:t>
      </w:r>
      <w:r w:rsidR="005474C4" w:rsidRPr="005359D4">
        <w:t>aasta üldeelarve paranduseelarve projekti n</w:t>
      </w:r>
      <w:r w:rsidRPr="005359D4">
        <w:t>r </w:t>
      </w:r>
      <w:r w:rsidR="005474C4" w:rsidRPr="005359D4">
        <w:t>5/2024 kohta – maksete assigneeringute kohandamine, tulude ajakohastamine ja muud tehnilised ajakohastamised</w:t>
      </w:r>
      <w:bookmarkEnd w:id="5"/>
      <w:r w:rsidR="005474C4" w:rsidRPr="005359D4">
        <w:t xml:space="preserve"> </w:t>
      </w:r>
      <w:bookmarkStart w:id="6" w:name="References"/>
      <w:r w:rsidR="005474C4" w:rsidRPr="005359D4">
        <w:t>(14477/2024 – C10-0186/2024 – 2024/0252(BUD))</w:t>
      </w:r>
      <w:bookmarkStart w:id="7" w:name="_GoBack"/>
      <w:bookmarkEnd w:id="6"/>
      <w:bookmarkEnd w:id="7"/>
    </w:p>
    <w:p w:rsidR="0004564C" w:rsidRPr="005359D4" w:rsidRDefault="0004564C" w:rsidP="0004564C">
      <w:pPr>
        <w:pStyle w:val="EPComma"/>
      </w:pPr>
      <w:bookmarkStart w:id="8" w:name="TextBodyBegin"/>
      <w:bookmarkEnd w:id="8"/>
      <w:r w:rsidRPr="005359D4">
        <w:rPr>
          <w:i/>
        </w:rPr>
        <w:t>Euroopa Parlament</w:t>
      </w:r>
      <w:r w:rsidRPr="005359D4">
        <w:t>,</w:t>
      </w:r>
    </w:p>
    <w:p w:rsidR="0004564C" w:rsidRPr="005359D4" w:rsidRDefault="0004564C" w:rsidP="0004564C">
      <w:pPr>
        <w:pStyle w:val="NormalHanging12a"/>
      </w:pPr>
      <w:r w:rsidRPr="005359D4">
        <w:t>–</w:t>
      </w:r>
      <w:r w:rsidRPr="005359D4">
        <w:tab/>
        <w:t>võttes arvesse Euroopa L</w:t>
      </w:r>
      <w:r w:rsidR="006A6FAF" w:rsidRPr="005359D4">
        <w:t>iidu toimimise lepingu artiklit </w:t>
      </w:r>
      <w:r w:rsidRPr="005359D4">
        <w:t>314,</w:t>
      </w:r>
    </w:p>
    <w:p w:rsidR="0004564C" w:rsidRPr="005359D4" w:rsidRDefault="0004564C" w:rsidP="0004564C">
      <w:pPr>
        <w:pStyle w:val="NormalHanging12a"/>
      </w:pPr>
      <w:r w:rsidRPr="005359D4">
        <w:t>–</w:t>
      </w:r>
      <w:r w:rsidRPr="005359D4">
        <w:tab/>
        <w:t>võttes arvesse Euroopa Aatomienergiaüh</w:t>
      </w:r>
      <w:r w:rsidR="006A6FAF" w:rsidRPr="005359D4">
        <w:t>enduse asutamislepingu artiklit </w:t>
      </w:r>
      <w:r w:rsidRPr="005359D4">
        <w:t>106a,</w:t>
      </w:r>
    </w:p>
    <w:p w:rsidR="0004564C" w:rsidRPr="005359D4" w:rsidRDefault="0004564C" w:rsidP="0004564C">
      <w:pPr>
        <w:pStyle w:val="NormalHanging12a"/>
      </w:pPr>
      <w:r w:rsidRPr="005359D4">
        <w:t>–</w:t>
      </w:r>
      <w:r w:rsidRPr="005359D4">
        <w:tab/>
        <w:t>võttes arvesse Euroopa Parlamendi ja nõukogu 23.</w:t>
      </w:r>
      <w:r w:rsidR="006A6FAF" w:rsidRPr="005359D4">
        <w:t xml:space="preserve"> septembri 2024. aasta määrust </w:t>
      </w:r>
      <w:r w:rsidRPr="005359D4">
        <w:t>(EL, Euratom) 2024/2509, mis käsitleb liidu üldeelarve suhtes kohaldatavaid finantsreegleid</w:t>
      </w:r>
      <w:r w:rsidRPr="005359D4">
        <w:rPr>
          <w:rStyle w:val="FootnoteReference"/>
        </w:rPr>
        <w:footnoteReference w:id="1"/>
      </w:r>
      <w:r w:rsidR="006A6FAF" w:rsidRPr="005359D4">
        <w:t>, eriti selle artiklit </w:t>
      </w:r>
      <w:r w:rsidRPr="005359D4">
        <w:t>44,</w:t>
      </w:r>
    </w:p>
    <w:p w:rsidR="0004564C" w:rsidRPr="005359D4" w:rsidRDefault="0004564C" w:rsidP="0004564C">
      <w:pPr>
        <w:pStyle w:val="NormalHanging12a"/>
      </w:pPr>
      <w:r w:rsidRPr="005359D4">
        <w:t>–</w:t>
      </w:r>
      <w:r w:rsidRPr="005359D4">
        <w:tab/>
        <w:t>võt</w:t>
      </w:r>
      <w:r w:rsidR="006A6FAF" w:rsidRPr="005359D4">
        <w:t>tes arvesse Euroopa Liidu 2024. </w:t>
      </w:r>
      <w:r w:rsidRPr="005359D4">
        <w:t xml:space="preserve">aasta </w:t>
      </w:r>
      <w:proofErr w:type="spellStart"/>
      <w:r w:rsidRPr="005359D4">
        <w:t>üldeelarvet</w:t>
      </w:r>
      <w:proofErr w:type="spellEnd"/>
      <w:r w:rsidRPr="005359D4">
        <w:t>, mis võeti lõpl</w:t>
      </w:r>
      <w:r w:rsidR="005359D4" w:rsidRPr="005359D4">
        <w:t>ikult vastu 22. novembril </w:t>
      </w:r>
      <w:r w:rsidR="006A6FAF" w:rsidRPr="005359D4">
        <w:t>2023</w:t>
      </w:r>
      <w:r w:rsidRPr="005359D4">
        <w:rPr>
          <w:rStyle w:val="FootnoteReference"/>
        </w:rPr>
        <w:footnoteReference w:id="2"/>
      </w:r>
      <w:r w:rsidRPr="005359D4">
        <w:t>,</w:t>
      </w:r>
    </w:p>
    <w:p w:rsidR="0004564C" w:rsidRPr="005359D4" w:rsidRDefault="0004564C" w:rsidP="0004564C">
      <w:pPr>
        <w:pStyle w:val="NormalHanging12a"/>
      </w:pPr>
      <w:r w:rsidRPr="005359D4">
        <w:t>–</w:t>
      </w:r>
      <w:r w:rsidRPr="005359D4">
        <w:tab/>
        <w:t>võttes arvesse nõukogu 17</w:t>
      </w:r>
      <w:r w:rsidR="006A6FAF" w:rsidRPr="005359D4">
        <w:t xml:space="preserve">. detsembri 2020. aasta määrust </w:t>
      </w:r>
      <w:r w:rsidRPr="005359D4">
        <w:t>(EL, Euratom) 2020/2093, millega määratakse kindlaks mitmeaastane finantsraamistik aastateks 2021–2027</w:t>
      </w:r>
      <w:r w:rsidRPr="005359D4">
        <w:rPr>
          <w:rStyle w:val="FootnoteReference"/>
        </w:rPr>
        <w:footnoteReference w:id="3"/>
      </w:r>
      <w:r w:rsidRPr="005359D4">
        <w:t>,</w:t>
      </w:r>
    </w:p>
    <w:p w:rsidR="0004564C" w:rsidRPr="005359D4" w:rsidRDefault="0004564C" w:rsidP="0004564C">
      <w:pPr>
        <w:pStyle w:val="NormalHanging12a"/>
      </w:pPr>
      <w:r w:rsidRPr="005359D4">
        <w:t>–</w:t>
      </w:r>
      <w:r w:rsidRPr="005359D4">
        <w:tab/>
        <w:t xml:space="preserve">võttes arvesse 16. detsembri 2020. aasta </w:t>
      </w:r>
      <w:proofErr w:type="spellStart"/>
      <w:r w:rsidRPr="005359D4">
        <w:t>institutsioonidevahelist</w:t>
      </w:r>
      <w:proofErr w:type="spellEnd"/>
      <w:r w:rsidRPr="005359D4">
        <w:t xml:space="preserve"> kokkulepet Euroopa Parlamendi, Euroopa Liidu Nõukogu ja Euroopa Komisjoni vahel, mis käsitleb eelarvedistsipliini, eelarvealast koostööd ning usaldusväärset finantsjuhtimist, samuti uusi omavahendeid, sealhulgas uute omavahendite kasutuselevõtmise suunas liikumise tegevuskava</w:t>
      </w:r>
      <w:r w:rsidRPr="005359D4">
        <w:rPr>
          <w:rStyle w:val="FootnoteReference"/>
        </w:rPr>
        <w:footnoteReference w:id="4"/>
      </w:r>
      <w:r w:rsidRPr="005359D4">
        <w:t>,</w:t>
      </w:r>
    </w:p>
    <w:p w:rsidR="0004564C" w:rsidRPr="005359D4" w:rsidRDefault="0004564C" w:rsidP="0004564C">
      <w:pPr>
        <w:pStyle w:val="NormalHanging12a"/>
      </w:pPr>
      <w:r w:rsidRPr="005359D4">
        <w:t>–</w:t>
      </w:r>
      <w:r w:rsidRPr="005359D4">
        <w:tab/>
        <w:t xml:space="preserve">võttes arvesse nõukogu 14. detsembri 2020. aasta otsust (EL, Euratom) 2020/2053, mis </w:t>
      </w:r>
      <w:r w:rsidRPr="005359D4">
        <w:lastRenderedPageBreak/>
        <w:t>käsitleb Euroopa Liidu omavahendite süsteemi ning milleg</w:t>
      </w:r>
      <w:r w:rsidR="006A6FAF" w:rsidRPr="005359D4">
        <w:t xml:space="preserve">a tunnistatakse kehtetuks otsus </w:t>
      </w:r>
      <w:r w:rsidRPr="005359D4">
        <w:t>2014/335/EL, Euratom</w:t>
      </w:r>
      <w:r w:rsidRPr="005359D4">
        <w:rPr>
          <w:rStyle w:val="FootnoteReference"/>
        </w:rPr>
        <w:footnoteReference w:id="5"/>
      </w:r>
      <w:r w:rsidRPr="005359D4">
        <w:t>,</w:t>
      </w:r>
    </w:p>
    <w:p w:rsidR="0004564C" w:rsidRPr="005359D4" w:rsidRDefault="0004564C" w:rsidP="0004564C">
      <w:pPr>
        <w:pStyle w:val="NormalHanging12a"/>
      </w:pPr>
      <w:r w:rsidRPr="005359D4">
        <w:t>–</w:t>
      </w:r>
      <w:r w:rsidRPr="005359D4">
        <w:tab/>
        <w:t>võttes arvesse paranduseelarve projekti nr 5/2024, mille komisjon võttis vastu 10. oktoobril 2024. aastal (COM(2024)0650),</w:t>
      </w:r>
    </w:p>
    <w:p w:rsidR="0004564C" w:rsidRPr="005359D4" w:rsidRDefault="0004564C" w:rsidP="0004564C">
      <w:pPr>
        <w:pStyle w:val="NormalHanging12a"/>
      </w:pPr>
      <w:r w:rsidRPr="005359D4">
        <w:t>–</w:t>
      </w:r>
      <w:r w:rsidRPr="005359D4">
        <w:tab/>
        <w:t>võ</w:t>
      </w:r>
      <w:r w:rsidR="005359D4" w:rsidRPr="005359D4">
        <w:t>ttes arvesse 5. novembril </w:t>
      </w:r>
      <w:r w:rsidR="006A6FAF" w:rsidRPr="005359D4">
        <w:t xml:space="preserve">2024 </w:t>
      </w:r>
      <w:r w:rsidR="005359D4" w:rsidRPr="005359D4">
        <w:t>vastu võetud ja 12. novembril </w:t>
      </w:r>
      <w:r w:rsidRPr="005359D4">
        <w:t>2024 Euroopa Parlamendile esitatud nõukogu seisuko</w:t>
      </w:r>
      <w:r w:rsidR="006A6FAF" w:rsidRPr="005359D4">
        <w:t>hta paranduseelarve projekti nr </w:t>
      </w:r>
      <w:r w:rsidRPr="005359D4">
        <w:t>5/2024 kohta (14477/2024 – C10-0186/2024),</w:t>
      </w:r>
    </w:p>
    <w:p w:rsidR="0004564C" w:rsidRPr="005359D4" w:rsidRDefault="0004564C" w:rsidP="0004564C">
      <w:pPr>
        <w:pStyle w:val="NormalHanging12a"/>
      </w:pPr>
      <w:r w:rsidRPr="005359D4">
        <w:t>–</w:t>
      </w:r>
      <w:r w:rsidRPr="005359D4">
        <w:tab/>
        <w:t>võttes ar</w:t>
      </w:r>
      <w:r w:rsidR="006A6FAF" w:rsidRPr="005359D4">
        <w:t>vesse kodukorra artikleid 96 ja </w:t>
      </w:r>
      <w:r w:rsidRPr="005359D4">
        <w:t>98,</w:t>
      </w:r>
    </w:p>
    <w:p w:rsidR="0004564C" w:rsidRPr="005359D4" w:rsidRDefault="0004564C" w:rsidP="0004564C">
      <w:pPr>
        <w:pStyle w:val="NormalHanging12a"/>
      </w:pPr>
      <w:r w:rsidRPr="005359D4">
        <w:t>–</w:t>
      </w:r>
      <w:r w:rsidRPr="005359D4">
        <w:tab/>
        <w:t>võttes arvesse eelarvekomisjoni raportit (A10-0017/2024),</w:t>
      </w:r>
    </w:p>
    <w:p w:rsidR="0004564C" w:rsidRPr="005359D4" w:rsidRDefault="0004564C" w:rsidP="0004564C">
      <w:pPr>
        <w:pStyle w:val="NormalHanging12a"/>
      </w:pPr>
      <w:r w:rsidRPr="005359D4">
        <w:t>A.</w:t>
      </w:r>
      <w:r w:rsidRPr="005359D4">
        <w:tab/>
        <w:t>arvestades,</w:t>
      </w:r>
      <w:r w:rsidR="006A6FAF" w:rsidRPr="005359D4">
        <w:t xml:space="preserve"> et paranduseelarve projekti nr </w:t>
      </w:r>
      <w:r w:rsidRPr="005359D4">
        <w:t>5/2024 eesmärk on kohandada kulusid, eelkõige seoses maksete assigneeringutega, ja ajakohastada liidu eelarve tulusid;</w:t>
      </w:r>
    </w:p>
    <w:p w:rsidR="0004564C" w:rsidRPr="005359D4" w:rsidRDefault="0004564C" w:rsidP="0004564C">
      <w:pPr>
        <w:pStyle w:val="NormalHanging12a"/>
      </w:pPr>
      <w:r w:rsidRPr="005359D4">
        <w:t>B.</w:t>
      </w:r>
      <w:r w:rsidRPr="005359D4">
        <w:tab/>
        <w:t>arvestades, e</w:t>
      </w:r>
      <w:r w:rsidR="006A6FAF" w:rsidRPr="005359D4">
        <w:t>t paranduseelarve projektiga nr </w:t>
      </w:r>
      <w:r w:rsidRPr="005359D4">
        <w:t>5/2024 suurendatakse kulupoolel kulu</w:t>
      </w:r>
      <w:r w:rsidR="006A6FAF" w:rsidRPr="005359D4">
        <w:t>kohustuste assigneeringuid 44,5 </w:t>
      </w:r>
      <w:r w:rsidRPr="005359D4">
        <w:t>miljoni euro võrra ja maksete assigneeringuid 2,95 miljardi euro võrra; arvestades, et kuna mitmeaastas</w:t>
      </w:r>
      <w:r w:rsidR="006A6FAF" w:rsidRPr="005359D4">
        <w:t>e finantsraamistiku rubriikides 2b, 5 ja </w:t>
      </w:r>
      <w:r w:rsidRPr="005359D4">
        <w:t>7 kasutatavat varu ei ole, tehakse ettepanek võtta paindlikkusin</w:t>
      </w:r>
      <w:r w:rsidR="006A6FAF" w:rsidRPr="005359D4">
        <w:t>strumendist kasutusele veel 7,2 </w:t>
      </w:r>
      <w:r w:rsidRPr="005359D4">
        <w:t>miljonit eurot ja ühtse va</w:t>
      </w:r>
      <w:r w:rsidR="006A6FAF" w:rsidRPr="005359D4">
        <w:t>ruinstrumendi osast a veel 68,5 </w:t>
      </w:r>
      <w:r w:rsidRPr="005359D4">
        <w:t>miljonit eurot;</w:t>
      </w:r>
    </w:p>
    <w:p w:rsidR="0004564C" w:rsidRPr="005359D4" w:rsidRDefault="0004564C" w:rsidP="0004564C">
      <w:pPr>
        <w:pStyle w:val="NormalHanging12a"/>
      </w:pPr>
      <w:r w:rsidRPr="005359D4">
        <w:t>C.</w:t>
      </w:r>
      <w:r w:rsidRPr="005359D4">
        <w:tab/>
        <w:t>arvestades, et paranduseelarve projekt</w:t>
      </w:r>
      <w:r w:rsidR="006A6FAF" w:rsidRPr="005359D4">
        <w:t>iga nr 5/2024 lisatakse 2024. </w:t>
      </w:r>
      <w:r w:rsidRPr="005359D4">
        <w:t>aasta</w:t>
      </w:r>
      <w:r w:rsidR="006A6FAF" w:rsidRPr="005359D4">
        <w:t xml:space="preserve"> eelarve tulupoolele kuni 2024. </w:t>
      </w:r>
      <w:r w:rsidRPr="005359D4">
        <w:t>aasta oktoobrini tasutud lõplike trahvid</w:t>
      </w:r>
      <w:r w:rsidR="006A6FAF" w:rsidRPr="005359D4">
        <w:t>e ja karistusmaksete summa 2,82 </w:t>
      </w:r>
      <w:r w:rsidRPr="005359D4">
        <w:t>miljardit eurot, mis tähendab, et maksevajaduste katmiseks on vaja täiendavaid kogurahvatulul põhinevaid makseid summ</w:t>
      </w:r>
      <w:r w:rsidR="006A6FAF" w:rsidRPr="005359D4">
        <w:t>as 139,9 </w:t>
      </w:r>
      <w:r w:rsidRPr="005359D4">
        <w:t>miljonit eurot;</w:t>
      </w:r>
    </w:p>
    <w:p w:rsidR="0004564C" w:rsidRPr="005359D4" w:rsidRDefault="0004564C" w:rsidP="0004564C">
      <w:pPr>
        <w:pStyle w:val="NormalHanging12a"/>
      </w:pPr>
      <w:r w:rsidRPr="005359D4">
        <w:t>D.</w:t>
      </w:r>
      <w:r w:rsidRPr="005359D4">
        <w:tab/>
        <w:t>arvestades, e</w:t>
      </w:r>
      <w:r w:rsidR="006A6FAF" w:rsidRPr="005359D4">
        <w:t>t paranduseelarve projektiga nr </w:t>
      </w:r>
      <w:r w:rsidRPr="005359D4">
        <w:t>5/2024 lisatakse eelarvesse ka uued tulu- ja kuluread Ukraina laenukoostöö mehhanismi jaoks, mille raames antakse toetust laenude kaudu, mida teenindatakse ja makstakse tagasi tulust, mida hakatakse teenima arestitud Venemaa riigivaralt;</w:t>
      </w:r>
    </w:p>
    <w:p w:rsidR="0004564C" w:rsidRPr="005359D4" w:rsidRDefault="0004564C" w:rsidP="0004564C">
      <w:pPr>
        <w:pStyle w:val="NormalHanging12a"/>
      </w:pPr>
      <w:r w:rsidRPr="005359D4">
        <w:t>1.</w:t>
      </w:r>
      <w:r w:rsidRPr="005359D4">
        <w:tab/>
        <w:t>võtab komisjoni esitatud paranduseelarve projekti nr 5/2024 teadmiseks;</w:t>
      </w:r>
    </w:p>
    <w:p w:rsidR="0004564C" w:rsidRPr="005359D4" w:rsidRDefault="0004564C" w:rsidP="0004564C">
      <w:pPr>
        <w:pStyle w:val="NormalHanging12a"/>
      </w:pPr>
      <w:r w:rsidRPr="005359D4">
        <w:t>2.</w:t>
      </w:r>
      <w:r w:rsidRPr="005359D4">
        <w:tab/>
        <w:t>väljendab heameelt Euroopa Regionaalarengu Fondi (ERF) suurenenud maksevajadu</w:t>
      </w:r>
      <w:r w:rsidR="006A6FAF" w:rsidRPr="005359D4">
        <w:t>ste ja koondümberpaigutuse (DEC </w:t>
      </w:r>
      <w:r w:rsidRPr="005359D4">
        <w:t>11/24) raames ühisele põllumajanduspoliitikale eraldatud suuremate maksete üle, sest see näitab, et kuigi programmi elluviimine perioodil 2021–2027 algas murettekitavalt aegl</w:t>
      </w:r>
      <w:r w:rsidR="006A6FAF" w:rsidRPr="005359D4">
        <w:t>aselt, on see nüüd hoogustumas;</w:t>
      </w:r>
    </w:p>
    <w:p w:rsidR="0004564C" w:rsidRPr="005359D4" w:rsidRDefault="0004564C" w:rsidP="0004564C">
      <w:pPr>
        <w:pStyle w:val="NormalHanging12a"/>
      </w:pPr>
      <w:r w:rsidRPr="005359D4">
        <w:t>3.</w:t>
      </w:r>
      <w:r w:rsidRPr="005359D4">
        <w:tab/>
        <w:t xml:space="preserve">märgib rahuloluga, et Euroopa strateegiliste tehnoloogiate platvormi (STEP) eeskirjade muudatused – mis hõlmavad erakorralist eelrahastamist ja vabatahtlikku 100 % kaasrahastamist – on avaldanud </w:t>
      </w:r>
      <w:proofErr w:type="spellStart"/>
      <w:r w:rsidRPr="005359D4">
        <w:t>ERFi</w:t>
      </w:r>
      <w:proofErr w:type="spellEnd"/>
      <w:r w:rsidRPr="005359D4">
        <w:t xml:space="preserve"> rakendamisele positiivset mõju, mis tähendab, et liikmesriigid kulutavad </w:t>
      </w:r>
      <w:proofErr w:type="spellStart"/>
      <w:r w:rsidRPr="005359D4">
        <w:t>STEPi</w:t>
      </w:r>
      <w:proofErr w:type="spellEnd"/>
      <w:r w:rsidRPr="005359D4">
        <w:t xml:space="preserve"> eesmärkide saavutamiseks raha; on ühtlasi seisukohal</w:t>
      </w:r>
      <w:r w:rsidR="006A6FAF" w:rsidRPr="005359D4">
        <w:t>, et maksete suurendamine 2024. </w:t>
      </w:r>
      <w:r w:rsidRPr="005359D4">
        <w:t>aastal peaks aitama leevendada aastatel 2025–2027 maksetele tekkivat survet;</w:t>
      </w:r>
    </w:p>
    <w:p w:rsidR="0004564C" w:rsidRPr="005359D4" w:rsidRDefault="0004564C" w:rsidP="0004564C">
      <w:pPr>
        <w:pStyle w:val="NormalHanging12a"/>
      </w:pPr>
      <w:r w:rsidRPr="005359D4">
        <w:t>4.</w:t>
      </w:r>
      <w:r w:rsidRPr="005359D4">
        <w:tab/>
        <w:t xml:space="preserve">märgib, et suurenenud maksevajadused kaetakse peaaegu täielikult trahvidest ja karistusmaksetest saadavast tulust, eelkõige 2,4 miljardi euro suurusest trahvist, mis </w:t>
      </w:r>
      <w:r w:rsidRPr="005359D4">
        <w:lastRenderedPageBreak/>
        <w:t xml:space="preserve">määrati </w:t>
      </w:r>
      <w:proofErr w:type="spellStart"/>
      <w:r w:rsidRPr="005359D4">
        <w:t>Google’ile</w:t>
      </w:r>
      <w:proofErr w:type="spellEnd"/>
      <w:r w:rsidRPr="005359D4">
        <w:t xml:space="preserve"> konkurentsiõiguse rikkumise eest;</w:t>
      </w:r>
    </w:p>
    <w:p w:rsidR="0004564C" w:rsidRPr="005359D4" w:rsidRDefault="0004564C" w:rsidP="0004564C">
      <w:pPr>
        <w:pStyle w:val="NormalHanging12a"/>
      </w:pPr>
      <w:r w:rsidRPr="005359D4">
        <w:t>5.</w:t>
      </w:r>
      <w:r w:rsidRPr="005359D4">
        <w:tab/>
        <w:t>kordab, et liidu eelarvesse, mille vahendeid on viimastel aastatel mitmesugustele kriisidele reageerimiseks kasutatud viimase piirini, on vaja pikas perspektiivis kestlikku tulu; peab seetõttu kahetsusväärseks, et nõukogu ei ole teinud institutsioonidevahelise kokkuleppe tegevuskava kohasel omavahendite süsteemi reformimisel edusamme; tuletab meelde oma seisukohta, mis toetab komisjoni muudetud ettepanekuid, ning nõuab tungivalt, et nõukogu ja liikmesriigid võtaksid need ettepanekud kiiresti vastu, et suurendada liidu eelarve jaoks kättesaadavaid omavahendeid; tuletab meelde oma pikaajalist seisukohta, et trahve ja tasusid tuleks kasutada liidu eelarve lisatuluna;</w:t>
      </w:r>
    </w:p>
    <w:p w:rsidR="0004564C" w:rsidRPr="005359D4" w:rsidRDefault="0004564C" w:rsidP="0004564C">
      <w:pPr>
        <w:pStyle w:val="NormalHanging12a"/>
      </w:pPr>
      <w:r w:rsidRPr="005359D4">
        <w:t>6.</w:t>
      </w:r>
      <w:r w:rsidRPr="005359D4">
        <w:tab/>
        <w:t xml:space="preserve">väljendab heameelt, et eelarvesse on lisatud Ukraina laenukoostöö mehhanismi tulu- ja kuluread; rõhutab, et Ukrainale tuleb anda püsivat rahalist toetust, sest Ukraina rahastu kaudu ja kehtivate makromajandusliku finantsabi kokkulepete alusel eraldatud summadest </w:t>
      </w:r>
      <w:r w:rsidR="006A6FAF" w:rsidRPr="005359D4">
        <w:t>jääb vajaduste katmiseks puudu;</w:t>
      </w:r>
    </w:p>
    <w:p w:rsidR="0004564C" w:rsidRPr="005359D4" w:rsidRDefault="0004564C" w:rsidP="0004564C">
      <w:pPr>
        <w:pStyle w:val="NormalHanging12a"/>
      </w:pPr>
      <w:r w:rsidRPr="005359D4">
        <w:t>7.</w:t>
      </w:r>
      <w:r w:rsidRPr="005359D4">
        <w:tab/>
        <w:t>tuletab meelde, et makromajandusliku finantsabina antavad lisalaenud kaetakse eelarves olevast varust, ning kordab, et palub komisjonil esitada eelarvepädevatele institutsioonidele üksikasjad selle kohta, kui suur summa laenutehingutest tingitud kohustusi on varu arvelt kaetud; loodab, et komisjon esitab Euroopa Parlamendile ja nõukogule kogu vajaliku teabe vastavalt oma avaldusele, mis on lisatud Euroopa Parla</w:t>
      </w:r>
      <w:r w:rsidR="006A6FAF" w:rsidRPr="005359D4">
        <w:t>mendi ja nõukogu määrusele (EL) </w:t>
      </w:r>
      <w:r w:rsidRPr="005359D4">
        <w:t>2024/2773</w:t>
      </w:r>
      <w:r w:rsidRPr="005359D4">
        <w:rPr>
          <w:rStyle w:val="FootnoteReference"/>
          <w:bCs/>
          <w:color w:val="333333"/>
          <w:shd w:val="clear" w:color="auto" w:fill="FFFFFF"/>
        </w:rPr>
        <w:footnoteReference w:id="6"/>
      </w:r>
      <w:r w:rsidRPr="005359D4">
        <w:t>;</w:t>
      </w:r>
    </w:p>
    <w:p w:rsidR="0004564C" w:rsidRPr="005359D4" w:rsidRDefault="0004564C" w:rsidP="0004564C">
      <w:pPr>
        <w:pStyle w:val="NormalHanging12a"/>
      </w:pPr>
      <w:r w:rsidRPr="005359D4">
        <w:t>8.</w:t>
      </w:r>
      <w:r w:rsidRPr="005359D4">
        <w:tab/>
        <w:t>võta</w:t>
      </w:r>
      <w:r w:rsidR="006A6FAF" w:rsidRPr="005359D4">
        <w:t>b teadmiseks, et 2024. </w:t>
      </w:r>
      <w:r w:rsidRPr="005359D4">
        <w:t>aastal on palkade kohandamisele, mis puudutab nii töötasusid kui ka pensione, kulunud eelarves ett</w:t>
      </w:r>
      <w:r w:rsidR="006A6FAF" w:rsidRPr="005359D4">
        <w:t>e nähtust suurem summa ja 2024. </w:t>
      </w:r>
      <w:r w:rsidRPr="005359D4">
        <w:t>aastal on ka uute pensionisaajate arv olnud prognoositust suurem, mille tagajärjel on pensionikulud suurenenud veel rohkem; väljendab heameelt selle üle, et peaaegu kõik institutsioonide lisakulud on kaetud institutsioonisiseste ümberpaigutustega ja seetõttu on ühtset varuinstrumenti kasutatud vähe;</w:t>
      </w:r>
    </w:p>
    <w:p w:rsidR="0004564C" w:rsidRPr="005359D4" w:rsidRDefault="0004564C" w:rsidP="0004564C">
      <w:pPr>
        <w:pStyle w:val="NormalHanging12a"/>
      </w:pPr>
      <w:r w:rsidRPr="005359D4">
        <w:t>9.</w:t>
      </w:r>
      <w:r w:rsidRPr="005359D4">
        <w:tab/>
        <w:t xml:space="preserve">rõhutab, et palkade kohandamine mõjutab ka detsentraliseeritud asutusi, kellel on olnud raske toime tulla inflatsiooniga, mis ületab 2 % </w:t>
      </w:r>
      <w:proofErr w:type="spellStart"/>
      <w:r w:rsidRPr="005359D4">
        <w:t>deflaatorit</w:t>
      </w:r>
      <w:proofErr w:type="spellEnd"/>
      <w:r w:rsidRPr="005359D4">
        <w:t>, mille võrra nende aastaeelarvet suurendatakse, ning mis on erilised selle poolest, et nende personali- ja tegevuskulud moodustavad kogukuludest suure osa; väljendab heameelt selle üle, et asutused, kellel ei olnud võimalik vahendeid ümberpaigutamise teel leida, saavad liidult 1,7 % suurema toetussumma; kordab, et seda, kuidas detsentraliseeritud asutuste eelarveid p</w:t>
      </w:r>
      <w:r w:rsidR="006A6FAF" w:rsidRPr="005359D4">
        <w:t>raegu käsitletakse, tuleb 2027. </w:t>
      </w:r>
      <w:r w:rsidRPr="005359D4">
        <w:t>aasta järgse mitmeaastase finantsraamistiku vastuvõtmiseks komisjoni tehtavate ettevalmistuste käigus põhjalikumalt analüüsida;</w:t>
      </w:r>
    </w:p>
    <w:p w:rsidR="0004564C" w:rsidRPr="005359D4" w:rsidRDefault="0004564C" w:rsidP="0004564C">
      <w:pPr>
        <w:pStyle w:val="NormalHanging12a"/>
      </w:pPr>
      <w:r w:rsidRPr="005359D4">
        <w:t>10.</w:t>
      </w:r>
      <w:r w:rsidRPr="005359D4">
        <w:tab/>
        <w:t>võtab teadmiseks, et suurenenud kulude katmiseks on Vabadusel, Turvalisusel ja Õigusel Rajaneva Ala Suuremahuliste IT-süsteemide Operatiivjuhtimise Euroopa Liidu Ameti (eu-LISA) assigneeringuid suurendatud, kuid on mures selle pärast, et Euroopa Liidu Varjupaigaameti (EUAA) assigneeringuid on samavõrra vähendatud; peab kiiduväärseks, et EUAA-</w:t>
      </w:r>
      <w:proofErr w:type="spellStart"/>
      <w:r w:rsidRPr="005359D4">
        <w:t>le</w:t>
      </w:r>
      <w:proofErr w:type="spellEnd"/>
      <w:r w:rsidRPr="005359D4">
        <w:t xml:space="preserve"> anti mitmeaastase finantsraamistiku muutmisel vahendeid juurde, et tal oleks võimalik seoses rände- ja varjupaigaleppe rakendamisega uusi ülesandeid täita; kutsub komisjoni üles tegema mõlema ametiga tihedat koostööd </w:t>
      </w:r>
      <w:r w:rsidRPr="005359D4">
        <w:lastRenderedPageBreak/>
        <w:t>tagamaks, et neil oleks vahendid, mida nad vajavad uute ülesannete igakülgseks täitmiseks</w:t>
      </w:r>
      <w:r w:rsidR="006A6FAF" w:rsidRPr="005359D4">
        <w:t>,</w:t>
      </w:r>
      <w:r w:rsidRPr="005359D4">
        <w:t xml:space="preserve"> ja nad suudaksid neile eraldatud lisaassigneeringud ära kasutada;</w:t>
      </w:r>
    </w:p>
    <w:p w:rsidR="0004564C" w:rsidRPr="005359D4" w:rsidRDefault="0004564C" w:rsidP="0004564C">
      <w:pPr>
        <w:pStyle w:val="NormalHanging12a"/>
      </w:pPr>
      <w:r w:rsidRPr="005359D4">
        <w:t>11.</w:t>
      </w:r>
      <w:r w:rsidRPr="005359D4">
        <w:tab/>
        <w:t>väljendab heameelt selle üle, et Euroopa Liidu Õiguskaitsekoolituse</w:t>
      </w:r>
      <w:r w:rsidR="006A6FAF" w:rsidRPr="005359D4">
        <w:t xml:space="preserve"> Ametile (CEPOL) eraldati 2024. aastal pärast 2024. </w:t>
      </w:r>
      <w:r w:rsidRPr="005359D4">
        <w:t xml:space="preserve">aasta juunis ameti vastu toime pandud </w:t>
      </w:r>
      <w:proofErr w:type="spellStart"/>
      <w:r w:rsidRPr="005359D4">
        <w:t>küberrünnakut</w:t>
      </w:r>
      <w:proofErr w:type="spellEnd"/>
      <w:r w:rsidRPr="005359D4">
        <w:t xml:space="preserve"> lisaassigneeringud; rõhutab, et kuna </w:t>
      </w:r>
      <w:proofErr w:type="spellStart"/>
      <w:r w:rsidRPr="005359D4">
        <w:t>küberoht</w:t>
      </w:r>
      <w:proofErr w:type="spellEnd"/>
      <w:r w:rsidRPr="005359D4">
        <w:t xml:space="preserve"> on suur ja tuleb tagada, et ükski edasine rünnak ei seaks liidu ameteid ega institutsioone ohtu, peab liidu institutsioonide, organite ja asutuste küberturvalisuse teenistus (CERT-EU) jagama saadud õppetunde teiste ametite ja institutsioonidega ning and</w:t>
      </w:r>
      <w:r w:rsidR="006A6FAF" w:rsidRPr="005359D4">
        <w:t>ma neile rohkem tehnilist tuge;</w:t>
      </w:r>
    </w:p>
    <w:p w:rsidR="0004564C" w:rsidRPr="005359D4" w:rsidRDefault="0004564C" w:rsidP="0004564C">
      <w:pPr>
        <w:pStyle w:val="NormalHanging12a"/>
      </w:pPr>
      <w:r w:rsidRPr="005359D4">
        <w:t>12.</w:t>
      </w:r>
      <w:r w:rsidRPr="005359D4">
        <w:tab/>
        <w:t>rõhutab, et hiljuti asutatud Rahapesu ja Terrorismi Rahastamise Tõkestamise Ametil on läbivaadatud liidu tasandi rahapesuvastases raamistikus väga tähtis osa; on seetõttu väga mures, et ettevalmistusetapis on tekkinud viivitusi, ee</w:t>
      </w:r>
      <w:r w:rsidR="006A6FAF" w:rsidRPr="005359D4">
        <w:t>lkõige töötajate töölevõtmisel;</w:t>
      </w:r>
    </w:p>
    <w:p w:rsidR="0004564C" w:rsidRPr="005359D4" w:rsidRDefault="0004564C" w:rsidP="0004564C">
      <w:pPr>
        <w:pStyle w:val="NormalHanging12a"/>
      </w:pPr>
      <w:r w:rsidRPr="005359D4">
        <w:t>13.</w:t>
      </w:r>
      <w:r w:rsidRPr="005359D4">
        <w:tab/>
        <w:t>väljendab heameelt selle üle, et nüüdseks kehtima hakanud uuesti sõnastatud finantsmääruse kohaselt on võimalik kanda eelarvesse negatiivne tulu, millest kaetakse kaotatud kohtuasjade tagajärjel maksmisele kuuluvaid tasandusintresse; märgib, et komisjon teeb praegu kindlaks selliste intresside täpset summat, ja palub komisjonil esitada see teave eelarvepäde</w:t>
      </w:r>
      <w:r w:rsidR="006A6FAF" w:rsidRPr="005359D4">
        <w:t>vatele institutsioonidele 2025. aastal võimalikult vara;</w:t>
      </w:r>
    </w:p>
    <w:p w:rsidR="0004564C" w:rsidRPr="005359D4" w:rsidRDefault="0004564C" w:rsidP="0004564C">
      <w:pPr>
        <w:pStyle w:val="NormalHanging12a"/>
      </w:pPr>
      <w:r w:rsidRPr="005359D4">
        <w:t>14.</w:t>
      </w:r>
      <w:r w:rsidRPr="005359D4">
        <w:tab/>
        <w:t>kiidab nõukogu seisukoha paranduseelarve projekti nr 5/2024 kohta heaks;</w:t>
      </w:r>
    </w:p>
    <w:p w:rsidR="0004564C" w:rsidRPr="005359D4" w:rsidRDefault="0004564C" w:rsidP="0004564C">
      <w:pPr>
        <w:pStyle w:val="NormalHanging12a"/>
      </w:pPr>
      <w:r w:rsidRPr="005359D4">
        <w:t>15.</w:t>
      </w:r>
      <w:r w:rsidRPr="005359D4">
        <w:tab/>
        <w:t>teeb presidendile ülesande</w:t>
      </w:r>
      <w:r w:rsidR="006A6FAF" w:rsidRPr="005359D4">
        <w:t>ks kuulutada paranduseelarve nr </w:t>
      </w:r>
      <w:r w:rsidRPr="005359D4">
        <w:t xml:space="preserve">5/2024 lõplikult vastuvõetuks ja korraldada selle avaldamine </w:t>
      </w:r>
      <w:r w:rsidRPr="005359D4">
        <w:rPr>
          <w:i/>
        </w:rPr>
        <w:t>Euroopa Liidu Teatajas</w:t>
      </w:r>
      <w:r w:rsidRPr="005359D4">
        <w:t>;</w:t>
      </w:r>
    </w:p>
    <w:p w:rsidR="00E365E1" w:rsidRPr="005359D4" w:rsidRDefault="0004564C" w:rsidP="006A6FAF">
      <w:pPr>
        <w:pStyle w:val="NormalHanging12a"/>
      </w:pPr>
      <w:r w:rsidRPr="005359D4">
        <w:t>16.</w:t>
      </w:r>
      <w:r w:rsidRPr="005359D4">
        <w:tab/>
        <w:t>teeb presidendile ülesandeks edastada käesolev resolutsioon nõukogule, komisjonile ning liikmesriikide parlamentidele.</w:t>
      </w:r>
    </w:p>
    <w:sectPr w:rsidR="00E365E1" w:rsidRPr="005359D4" w:rsidSect="00BE4D3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4C4" w:rsidRPr="00BE4D32" w:rsidRDefault="005474C4">
      <w:r w:rsidRPr="00BE4D32">
        <w:separator/>
      </w:r>
    </w:p>
  </w:endnote>
  <w:endnote w:type="continuationSeparator" w:id="0">
    <w:p w:rsidR="005474C4" w:rsidRPr="00BE4D32" w:rsidRDefault="005474C4">
      <w:r w:rsidRPr="00BE4D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D3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D3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D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4C4" w:rsidRPr="00BE4D32" w:rsidRDefault="005474C4">
      <w:r w:rsidRPr="00BE4D32">
        <w:separator/>
      </w:r>
    </w:p>
  </w:footnote>
  <w:footnote w:type="continuationSeparator" w:id="0">
    <w:p w:rsidR="005474C4" w:rsidRPr="00BE4D32" w:rsidRDefault="005474C4">
      <w:r w:rsidRPr="00BE4D32">
        <w:continuationSeparator/>
      </w:r>
    </w:p>
  </w:footnote>
  <w:footnote w:id="1">
    <w:p w:rsidR="0004564C" w:rsidRPr="00BE4D32" w:rsidRDefault="0004564C" w:rsidP="00BE4D32">
      <w:pPr>
        <w:pStyle w:val="FootnoteText"/>
        <w:ind w:left="567" w:hanging="567"/>
        <w:rPr>
          <w:sz w:val="24"/>
          <w:lang w:val="et-EE"/>
        </w:rPr>
      </w:pPr>
      <w:r w:rsidRPr="00BE4D32">
        <w:rPr>
          <w:rStyle w:val="FootnoteReference"/>
          <w:sz w:val="24"/>
          <w:lang w:val="et-EE"/>
        </w:rPr>
        <w:footnoteRef/>
      </w:r>
      <w:r w:rsidR="00BE4D32" w:rsidRPr="00BE4D32">
        <w:rPr>
          <w:sz w:val="24"/>
          <w:lang w:val="et-EE"/>
        </w:rPr>
        <w:t xml:space="preserve"> </w:t>
      </w:r>
      <w:r w:rsidR="00BE4D32" w:rsidRPr="00BE4D32">
        <w:rPr>
          <w:sz w:val="24"/>
          <w:lang w:val="et-EE"/>
        </w:rPr>
        <w:tab/>
      </w:r>
      <w:r w:rsidR="006A6FAF">
        <w:rPr>
          <w:sz w:val="24"/>
          <w:lang w:val="et-EE"/>
        </w:rPr>
        <w:t>ELT </w:t>
      </w:r>
      <w:r w:rsidRPr="00BE4D32">
        <w:rPr>
          <w:sz w:val="24"/>
          <w:lang w:val="et-EE"/>
        </w:rPr>
        <w:t xml:space="preserve">L, 2024/2509, 26.9.2024, </w:t>
      </w:r>
      <w:r w:rsidR="006A6FAF">
        <w:rPr>
          <w:sz w:val="24"/>
          <w:lang w:val="et-EE"/>
        </w:rPr>
        <w:t>ELI: </w:t>
      </w:r>
      <w:hyperlink r:id="rId1" w:history="1">
        <w:r w:rsidRPr="00BE4D32">
          <w:rPr>
            <w:rStyle w:val="Hyperlink"/>
            <w:sz w:val="24"/>
            <w:lang w:val="et-EE"/>
          </w:rPr>
          <w:t>http://data.europa.eu/eli/reg/2024/2509/oj</w:t>
        </w:r>
      </w:hyperlink>
      <w:r w:rsidRPr="00BE4D32">
        <w:rPr>
          <w:sz w:val="24"/>
          <w:lang w:val="et-EE"/>
        </w:rPr>
        <w:t>.</w:t>
      </w:r>
    </w:p>
  </w:footnote>
  <w:footnote w:id="2">
    <w:p w:rsidR="0004564C" w:rsidRPr="00BE4D32" w:rsidRDefault="0004564C" w:rsidP="00BE4D32">
      <w:pPr>
        <w:pStyle w:val="FootnoteText"/>
        <w:ind w:left="567" w:hanging="567"/>
        <w:rPr>
          <w:sz w:val="24"/>
          <w:lang w:val="et-EE"/>
        </w:rPr>
      </w:pPr>
      <w:r w:rsidRPr="00BE4D32">
        <w:rPr>
          <w:rStyle w:val="FootnoteReference"/>
          <w:sz w:val="24"/>
          <w:lang w:val="et-EE"/>
        </w:rPr>
        <w:footnoteRef/>
      </w:r>
      <w:r w:rsidR="00BE4D32" w:rsidRPr="00BE4D32">
        <w:rPr>
          <w:sz w:val="24"/>
          <w:lang w:val="et-EE"/>
        </w:rPr>
        <w:t xml:space="preserve"> </w:t>
      </w:r>
      <w:r w:rsidR="00BE4D32" w:rsidRPr="00BE4D32">
        <w:rPr>
          <w:sz w:val="24"/>
          <w:lang w:val="et-EE"/>
        </w:rPr>
        <w:tab/>
      </w:r>
      <w:r w:rsidR="006A6FAF">
        <w:rPr>
          <w:sz w:val="24"/>
          <w:lang w:val="et-EE"/>
        </w:rPr>
        <w:t>ELT </w:t>
      </w:r>
      <w:r w:rsidRPr="00BE4D32">
        <w:rPr>
          <w:sz w:val="24"/>
          <w:lang w:val="et-EE"/>
        </w:rPr>
        <w:t>L, 2024/207, 22.2.2024, ELI:</w:t>
      </w:r>
      <w:r w:rsidR="006A6FAF">
        <w:rPr>
          <w:sz w:val="24"/>
          <w:lang w:val="et-EE"/>
        </w:rPr>
        <w:t> </w:t>
      </w:r>
      <w:hyperlink r:id="rId2" w:history="1">
        <w:r w:rsidRPr="00BE4D32">
          <w:rPr>
            <w:rStyle w:val="Hyperlink"/>
            <w:sz w:val="24"/>
            <w:lang w:val="et-EE"/>
          </w:rPr>
          <w:t>http://data.europa.eu/eli/budget/2024/207/oj</w:t>
        </w:r>
      </w:hyperlink>
      <w:r w:rsidRPr="00BE4D32">
        <w:rPr>
          <w:sz w:val="24"/>
          <w:lang w:val="et-EE"/>
        </w:rPr>
        <w:t>.</w:t>
      </w:r>
    </w:p>
  </w:footnote>
  <w:footnote w:id="3">
    <w:p w:rsidR="0004564C" w:rsidRPr="00BE4D32" w:rsidRDefault="0004564C" w:rsidP="00BE4D32">
      <w:pPr>
        <w:pStyle w:val="FootnoteText"/>
        <w:ind w:left="567" w:hanging="567"/>
        <w:rPr>
          <w:sz w:val="24"/>
          <w:lang w:val="et-EE"/>
        </w:rPr>
      </w:pPr>
      <w:r w:rsidRPr="00BE4D32">
        <w:rPr>
          <w:rStyle w:val="FootnoteReference"/>
          <w:sz w:val="24"/>
          <w:lang w:val="et-EE"/>
        </w:rPr>
        <w:footnoteRef/>
      </w:r>
      <w:r w:rsidR="00BE4D32" w:rsidRPr="00BE4D32">
        <w:rPr>
          <w:sz w:val="24"/>
          <w:lang w:val="et-EE"/>
        </w:rPr>
        <w:t xml:space="preserve"> </w:t>
      </w:r>
      <w:r w:rsidR="00BE4D32" w:rsidRPr="00BE4D32">
        <w:rPr>
          <w:sz w:val="24"/>
          <w:lang w:val="et-EE"/>
        </w:rPr>
        <w:tab/>
      </w:r>
      <w:r w:rsidR="006A6FAF">
        <w:rPr>
          <w:sz w:val="24"/>
          <w:lang w:val="et-EE"/>
        </w:rPr>
        <w:t>ELT L 433 I, 22.12.2020, lk </w:t>
      </w:r>
      <w:r w:rsidRPr="00BE4D32">
        <w:rPr>
          <w:sz w:val="24"/>
          <w:lang w:val="et-EE"/>
        </w:rPr>
        <w:t>11, ELI:</w:t>
      </w:r>
      <w:r w:rsidR="006A6FAF">
        <w:rPr>
          <w:sz w:val="24"/>
          <w:lang w:val="et-EE"/>
        </w:rPr>
        <w:t> </w:t>
      </w:r>
      <w:hyperlink r:id="rId3" w:history="1">
        <w:r w:rsidRPr="00BE4D32">
          <w:rPr>
            <w:rStyle w:val="Hyperlink"/>
            <w:sz w:val="24"/>
            <w:lang w:val="et-EE"/>
          </w:rPr>
          <w:t>http://data.europa.eu/eli/reg/2020/2093/oj</w:t>
        </w:r>
      </w:hyperlink>
      <w:r w:rsidRPr="00BE4D32">
        <w:rPr>
          <w:sz w:val="24"/>
          <w:lang w:val="et-EE"/>
        </w:rPr>
        <w:t>.</w:t>
      </w:r>
    </w:p>
  </w:footnote>
  <w:footnote w:id="4">
    <w:p w:rsidR="0004564C" w:rsidRPr="00BE4D32" w:rsidRDefault="0004564C" w:rsidP="00BE4D32">
      <w:pPr>
        <w:pStyle w:val="FootnoteText"/>
        <w:ind w:left="567" w:hanging="567"/>
        <w:rPr>
          <w:sz w:val="24"/>
          <w:lang w:val="et-EE"/>
        </w:rPr>
      </w:pPr>
      <w:r w:rsidRPr="00BE4D32">
        <w:rPr>
          <w:rStyle w:val="FootnoteReference"/>
          <w:sz w:val="24"/>
          <w:lang w:val="et-EE"/>
        </w:rPr>
        <w:footnoteRef/>
      </w:r>
      <w:r w:rsidR="00BE4D32" w:rsidRPr="00BE4D32">
        <w:rPr>
          <w:sz w:val="24"/>
          <w:lang w:val="et-EE"/>
        </w:rPr>
        <w:t xml:space="preserve"> </w:t>
      </w:r>
      <w:r w:rsidR="00BE4D32" w:rsidRPr="00BE4D32">
        <w:rPr>
          <w:sz w:val="24"/>
          <w:lang w:val="et-EE"/>
        </w:rPr>
        <w:tab/>
      </w:r>
      <w:r w:rsidR="006A6FAF">
        <w:rPr>
          <w:sz w:val="24"/>
          <w:lang w:val="et-EE"/>
        </w:rPr>
        <w:t>ELT L 433 I, 22.12.2020, lk </w:t>
      </w:r>
      <w:r w:rsidRPr="00BE4D32">
        <w:rPr>
          <w:sz w:val="24"/>
          <w:lang w:val="et-EE"/>
        </w:rPr>
        <w:t>28, ELI:</w:t>
      </w:r>
      <w:r w:rsidR="006A6FAF">
        <w:rPr>
          <w:sz w:val="24"/>
          <w:lang w:val="et-EE"/>
        </w:rPr>
        <w:t> </w:t>
      </w:r>
      <w:hyperlink r:id="rId4" w:history="1">
        <w:r w:rsidRPr="00BE4D32">
          <w:rPr>
            <w:rStyle w:val="Hyperlink"/>
            <w:sz w:val="24"/>
            <w:lang w:val="et-EE"/>
          </w:rPr>
          <w:t>http://data.europa.eu/eli/agree_interinstit/2020/1222/oj</w:t>
        </w:r>
      </w:hyperlink>
      <w:r w:rsidR="006A6FAF">
        <w:rPr>
          <w:rStyle w:val="Hyperlink"/>
          <w:sz w:val="24"/>
          <w:lang w:val="et-EE"/>
        </w:rPr>
        <w:t>.</w:t>
      </w:r>
    </w:p>
  </w:footnote>
  <w:footnote w:id="5">
    <w:p w:rsidR="0004564C" w:rsidRPr="00BE4D32" w:rsidRDefault="0004564C" w:rsidP="00BE4D32">
      <w:pPr>
        <w:pStyle w:val="FootnoteText"/>
        <w:ind w:left="567" w:hanging="567"/>
        <w:rPr>
          <w:sz w:val="24"/>
          <w:lang w:val="et-EE"/>
        </w:rPr>
      </w:pPr>
      <w:r w:rsidRPr="00BE4D32">
        <w:rPr>
          <w:rStyle w:val="FootnoteReference"/>
          <w:sz w:val="24"/>
          <w:lang w:val="et-EE"/>
        </w:rPr>
        <w:footnoteRef/>
      </w:r>
      <w:r w:rsidR="00BE4D32" w:rsidRPr="00BE4D32">
        <w:rPr>
          <w:sz w:val="24"/>
          <w:lang w:val="et-EE"/>
        </w:rPr>
        <w:t xml:space="preserve"> </w:t>
      </w:r>
      <w:r w:rsidR="00BE4D32" w:rsidRPr="00BE4D32">
        <w:rPr>
          <w:sz w:val="24"/>
          <w:lang w:val="et-EE"/>
        </w:rPr>
        <w:tab/>
      </w:r>
      <w:r w:rsidR="006A6FAF">
        <w:rPr>
          <w:sz w:val="24"/>
          <w:lang w:val="et-EE"/>
        </w:rPr>
        <w:t>ELT L 424, 15.12.2020, lk </w:t>
      </w:r>
      <w:r w:rsidRPr="00BE4D32">
        <w:rPr>
          <w:sz w:val="24"/>
          <w:lang w:val="et-EE"/>
        </w:rPr>
        <w:t>1, ELI:</w:t>
      </w:r>
      <w:r w:rsidR="006A6FAF">
        <w:rPr>
          <w:sz w:val="24"/>
          <w:lang w:val="et-EE"/>
        </w:rPr>
        <w:t> </w:t>
      </w:r>
      <w:hyperlink r:id="rId5" w:history="1">
        <w:r w:rsidRPr="00BE4D32">
          <w:rPr>
            <w:rStyle w:val="Hyperlink"/>
            <w:sz w:val="24"/>
            <w:lang w:val="et-EE"/>
          </w:rPr>
          <w:t>http://data.europa.eu/eli/dec/2020/2053/oj</w:t>
        </w:r>
      </w:hyperlink>
      <w:r w:rsidRPr="00BE4D32">
        <w:rPr>
          <w:sz w:val="24"/>
          <w:lang w:val="et-EE"/>
        </w:rPr>
        <w:t>.</w:t>
      </w:r>
    </w:p>
  </w:footnote>
  <w:footnote w:id="6">
    <w:p w:rsidR="0004564C" w:rsidRPr="00BE4D32" w:rsidRDefault="0004564C" w:rsidP="00BE4D32">
      <w:pPr>
        <w:pStyle w:val="FootnoteText"/>
        <w:ind w:left="567" w:hanging="567"/>
        <w:rPr>
          <w:sz w:val="24"/>
          <w:lang w:val="et-EE"/>
        </w:rPr>
      </w:pPr>
      <w:r w:rsidRPr="00BE4D32">
        <w:rPr>
          <w:rStyle w:val="FootnoteReference"/>
          <w:sz w:val="24"/>
          <w:lang w:val="et-EE"/>
        </w:rPr>
        <w:footnoteRef/>
      </w:r>
      <w:r w:rsidR="00BE4D32" w:rsidRPr="00BE4D32">
        <w:rPr>
          <w:sz w:val="24"/>
          <w:lang w:val="et-EE"/>
        </w:rPr>
        <w:t xml:space="preserve"> </w:t>
      </w:r>
      <w:r w:rsidR="00BE4D32" w:rsidRPr="00BE4D32">
        <w:rPr>
          <w:sz w:val="24"/>
          <w:lang w:val="et-EE"/>
        </w:rPr>
        <w:tab/>
      </w:r>
      <w:r w:rsidRPr="00BE4D32">
        <w:rPr>
          <w:sz w:val="24"/>
          <w:lang w:val="et-EE"/>
        </w:rPr>
        <w:t>Euroopa Parlamend</w:t>
      </w:r>
      <w:r w:rsidR="006A6FAF">
        <w:rPr>
          <w:sz w:val="24"/>
          <w:lang w:val="et-EE"/>
        </w:rPr>
        <w:t>i ja nõukogu 24. oktoobri 2024. </w:t>
      </w:r>
      <w:r w:rsidR="006A6FAF">
        <w:rPr>
          <w:sz w:val="24"/>
          <w:lang w:val="et-EE"/>
        </w:rPr>
        <w:t>aasta määrus (EL) </w:t>
      </w:r>
      <w:r w:rsidRPr="00BE4D32">
        <w:rPr>
          <w:sz w:val="24"/>
          <w:lang w:val="et-EE"/>
        </w:rPr>
        <w:t>2024/2773, millega luuakse Ukraina laenukoostöö mehhanism ja antakse Ukrainale erakorralist mak</w:t>
      </w:r>
      <w:r w:rsidR="006A6FAF">
        <w:rPr>
          <w:sz w:val="24"/>
          <w:lang w:val="et-EE"/>
        </w:rPr>
        <w:t>romajanduslikku finantsabi (ELT </w:t>
      </w:r>
      <w:r w:rsidRPr="00BE4D32">
        <w:rPr>
          <w:sz w:val="24"/>
          <w:lang w:val="et-EE"/>
        </w:rPr>
        <w:t>L, 2024/2773, 28.10.2024, ELI:</w:t>
      </w:r>
      <w:r w:rsidR="006A6FAF">
        <w:rPr>
          <w:sz w:val="24"/>
          <w:lang w:val="et-EE"/>
        </w:rPr>
        <w:t> </w:t>
      </w:r>
      <w:hyperlink r:id="rId6" w:history="1">
        <w:r w:rsidRPr="00BE4D32">
          <w:rPr>
            <w:rStyle w:val="Hyperlink"/>
            <w:sz w:val="24"/>
            <w:lang w:val="et-EE"/>
          </w:rPr>
          <w:t>http://data.europa.eu/eli/reg/2024/2773/oj</w:t>
        </w:r>
      </w:hyperlink>
      <w:r w:rsidR="006A6FAF">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D3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D3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D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4"/>
    <w:docVar w:name="dvlangue" w:val="ET"/>
    <w:docVar w:name="dvnumam" w:val="0"/>
    <w:docVar w:name="dvpe" w:val="765.136"/>
    <w:docVar w:name="dvrapporteur" w:val="Raportöör: "/>
    <w:docVar w:name="dvtitre" w:val="Euroopa Parlamendi .... 2024. aasta seadusandlik resolutsioon mis käsitleb nõukogu seisukohta Euroopa Liidu 2024. aasta üldeelarve paranduseelarve projekti nr 5/2024 kohta – maksete assigneeringute kohandamine, tulude ajakohastamine ja muud tehnilised ajakohastamised(14477/2024 – C10-0186/2024 – 2024/0252(BUD))"/>
  </w:docVars>
  <w:rsids>
    <w:rsidRoot w:val="005474C4"/>
    <w:rsid w:val="00002272"/>
    <w:rsid w:val="0004564C"/>
    <w:rsid w:val="00064002"/>
    <w:rsid w:val="000677B9"/>
    <w:rsid w:val="000831BA"/>
    <w:rsid w:val="000A42CC"/>
    <w:rsid w:val="000E7DD9"/>
    <w:rsid w:val="0010095E"/>
    <w:rsid w:val="0010299B"/>
    <w:rsid w:val="00125B37"/>
    <w:rsid w:val="00187494"/>
    <w:rsid w:val="001F32AE"/>
    <w:rsid w:val="002767FF"/>
    <w:rsid w:val="002B18FE"/>
    <w:rsid w:val="002B5493"/>
    <w:rsid w:val="00343214"/>
    <w:rsid w:val="00361C00"/>
    <w:rsid w:val="00395FA1"/>
    <w:rsid w:val="003B30A7"/>
    <w:rsid w:val="003E15D4"/>
    <w:rsid w:val="00411CCE"/>
    <w:rsid w:val="0041666E"/>
    <w:rsid w:val="00421060"/>
    <w:rsid w:val="00471C19"/>
    <w:rsid w:val="004867E3"/>
    <w:rsid w:val="00494A28"/>
    <w:rsid w:val="004C0004"/>
    <w:rsid w:val="004C5D52"/>
    <w:rsid w:val="0050519A"/>
    <w:rsid w:val="005072A1"/>
    <w:rsid w:val="00514517"/>
    <w:rsid w:val="005359D4"/>
    <w:rsid w:val="00545827"/>
    <w:rsid w:val="005474C4"/>
    <w:rsid w:val="00560270"/>
    <w:rsid w:val="005C2568"/>
    <w:rsid w:val="005F1B17"/>
    <w:rsid w:val="006037C0"/>
    <w:rsid w:val="006631B6"/>
    <w:rsid w:val="00680577"/>
    <w:rsid w:val="006A6FA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4D32"/>
    <w:rsid w:val="00BE6ADC"/>
    <w:rsid w:val="00C05BFE"/>
    <w:rsid w:val="00C23CD4"/>
    <w:rsid w:val="00C61C0C"/>
    <w:rsid w:val="00C941CB"/>
    <w:rsid w:val="00CC2357"/>
    <w:rsid w:val="00CF071A"/>
    <w:rsid w:val="00D058B8"/>
    <w:rsid w:val="00D56C11"/>
    <w:rsid w:val="00D834A0"/>
    <w:rsid w:val="00D86FE6"/>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4F0823"/>
  <w15:chartTrackingRefBased/>
  <w15:docId w15:val="{CB68645B-4176-4342-AA33-99C7A933E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4564C"/>
    <w:pPr>
      <w:spacing w:before="480" w:after="240"/>
    </w:pPr>
  </w:style>
  <w:style w:type="paragraph" w:customStyle="1" w:styleId="NormalHanging12a">
    <w:name w:val="NormalHanging12a"/>
    <w:basedOn w:val="Normal"/>
    <w:rsid w:val="0004564C"/>
    <w:pPr>
      <w:spacing w:after="240"/>
      <w:ind w:left="567" w:hanging="567"/>
    </w:pPr>
  </w:style>
  <w:style w:type="character" w:styleId="Hyperlink">
    <w:name w:val="Hyperlink"/>
    <w:basedOn w:val="DefaultParagraphFont"/>
    <w:uiPriority w:val="99"/>
    <w:rsid w:val="0004564C"/>
    <w:rPr>
      <w:color w:val="0563C1" w:themeColor="hyperlink"/>
      <w:u w:val="single"/>
    </w:rPr>
  </w:style>
  <w:style w:type="paragraph" w:styleId="BalloonText">
    <w:name w:val="Balloon Text"/>
    <w:basedOn w:val="Normal"/>
    <w:link w:val="BalloonTextChar"/>
    <w:rsid w:val="006A6FAF"/>
    <w:rPr>
      <w:rFonts w:ascii="Segoe UI" w:hAnsi="Segoe UI" w:cs="Segoe UI"/>
      <w:sz w:val="18"/>
      <w:szCs w:val="18"/>
    </w:rPr>
  </w:style>
  <w:style w:type="character" w:customStyle="1" w:styleId="BalloonTextChar">
    <w:name w:val="Balloon Text Char"/>
    <w:basedOn w:val="DefaultParagraphFont"/>
    <w:link w:val="BalloonText"/>
    <w:rsid w:val="006A6FAF"/>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4/207/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reg/2024/2773/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59034-736C-4F81-9CD2-3EF5C8FF7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1105</Words>
  <Characters>8204</Characters>
  <Application>Microsoft Office Word</Application>
  <DocSecurity>0</DocSecurity>
  <Lines>68</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2024-11-27T13:07:00Z</dcterms:created>
  <dcterms:modified xsi:type="dcterms:W3CDTF">2024-11-27T13:07:00Z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A10-0017/2024</vt:lpwstr>
  </property>
  <property fmtid="{D5CDD505-2E9C-101B-9397-08002B2CF9AE}" pid="4" name="&lt;Type&gt;">
    <vt:lpwstr>RR</vt:lpwstr>
  </property>
</Properties>
</file>