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4315" w:rsidTr="0010095E">
        <w:trPr>
          <w:trHeight w:hRule="exact" w:val="1418"/>
        </w:trPr>
        <w:tc>
          <w:tcPr>
            <w:tcW w:w="6804" w:type="dxa"/>
            <w:shd w:val="clear" w:color="auto" w:fill="auto"/>
            <w:vAlign w:val="center"/>
          </w:tcPr>
          <w:p w:rsidR="00751A4A" w:rsidRPr="00C24315" w:rsidRDefault="00991E7A" w:rsidP="0010095E">
            <w:pPr>
              <w:pStyle w:val="EPName"/>
            </w:pPr>
            <w:r w:rsidRPr="00C24315">
              <w:t>Euroopan parlamentti</w:t>
            </w:r>
          </w:p>
          <w:p w:rsidR="00751A4A" w:rsidRPr="00C24315" w:rsidRDefault="005F1B17" w:rsidP="005F1B17">
            <w:pPr>
              <w:pStyle w:val="EPTerm"/>
              <w:rPr>
                <w:rStyle w:val="HideTWBExt"/>
                <w:noProof w:val="0"/>
                <w:vanish w:val="0"/>
                <w:color w:val="auto"/>
              </w:rPr>
            </w:pPr>
            <w:r w:rsidRPr="00C24315">
              <w:t>2024</w:t>
            </w:r>
            <w:r w:rsidR="00817416" w:rsidRPr="00C24315">
              <w:t>-202</w:t>
            </w:r>
            <w:r w:rsidRPr="00C24315">
              <w:t>9</w:t>
            </w:r>
          </w:p>
        </w:tc>
        <w:tc>
          <w:tcPr>
            <w:tcW w:w="2268" w:type="dxa"/>
            <w:shd w:val="clear" w:color="auto" w:fill="auto"/>
          </w:tcPr>
          <w:p w:rsidR="00751A4A" w:rsidRPr="00C24315" w:rsidRDefault="00187494" w:rsidP="0010095E">
            <w:pPr>
              <w:pStyle w:val="EPLogo"/>
            </w:pPr>
            <w:r w:rsidRPr="00C24315">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4315" w:rsidRDefault="00D058B8" w:rsidP="004C5D52">
      <w:pPr>
        <w:pStyle w:val="LineTop"/>
      </w:pPr>
    </w:p>
    <w:p w:rsidR="00680577" w:rsidRPr="00C24315" w:rsidRDefault="00991E7A" w:rsidP="00680577">
      <w:pPr>
        <w:pStyle w:val="EPBodyTA1"/>
      </w:pPr>
      <w:r w:rsidRPr="00C24315">
        <w:t>HYVÄKSYTYT TEKSTIT</w:t>
      </w:r>
    </w:p>
    <w:p w:rsidR="00D058B8" w:rsidRPr="00C24315" w:rsidRDefault="00D058B8" w:rsidP="00D058B8">
      <w:pPr>
        <w:pStyle w:val="LineBottom"/>
      </w:pPr>
    </w:p>
    <w:p w:rsidR="00991E7A" w:rsidRPr="00C24315" w:rsidRDefault="00991E7A" w:rsidP="00991E7A">
      <w:pPr>
        <w:pStyle w:val="ATHeading1"/>
      </w:pPr>
      <w:bookmarkStart w:id="0" w:name="TANumber"/>
      <w:r w:rsidRPr="00C24315">
        <w:t>P10_</w:t>
      </w:r>
      <w:proofErr w:type="gramStart"/>
      <w:r w:rsidRPr="00C24315">
        <w:t>TA(</w:t>
      </w:r>
      <w:proofErr w:type="gramEnd"/>
      <w:r w:rsidRPr="00C24315">
        <w:t>2024)00</w:t>
      </w:r>
      <w:r w:rsidR="00EC1B14">
        <w:t>49</w:t>
      </w:r>
      <w:bookmarkEnd w:id="0"/>
    </w:p>
    <w:p w:rsidR="00991E7A" w:rsidRPr="00C24315" w:rsidRDefault="004B707F" w:rsidP="00991E7A">
      <w:pPr>
        <w:pStyle w:val="ATHeading2"/>
      </w:pPr>
      <w:bookmarkStart w:id="1" w:name="title"/>
      <w:r>
        <w:t>L</w:t>
      </w:r>
      <w:r w:rsidR="00991E7A" w:rsidRPr="00C24315">
        <w:t>isätalousarvio</w:t>
      </w:r>
      <w:r>
        <w:t>esitys</w:t>
      </w:r>
      <w:r w:rsidR="00991E7A" w:rsidRPr="00C24315">
        <w:t xml:space="preserve"> nro 5/2024</w:t>
      </w:r>
      <w:r>
        <w:t>: ma</w:t>
      </w:r>
      <w:r w:rsidR="00991E7A" w:rsidRPr="00C24315">
        <w:t>ksumäärärahojen mukauttaminen, tulojen päivittäminen ja muut tekniset päivitykset</w:t>
      </w:r>
      <w:bookmarkEnd w:id="1"/>
    </w:p>
    <w:p w:rsidR="00991E7A" w:rsidRPr="00C24315" w:rsidRDefault="00991E7A" w:rsidP="00991E7A">
      <w:pPr>
        <w:rPr>
          <w:i/>
          <w:vanish/>
        </w:rPr>
      </w:pPr>
      <w:r w:rsidRPr="00C24315">
        <w:rPr>
          <w:i/>
        </w:rPr>
        <w:fldChar w:fldCharType="begin"/>
      </w:r>
      <w:r w:rsidRPr="00C24315">
        <w:rPr>
          <w:i/>
        </w:rPr>
        <w:instrText xml:space="preserve"> TC"(</w:instrText>
      </w:r>
      <w:bookmarkStart w:id="2" w:name="DocNumber"/>
      <w:r w:rsidRPr="00C24315">
        <w:rPr>
          <w:i/>
        </w:rPr>
        <w:instrText>A10-0017/2024</w:instrText>
      </w:r>
      <w:bookmarkEnd w:id="2"/>
      <w:r w:rsidRPr="00C24315">
        <w:rPr>
          <w:i/>
        </w:rPr>
        <w:instrText xml:space="preserve"> - Esittelijä: Siegfried Mureşan)"\l3 \n&gt; \* MERGEFORMAT </w:instrText>
      </w:r>
      <w:r w:rsidRPr="00C24315">
        <w:rPr>
          <w:i/>
        </w:rPr>
        <w:fldChar w:fldCharType="end"/>
      </w:r>
    </w:p>
    <w:p w:rsidR="00991E7A" w:rsidRPr="00C24315" w:rsidRDefault="00991E7A" w:rsidP="00991E7A">
      <w:pPr>
        <w:rPr>
          <w:vanish/>
        </w:rPr>
      </w:pPr>
      <w:bookmarkStart w:id="3" w:name="Commission"/>
      <w:r w:rsidRPr="00C24315">
        <w:rPr>
          <w:vanish/>
        </w:rPr>
        <w:t>Budjettivaliokunta</w:t>
      </w:r>
      <w:bookmarkEnd w:id="3"/>
    </w:p>
    <w:p w:rsidR="00991E7A" w:rsidRPr="00C24315" w:rsidRDefault="00991E7A" w:rsidP="00991E7A">
      <w:pPr>
        <w:rPr>
          <w:vanish/>
        </w:rPr>
      </w:pPr>
      <w:bookmarkStart w:id="4" w:name="PE"/>
      <w:r w:rsidRPr="00C24315">
        <w:rPr>
          <w:vanish/>
        </w:rPr>
        <w:t>PE765.136</w:t>
      </w:r>
      <w:bookmarkEnd w:id="4"/>
    </w:p>
    <w:p w:rsidR="00991E7A" w:rsidRPr="00C24315" w:rsidRDefault="00991E7A" w:rsidP="00991E7A">
      <w:pPr>
        <w:pStyle w:val="ATHeading3"/>
      </w:pPr>
      <w:bookmarkStart w:id="5" w:name="Sujet"/>
      <w:r w:rsidRPr="00C24315">
        <w:t xml:space="preserve">Euroopan </w:t>
      </w:r>
      <w:r w:rsidRPr="00E55A6D">
        <w:t xml:space="preserve">parlamentin päätöslauselma </w:t>
      </w:r>
      <w:r w:rsidR="00235C05" w:rsidRPr="00E55A6D">
        <w:t>2</w:t>
      </w:r>
      <w:r w:rsidR="00235C05">
        <w:t>7</w:t>
      </w:r>
      <w:r w:rsidRPr="00E55A6D">
        <w:t>. marraskuuta</w:t>
      </w:r>
      <w:r w:rsidRPr="00C24315">
        <w:t xml:space="preserve"> 2024 neuvoston kannasta esitykseen Euroopan unionin lisätalousarvioksi nro 5/2024 varainhoitovuodeksi 2024 – Maksumäärärahojen mukauttaminen, tulojen päivittäminen ja muut tekniset päivitykset</w:t>
      </w:r>
      <w:bookmarkEnd w:id="5"/>
      <w:r w:rsidRPr="00C24315">
        <w:t xml:space="preserve"> </w:t>
      </w:r>
      <w:bookmarkStart w:id="6" w:name="References"/>
      <w:r w:rsidRPr="00C24315">
        <w:t>(14477/2024 – C10-0186/2024 – 2024/0252(BUD))</w:t>
      </w:r>
      <w:bookmarkEnd w:id="6"/>
    </w:p>
    <w:p w:rsidR="009A3B63" w:rsidRPr="00C24315" w:rsidRDefault="009A3B63" w:rsidP="009A3B63">
      <w:pPr>
        <w:pStyle w:val="EPComma"/>
        <w:widowControl/>
      </w:pPr>
      <w:bookmarkStart w:id="7" w:name="TextBodyBegin"/>
      <w:bookmarkEnd w:id="7"/>
      <w:r w:rsidRPr="00C24315">
        <w:rPr>
          <w:i/>
        </w:rPr>
        <w:t>Euroopan parlamentti,</w:t>
      </w:r>
      <w:r w:rsidRPr="00C24315">
        <w:t xml:space="preserve"> joka</w:t>
      </w:r>
      <w:bookmarkStart w:id="8" w:name="_GoBack"/>
      <w:bookmarkEnd w:id="8"/>
    </w:p>
    <w:p w:rsidR="009A3B63" w:rsidRPr="00C24315" w:rsidRDefault="009A3B63" w:rsidP="009A3B63">
      <w:pPr>
        <w:pStyle w:val="NormalHanging12a"/>
        <w:widowControl/>
      </w:pPr>
      <w:r w:rsidRPr="00C24315">
        <w:t>–</w:t>
      </w:r>
      <w:r w:rsidRPr="00C24315">
        <w:tab/>
        <w:t>ottaa huomioon Euroopan unionin toiminnasta tehdyn sopimuksen 314 artiklan,</w:t>
      </w:r>
    </w:p>
    <w:p w:rsidR="009A3B63" w:rsidRPr="00C24315" w:rsidRDefault="009A3B63" w:rsidP="009A3B63">
      <w:pPr>
        <w:pStyle w:val="NormalHanging12a"/>
        <w:widowControl/>
      </w:pPr>
      <w:r w:rsidRPr="00C24315">
        <w:t>–</w:t>
      </w:r>
      <w:r w:rsidRPr="00C24315">
        <w:tab/>
        <w:t>ottaa huomioon Euroopan atomienergiayhteisön perustamissopimuksen 106 A artiklan,</w:t>
      </w:r>
    </w:p>
    <w:p w:rsidR="009A3B63" w:rsidRPr="00C24315" w:rsidRDefault="009A3B63" w:rsidP="009A3B63">
      <w:pPr>
        <w:pStyle w:val="NormalHanging12a"/>
        <w:widowControl/>
      </w:pPr>
      <w:r w:rsidRPr="00C24315">
        <w:t>–</w:t>
      </w:r>
      <w:r w:rsidRPr="00C24315">
        <w:tab/>
        <w:t>ottaa huomioon unionin yleiseen talousarvioon sovellettavista varainhoitosäännöistä 23. syyskuuta 2024 annetun Euroopan parlamentin ja neuvoston asetuksen (EU, Euratom) 2024/2509</w:t>
      </w:r>
      <w:r w:rsidRPr="00C24315">
        <w:rPr>
          <w:rStyle w:val="FootnoteReference"/>
        </w:rPr>
        <w:footnoteReference w:id="1"/>
      </w:r>
      <w:r w:rsidRPr="00C24315">
        <w:t xml:space="preserve"> ja erityisesti sen 44 artiklan,</w:t>
      </w:r>
    </w:p>
    <w:p w:rsidR="009A3B63" w:rsidRPr="00C24315" w:rsidRDefault="009A3B63" w:rsidP="009A3B63">
      <w:pPr>
        <w:pStyle w:val="NormalHanging12a"/>
        <w:widowControl/>
      </w:pPr>
      <w:r w:rsidRPr="00C24315">
        <w:t>–</w:t>
      </w:r>
      <w:r w:rsidRPr="00C24315">
        <w:tab/>
        <w:t>ottaa huomioon 22. marraskuuta 2023 lopullisesti hyväksytyn Euroopan unionin yleisen talousarvion varainhoitovuodeksi 2024</w:t>
      </w:r>
      <w:r w:rsidRPr="00C24315">
        <w:rPr>
          <w:rStyle w:val="FootnoteReference"/>
        </w:rPr>
        <w:footnoteReference w:id="2"/>
      </w:r>
      <w:r w:rsidRPr="00C24315">
        <w:t>,</w:t>
      </w:r>
    </w:p>
    <w:p w:rsidR="009A3B63" w:rsidRPr="00C24315" w:rsidRDefault="009A3B63" w:rsidP="009A3B63">
      <w:pPr>
        <w:pStyle w:val="NormalHanging12a"/>
        <w:widowControl/>
      </w:pPr>
      <w:r w:rsidRPr="00C24315">
        <w:t>–</w:t>
      </w:r>
      <w:r w:rsidRPr="00C24315">
        <w:tab/>
        <w:t>ottaa huomioon vuosia 2021–2027 koskevan monivuotisen rahoituskehyksen vahvistamisesta 17. joulukuuta 2020 annetun neuvoston asetuksen (EU, Euratom) 2020/2093</w:t>
      </w:r>
      <w:r w:rsidRPr="00C24315">
        <w:rPr>
          <w:rStyle w:val="FootnoteReference"/>
        </w:rPr>
        <w:footnoteReference w:id="3"/>
      </w:r>
      <w:r w:rsidRPr="00C24315">
        <w:t>,</w:t>
      </w:r>
    </w:p>
    <w:p w:rsidR="009A3B63" w:rsidRPr="00C24315" w:rsidRDefault="009A3B63" w:rsidP="009A3B63">
      <w:pPr>
        <w:pStyle w:val="NormalHanging12a"/>
        <w:widowControl/>
      </w:pPr>
      <w:r w:rsidRPr="00C24315">
        <w:t>–</w:t>
      </w:r>
      <w:r w:rsidRPr="00C24315">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C24315">
        <w:rPr>
          <w:rStyle w:val="FootnoteReference"/>
        </w:rPr>
        <w:footnoteReference w:id="4"/>
      </w:r>
      <w:r w:rsidRPr="00C24315">
        <w:t>,</w:t>
      </w:r>
    </w:p>
    <w:p w:rsidR="009A3B63" w:rsidRPr="00C24315" w:rsidRDefault="009A3B63" w:rsidP="009A3B63">
      <w:pPr>
        <w:pStyle w:val="NormalHanging12a"/>
        <w:widowControl/>
      </w:pPr>
      <w:r w:rsidRPr="00C24315">
        <w:lastRenderedPageBreak/>
        <w:t>–</w:t>
      </w:r>
      <w:r w:rsidRPr="00C24315">
        <w:tab/>
        <w:t>ottaa huomioon Euroopan unionin omien varojen järjestelmästä ja päätöksen 2014/335/EU, Euratom kumoamisesta 14. joulukuuta 2020 annetun neuvoston päätöksen (EU, Euratom) 2020/2053</w:t>
      </w:r>
      <w:r w:rsidRPr="00C24315">
        <w:rPr>
          <w:rStyle w:val="FootnoteReference"/>
        </w:rPr>
        <w:footnoteReference w:id="5"/>
      </w:r>
      <w:r w:rsidRPr="00C24315">
        <w:t>,</w:t>
      </w:r>
    </w:p>
    <w:p w:rsidR="009A3B63" w:rsidRPr="00C24315" w:rsidRDefault="009A3B63" w:rsidP="009A3B63">
      <w:pPr>
        <w:pStyle w:val="NormalHanging12a"/>
        <w:widowControl/>
      </w:pPr>
      <w:r w:rsidRPr="00C24315">
        <w:t>–</w:t>
      </w:r>
      <w:r w:rsidRPr="00C24315">
        <w:tab/>
        <w:t>ottaa huomioon komission 10. lokakuuta 2024 antaman esityksen lisätalousarvioksi nro 5/2024 (</w:t>
      </w:r>
      <w:proofErr w:type="gramStart"/>
      <w:r w:rsidRPr="00C24315">
        <w:t>COM(</w:t>
      </w:r>
      <w:proofErr w:type="gramEnd"/>
      <w:r w:rsidRPr="00C24315">
        <w:t>2024)0650),</w:t>
      </w:r>
    </w:p>
    <w:p w:rsidR="009A3B63" w:rsidRPr="00C24315" w:rsidRDefault="009A3B63" w:rsidP="009A3B63">
      <w:pPr>
        <w:pStyle w:val="NormalHanging12a"/>
        <w:widowControl/>
      </w:pPr>
      <w:r w:rsidRPr="00C24315">
        <w:t>–</w:t>
      </w:r>
      <w:r w:rsidRPr="00C24315">
        <w:tab/>
        <w:t>ottaa huomioon neuvoston 5. marraskuuta 2024 vahvistaman ja 12. marraskuuta 2024 parlamentille toimittaman kannan esitykseen lisätalousarvioksi nro 5/2024 (14477/2024 – C10-0186/2024),</w:t>
      </w:r>
    </w:p>
    <w:p w:rsidR="009A3B63" w:rsidRPr="00C24315" w:rsidRDefault="009A3B63" w:rsidP="009A3B63">
      <w:pPr>
        <w:pStyle w:val="NormalHanging12a"/>
        <w:widowControl/>
      </w:pPr>
      <w:r w:rsidRPr="00C24315">
        <w:t>–</w:t>
      </w:r>
      <w:r w:rsidRPr="00C24315">
        <w:tab/>
        <w:t>ottaa huomioon työjärjestyksen 96 ja 98 artiklan,</w:t>
      </w:r>
    </w:p>
    <w:p w:rsidR="009A3B63" w:rsidRPr="00C24315" w:rsidRDefault="009A3B63" w:rsidP="009A3B63">
      <w:pPr>
        <w:pStyle w:val="NormalHanging12a"/>
        <w:widowControl/>
      </w:pPr>
      <w:r w:rsidRPr="00C24315">
        <w:t>–</w:t>
      </w:r>
      <w:r w:rsidRPr="00C24315">
        <w:tab/>
        <w:t>ottaa huomioon budjettivaliokunnan mietinnön (A10-0017/2024),</w:t>
      </w:r>
    </w:p>
    <w:p w:rsidR="009A3B63" w:rsidRPr="00C24315" w:rsidRDefault="009A3B63" w:rsidP="009A3B63">
      <w:pPr>
        <w:pStyle w:val="NormalHanging12a"/>
        <w:widowControl/>
      </w:pPr>
      <w:r w:rsidRPr="00C24315">
        <w:t>A.</w:t>
      </w:r>
      <w:r w:rsidRPr="00C24315">
        <w:tab/>
        <w:t>toteaa, että lisätalousarvioesityksen nro 5/2024 tarkoituksena on mukauttaa unionin talousarvion menoja erityisesti maksumäärärahojen osalta ja päivittää sen tuloja;</w:t>
      </w:r>
    </w:p>
    <w:p w:rsidR="009A3B63" w:rsidRPr="00C24315" w:rsidRDefault="009A3B63" w:rsidP="009A3B63">
      <w:pPr>
        <w:pStyle w:val="NormalHanging12a"/>
        <w:widowControl/>
      </w:pPr>
      <w:r w:rsidRPr="00C24315">
        <w:t>B.</w:t>
      </w:r>
      <w:r w:rsidRPr="00C24315">
        <w:tab/>
        <w:t>ottaa huomioon, että menojen osalta lisätalousarvioesitys nro 5/2024 merkitsee maksusitoumusmäärärahoihin 44,5 miljoonan euron ja maksumäärärahoihin 2,95 miljardin euron nettolisäystä; toteaa, että koska monivuotisen rahoituskehyksen otsakkeissa 2 b, 5 ja 7 ei ole liikkumavaraa, joustovälineestä ehdotetaan otettavaksi käyttöön 7,2 miljoonan euron ja yhden ainoan liikkumavaravälineen osiosta a 68,5 miljoonan euron lisämäärärahat;</w:t>
      </w:r>
    </w:p>
    <w:p w:rsidR="009A3B63" w:rsidRPr="00C24315" w:rsidRDefault="009A3B63" w:rsidP="009A3B63">
      <w:pPr>
        <w:pStyle w:val="NormalHanging12a"/>
        <w:widowControl/>
      </w:pPr>
      <w:r w:rsidRPr="00C24315">
        <w:t>C.</w:t>
      </w:r>
      <w:r w:rsidRPr="00C24315">
        <w:tab/>
        <w:t>toteaa, että lisätalousarvioesityksellä nro 5/2024 sisällytetään vuoden 2024 talousarvioon tulopuolella lopullisia sakkoja ja uhkasakkoja, jotka on maksettu vuoden 2024 lokakuuhun mennessä ja joiden kokonaisarvo on 2,82 miljardia euroa, jolloin BKTL-maksuosuuksiin tarvitaan 139,9 miljoonan euron lisäys maksutarpeiden kattamiseksi;</w:t>
      </w:r>
    </w:p>
    <w:p w:rsidR="009A3B63" w:rsidRPr="00C24315" w:rsidRDefault="009A3B63" w:rsidP="009A3B63">
      <w:pPr>
        <w:pStyle w:val="NormalHanging12a"/>
        <w:widowControl/>
      </w:pPr>
      <w:r w:rsidRPr="00C24315">
        <w:t>D.</w:t>
      </w:r>
      <w:r w:rsidRPr="00C24315">
        <w:tab/>
        <w:t>toteaa, että lisätalousarvioesityksellä nro 5/2024 otetaan käyttöön uusia Ukrainan lainayhteistyömekanismia koskevia tulo- ja menopuolen budjettikohtia ja että lainayhteistyömekanismissa tukea on tarkoitus antaa lainoina, joita hoidetaan ja maksetaan takaisin pysäytetyistä Venäjän valtion varoista saatavilla tulevilla tuottojen virroilla;</w:t>
      </w:r>
    </w:p>
    <w:p w:rsidR="009A3B63" w:rsidRPr="00C24315" w:rsidRDefault="009A3B63" w:rsidP="009A3B63">
      <w:pPr>
        <w:pStyle w:val="NormalHanging12a"/>
        <w:widowControl/>
      </w:pPr>
      <w:r w:rsidRPr="00C24315">
        <w:t>1.</w:t>
      </w:r>
      <w:r w:rsidRPr="00C24315">
        <w:tab/>
        <w:t>panee merkille komission esityksen lisätalousarvioksi nro 5/2024;</w:t>
      </w:r>
    </w:p>
    <w:p w:rsidR="009A3B63" w:rsidRPr="00C24315" w:rsidRDefault="009A3B63" w:rsidP="009A3B63">
      <w:pPr>
        <w:pStyle w:val="NormalHanging12a"/>
        <w:widowControl/>
      </w:pPr>
      <w:r w:rsidRPr="00C24315">
        <w:t>2.</w:t>
      </w:r>
      <w:r w:rsidRPr="00C24315">
        <w:tab/>
        <w:t xml:space="preserve">pitää myönteisinä Euroopan aluekehitysrahaston (EAKR) kasvavia maksutarpeita sekä kokonaismäärärahasiirrossa (DEC 11/24) yhteisen maatalouspolitiikan kasvavia maksutarpeita, jotka osoittavat, että ohjelmien täytäntöönpano on pääsemässä vauhtiin kauden 2021–2027 huolestuttavan hitaan alun jälkeen; </w:t>
      </w:r>
    </w:p>
    <w:p w:rsidR="009A3B63" w:rsidRPr="00C24315" w:rsidRDefault="009A3B63" w:rsidP="009A3B63">
      <w:pPr>
        <w:pStyle w:val="NormalHanging12a"/>
        <w:widowControl/>
      </w:pPr>
      <w:r w:rsidRPr="00C24315">
        <w:t>3.</w:t>
      </w:r>
      <w:r w:rsidRPr="00C24315">
        <w:tab/>
        <w:t xml:space="preserve">panee tyytyväisenä merkille, että Euroopan strategisten teknologioiden kehysvälineen (STEP) myötä sääntöihin tehdyillä muutoksilla, jotka koskevat poikkeuksellista ennakkomaksua ja vapaaehtoista 100 prosentin osarahoitusosuutta, on ollut myönteistä vaikutusta Euroopan aluekehitysrahaston täytäntöönpanoon, koska jäsenvaltiot käyttävät varoja STEP-tavoitteiden saavuttamiseen; katsoo lisäksi, että maksujen </w:t>
      </w:r>
      <w:r w:rsidRPr="00C24315">
        <w:lastRenderedPageBreak/>
        <w:t>lisääntymisen vuonna 2024 pitäisi vähentää maksuihin vuosina 2025–2027 kohdistuvaa painetta;</w:t>
      </w:r>
    </w:p>
    <w:p w:rsidR="009A3B63" w:rsidRPr="00C24315" w:rsidRDefault="009A3B63" w:rsidP="009A3B63">
      <w:pPr>
        <w:pStyle w:val="NormalHanging12a"/>
        <w:widowControl/>
      </w:pPr>
      <w:r w:rsidRPr="00C24315">
        <w:t>4.</w:t>
      </w:r>
      <w:r w:rsidRPr="00C24315">
        <w:tab/>
        <w:t>toteaa, että kasvavat maksutarpeet katetaan lähestulkoon kokonaan sakoista ja uhkasakoista saatavilla tuloilla ja erityisesti Googlelle kilpailusääntöjen rikkomisen johdosta määrätystä 2,4 miljardin euron sakosta saatavilla tuloilla;</w:t>
      </w:r>
    </w:p>
    <w:p w:rsidR="009A3B63" w:rsidRPr="00C24315" w:rsidRDefault="009A3B63" w:rsidP="009A3B63">
      <w:pPr>
        <w:pStyle w:val="NormalHanging12a"/>
        <w:widowControl/>
      </w:pPr>
      <w:r w:rsidRPr="00C24315">
        <w:t>5.</w:t>
      </w:r>
      <w:r w:rsidRPr="00C24315">
        <w:tab/>
        <w:t>toistaa, että unionin talousarvioon tarvitaan pitkän aikavälin kestäviä tuloja, sillä talousarvion varat ovat käymässä vähiin, kun viime vuosina on jouduttu vastaamaan erilaisiin kriiseihin; pitää siksi valitettavana, ettei neuvosto ole edennyt omien varojen järjestelmän uudistamisessa toimielinten väliseen sopimukseen sisältyvän etenemissuunnitelman mukaisesti; palauttaa mieliin kantansa, jonka mukaan se tukee komission muutettuja ehdotuksia, ja kehottaa neuvostoa ja jäsenvaltioita hyväksymään kyseiset ehdotukset pikaisesti, jotta unionin talousarviota varten käytettävissä olevia omia varoja voidaan lisätä; palauttaa mieliin pitkäaikaisen kantansa, jonka mukaan sakkoja ja maksuja olisi käytettävä unionin talousarvion lisätuloina;</w:t>
      </w:r>
    </w:p>
    <w:p w:rsidR="009A3B63" w:rsidRPr="00C24315" w:rsidRDefault="009A3B63" w:rsidP="009A3B63">
      <w:pPr>
        <w:pStyle w:val="NormalHanging12a"/>
        <w:widowControl/>
      </w:pPr>
      <w:r w:rsidRPr="00C24315">
        <w:t>6.</w:t>
      </w:r>
      <w:r w:rsidRPr="00C24315">
        <w:tab/>
        <w:t xml:space="preserve">on tyytyväinen, että on otettu käyttöön Ukrainan lainayhteistyömekanismia koskevia tulo- ja menopuolen budjettikohtia; pitää tärkeänä, että Ukrainalle annetaan jatkuvaa taloudellista tukea tilanteessa, jossa Ukrainan tukivälineestä annettavalla rahoituksella ja olemassa olevan makrotaloudellisen rahoitusavun toimilla ei pystytä kattamaan kaikkia tarpeita; </w:t>
      </w:r>
    </w:p>
    <w:p w:rsidR="009A3B63" w:rsidRPr="00C24315" w:rsidRDefault="009A3B63" w:rsidP="009A3B63">
      <w:pPr>
        <w:pStyle w:val="NormalHanging12a"/>
        <w:widowControl/>
      </w:pPr>
      <w:r w:rsidRPr="00C24315">
        <w:t>7.</w:t>
      </w:r>
      <w:r w:rsidRPr="00C24315">
        <w:tab/>
        <w:t xml:space="preserve">muistuttaa, että makrotaloudellisesta rahoitusavusta myönnettävät lisälainat katetaan talousarvion tarjoamalla liikkumavaralla, ja kehottaa jälleen komissiota toimittamaan budjettivallan käyttäjälle yksityiskohtaiset tiedot sellaisten velkojen yhdistämisestä liikkumavaraan, jotka ovat lainanotto- ja lainanantotoimien perusteella ehdollisia; odottaa, että komissio antaa parlamentille ja neuvostolle kaikki tarvittavat tiedot </w:t>
      </w:r>
      <w:r w:rsidRPr="004B707F">
        <w:t>Euroopan parlamentin ja neuvoston asetuksen (EU) 2024/2773</w:t>
      </w:r>
      <w:r w:rsidRPr="004B707F">
        <w:rPr>
          <w:rStyle w:val="FootnoteReference"/>
        </w:rPr>
        <w:footnoteReference w:id="6"/>
      </w:r>
      <w:r w:rsidRPr="004B707F">
        <w:t xml:space="preserve"> liitteenä olevan selvityksensä mukaisesti</w:t>
      </w:r>
      <w:r w:rsidRPr="00C24315">
        <w:t>;</w:t>
      </w:r>
    </w:p>
    <w:p w:rsidR="009A3B63" w:rsidRPr="00C24315" w:rsidRDefault="009A3B63" w:rsidP="009A3B63">
      <w:pPr>
        <w:pStyle w:val="NormalHanging12a"/>
        <w:widowControl/>
      </w:pPr>
      <w:r w:rsidRPr="00C24315">
        <w:t>8.</w:t>
      </w:r>
      <w:r w:rsidRPr="00C24315">
        <w:tab/>
        <w:t>panee merkille vuoden 2024 osalta budjetoitua suuremman palkkojen tarkistuksen, jolla on vaikutusta sekä palkkoihin että eläkkeisiin, sekä sen, että vuonna 2024 eläkkeelle jäävien määrä on ennakoitua suurempi, mikä entisestään lisää eläkekuluja; pitää myönteisenä, että lähestulkoon kaikki lisäkustannukset eri toimielimissä katetaan sisäisillä uudelleenkohdentamisilla ja että näin ollen yhtä ainoaa liikkumavaravälinettä käytetään vain rajoitetusti;</w:t>
      </w:r>
    </w:p>
    <w:p w:rsidR="009A3B63" w:rsidRPr="00C24315" w:rsidRDefault="009A3B63" w:rsidP="009A3B63">
      <w:pPr>
        <w:pStyle w:val="NormalHanging12a"/>
        <w:widowControl/>
      </w:pPr>
      <w:r w:rsidRPr="00C24315">
        <w:t>9.</w:t>
      </w:r>
      <w:r w:rsidRPr="00C24315">
        <w:tab/>
        <w:t xml:space="preserve">korostaa, että palkkojen tarkistaminen vaikuttaa myös erillisvirastoihin, joille kahden prosentin </w:t>
      </w:r>
      <w:proofErr w:type="spellStart"/>
      <w:r w:rsidRPr="00C24315">
        <w:t>deflaattoria</w:t>
      </w:r>
      <w:proofErr w:type="spellEnd"/>
      <w:r w:rsidRPr="00C24315">
        <w:t xml:space="preserve"> korkeampi inflaatio on tuottanut ongelmia, sillä sen johdosta niiden vuotuinen talousarvio on korkeampi ja koska henkilöstö- ja hallintokulut muodostavat merkittävän osan niiden menoista; pitää myönteisenä, että EU:n rahoitusosuutta niille virastoille, jotka eivät ole pystyneet löytämään tarvittavia resursseja sisäisillä uudelleenkohdentamisilla, korotetaan 1,7 prosenttia; toteaa jälleen, että nykyistä tapaa käsitellä erillisvirastojen talousarvioita on pohdittava tarkemmin komission valmistellessa vuoden 2027 jälkeistä monivuotista rahoituskehystä;</w:t>
      </w:r>
    </w:p>
    <w:p w:rsidR="009A3B63" w:rsidRPr="00C24315" w:rsidRDefault="009A3B63" w:rsidP="009A3B63">
      <w:pPr>
        <w:pStyle w:val="NormalHanging12a"/>
        <w:widowControl/>
      </w:pPr>
      <w:r w:rsidRPr="00C24315">
        <w:lastRenderedPageBreak/>
        <w:t>10.</w:t>
      </w:r>
      <w:r w:rsidRPr="00C24315">
        <w:tab/>
        <w:t>panee merkille, että vapauden, turvallisuuden ja oikeuden alueen laaja-alaisten tietojärjestelmien operatiivisesta hallinnoinnista vastaavan Euroopan unionin viraston (eu-LISA) määrärahoja on lisätty kohonneiden kustannusten kattamiseksi, ja on huolissaan siitä, että Euroopan unionin turvapaikkaviraston (EUAA) määrärahoja on vastaavasti vähennetty; pitää myönteisenä, että Euroopan unionin turvapaikkaviraston määrärahoja lisättiin monivuotisen rahoituskehyksen väliarvioinnissa, jotta se voi hoitaa muuttoliike- ja turvapaikkasopimuksen täytäntöönpanoon liittyvät uudet tehtävänsä; kehottaa komissiota tekemään tiivistä yhteistyötä kummankin viraston kanssa sen varmistamiseksi, että niillä on valmiudet hoitaa tehtävänsä kaikilta osin ja ottaa niille kohdennetut lisämäärärahat käyttöön;</w:t>
      </w:r>
    </w:p>
    <w:p w:rsidR="009A3B63" w:rsidRPr="00C24315" w:rsidRDefault="009A3B63" w:rsidP="009A3B63">
      <w:pPr>
        <w:pStyle w:val="NormalHanging12a"/>
        <w:widowControl/>
      </w:pPr>
      <w:r w:rsidRPr="00C24315">
        <w:t>11.</w:t>
      </w:r>
      <w:r w:rsidRPr="00C24315">
        <w:tab/>
        <w:t xml:space="preserve">on tyytyväinen, että Euroopan unionin lainvalvontakoulutusviraston (CEPOL) määrärahoja on lisätty vuonna 2024 kesäkuussa virastoon kohdistetun kyberhyökkäyksen johdosta; toteaa, että tapahtuneesta olisi otettava opiksi ja että unionin toimielinten, elinten, toimistojen ja virastojen kyberturvallisuuspalvelun (CERT-EU) olisi annettava muille virastoille ja toimielimille teknistä lisätukea, kun otetaan huomioon korkea kyberturvallisuuden uhkataso ja jotta voidaan varmistaa, ettei uusi hyökkäys vaaranna unionin virastoja tai toimielimiä; </w:t>
      </w:r>
    </w:p>
    <w:p w:rsidR="009A3B63" w:rsidRPr="00C24315" w:rsidRDefault="009A3B63" w:rsidP="009A3B63">
      <w:pPr>
        <w:pStyle w:val="NormalHanging12a"/>
        <w:widowControl/>
      </w:pPr>
      <w:r w:rsidRPr="00C24315">
        <w:t>12.</w:t>
      </w:r>
      <w:r w:rsidRPr="00C24315">
        <w:tab/>
        <w:t xml:space="preserve">korostaa vastikään perustetun rahanpesuntorjuntaviranomaisen merkitystä EU:n tarkistetussa rahanpesun torjuntakehyksessä; toteaa näin ollen olevansa erittäin huolissaan sen perustamisvaiheen ja erityisesti rekrytointiin liittyvistä viivästyksistä; </w:t>
      </w:r>
    </w:p>
    <w:p w:rsidR="009A3B63" w:rsidRPr="00C24315" w:rsidRDefault="009A3B63" w:rsidP="009A3B63">
      <w:pPr>
        <w:pStyle w:val="NormalHanging12a"/>
        <w:widowControl/>
      </w:pPr>
      <w:r w:rsidRPr="00C24315">
        <w:t>13.</w:t>
      </w:r>
      <w:r w:rsidRPr="00C24315">
        <w:tab/>
        <w:t xml:space="preserve">on tyytyväinen, että uudelleenlaaditun varainhoitoasetuksen tultua voimaan negatiiviset tulot voidaan sisällyttää talousarvioon hyvityskorkojen maksamiseksi hävityissä oikeustapauksissa; panee merkille, että komissio on parhaillaan määrittämässä näiden korkojen tarkkaa määrää, ja kehottaa komissiota toimittamaan tiedon budjettivallan käyttäjälle mahdollisimman pian vuonna 2025; </w:t>
      </w:r>
    </w:p>
    <w:p w:rsidR="009A3B63" w:rsidRPr="00C24315" w:rsidRDefault="009A3B63" w:rsidP="009A3B63">
      <w:pPr>
        <w:pStyle w:val="NormalHanging12a"/>
        <w:widowControl/>
      </w:pPr>
      <w:r w:rsidRPr="00C24315">
        <w:t>14.</w:t>
      </w:r>
      <w:r w:rsidRPr="00C24315">
        <w:tab/>
        <w:t>hyväksyy neuvoston kannan esitykseen lisätalousarvioksi nro 5/2024;</w:t>
      </w:r>
    </w:p>
    <w:p w:rsidR="009A3B63" w:rsidRPr="00C24315" w:rsidRDefault="009A3B63" w:rsidP="009A3B63">
      <w:pPr>
        <w:pStyle w:val="NormalHanging12a"/>
        <w:widowControl/>
      </w:pPr>
      <w:r w:rsidRPr="00C24315">
        <w:t>15.</w:t>
      </w:r>
      <w:r w:rsidRPr="00C24315">
        <w:tab/>
        <w:t xml:space="preserve">kehottaa puhemiestä toteamaan lisätalousarvion nro 5/2024 lopullisesti hyväksytyksi ja huolehtimaan sen julkaisemisesta </w:t>
      </w:r>
      <w:r w:rsidRPr="00C24315">
        <w:rPr>
          <w:i/>
        </w:rPr>
        <w:t>Euroopan unionin virallisessa lehdessä</w:t>
      </w:r>
      <w:r w:rsidRPr="00C24315">
        <w:t>;</w:t>
      </w:r>
    </w:p>
    <w:p w:rsidR="00E365E1" w:rsidRPr="00C24315" w:rsidRDefault="009A3B63" w:rsidP="004B707F">
      <w:pPr>
        <w:widowControl/>
        <w:spacing w:after="240"/>
        <w:ind w:left="567" w:hanging="567"/>
      </w:pPr>
      <w:r w:rsidRPr="00C24315">
        <w:t>16.</w:t>
      </w:r>
      <w:r w:rsidRPr="00C24315">
        <w:tab/>
        <w:t>kehottaa puhemiestä välittämään tämän päätöslauselman neuvostolle ja komissiolle sekä kansallisille parlamenteille.</w:t>
      </w:r>
    </w:p>
    <w:sectPr w:rsidR="00E365E1" w:rsidRPr="00C24315" w:rsidSect="00C243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E7A" w:rsidRPr="00C24315" w:rsidRDefault="00991E7A">
      <w:r w:rsidRPr="00C24315">
        <w:separator/>
      </w:r>
    </w:p>
  </w:endnote>
  <w:endnote w:type="continuationSeparator" w:id="0">
    <w:p w:rsidR="00991E7A" w:rsidRPr="00C24315" w:rsidRDefault="00991E7A">
      <w:r w:rsidRPr="00C243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E7A" w:rsidRPr="00C24315" w:rsidRDefault="00991E7A">
      <w:r w:rsidRPr="00C24315">
        <w:separator/>
      </w:r>
    </w:p>
  </w:footnote>
  <w:footnote w:type="continuationSeparator" w:id="0">
    <w:p w:rsidR="00991E7A" w:rsidRPr="00C24315" w:rsidRDefault="00991E7A">
      <w:r w:rsidRPr="00C24315">
        <w:continuationSeparator/>
      </w:r>
    </w:p>
  </w:footnote>
  <w:footnote w:id="1">
    <w:p w:rsidR="009A3B63" w:rsidRPr="00C24315" w:rsidRDefault="009A3B63" w:rsidP="00C24315">
      <w:pPr>
        <w:pStyle w:val="FootnoteText"/>
        <w:ind w:left="567" w:hanging="567"/>
        <w:rPr>
          <w:sz w:val="24"/>
          <w:lang w:val="fi-FI"/>
        </w:rPr>
      </w:pPr>
      <w:r w:rsidRPr="00C24315">
        <w:rPr>
          <w:rStyle w:val="FootnoteReference"/>
          <w:sz w:val="24"/>
          <w:lang w:val="fi-FI"/>
        </w:rPr>
        <w:footnoteRef/>
      </w:r>
      <w:r w:rsidR="00C24315" w:rsidRPr="00C24315">
        <w:rPr>
          <w:sz w:val="24"/>
          <w:lang w:val="fi-FI"/>
        </w:rPr>
        <w:t xml:space="preserve"> </w:t>
      </w:r>
      <w:r w:rsidR="00C24315" w:rsidRPr="00C24315">
        <w:rPr>
          <w:sz w:val="24"/>
          <w:lang w:val="fi-FI"/>
        </w:rPr>
        <w:tab/>
      </w:r>
      <w:r w:rsidRPr="00C24315">
        <w:rPr>
          <w:sz w:val="24"/>
          <w:lang w:val="fi-FI"/>
        </w:rPr>
        <w:t xml:space="preserve">EUVL L, 2024/2509, 26.9.2024, ELI: </w:t>
      </w:r>
      <w:hyperlink r:id="rId1" w:history="1">
        <w:r w:rsidRPr="00C24315">
          <w:rPr>
            <w:rStyle w:val="Hyperlink"/>
            <w:sz w:val="24"/>
            <w:lang w:val="fi-FI"/>
          </w:rPr>
          <w:t>http://data.europa.eu/eli/reg/2024/2509/oj</w:t>
        </w:r>
      </w:hyperlink>
      <w:r w:rsidRPr="00C24315">
        <w:rPr>
          <w:sz w:val="24"/>
          <w:lang w:val="fi-FI"/>
        </w:rPr>
        <w:t>.</w:t>
      </w:r>
    </w:p>
  </w:footnote>
  <w:footnote w:id="2">
    <w:p w:rsidR="009A3B63" w:rsidRPr="00C24315" w:rsidRDefault="009A3B63" w:rsidP="00C24315">
      <w:pPr>
        <w:pStyle w:val="FootnoteText"/>
        <w:ind w:left="567" w:hanging="567"/>
        <w:rPr>
          <w:sz w:val="24"/>
          <w:lang w:val="fi-FI"/>
        </w:rPr>
      </w:pPr>
      <w:r w:rsidRPr="00C24315">
        <w:rPr>
          <w:rStyle w:val="FootnoteReference"/>
          <w:sz w:val="24"/>
          <w:lang w:val="fi-FI"/>
        </w:rPr>
        <w:footnoteRef/>
      </w:r>
      <w:r w:rsidR="00C24315" w:rsidRPr="00C24315">
        <w:rPr>
          <w:sz w:val="24"/>
          <w:lang w:val="fi-FI"/>
        </w:rPr>
        <w:t xml:space="preserve"> </w:t>
      </w:r>
      <w:r w:rsidR="00C24315" w:rsidRPr="00C24315">
        <w:rPr>
          <w:sz w:val="24"/>
          <w:lang w:val="fi-FI"/>
        </w:rPr>
        <w:tab/>
      </w:r>
      <w:r w:rsidRPr="00C24315">
        <w:rPr>
          <w:sz w:val="24"/>
          <w:lang w:val="fi-FI"/>
        </w:rPr>
        <w:t xml:space="preserve">EUVL L, 2024/207, 22.2.2024, ELI: </w:t>
      </w:r>
      <w:hyperlink r:id="rId2" w:history="1">
        <w:r w:rsidRPr="00C24315">
          <w:rPr>
            <w:rStyle w:val="Hyperlink"/>
            <w:sz w:val="24"/>
            <w:lang w:val="fi-FI"/>
          </w:rPr>
          <w:t>http://data.europa.eu/eli/budget/2024/207/oj</w:t>
        </w:r>
      </w:hyperlink>
      <w:r w:rsidRPr="00C24315">
        <w:rPr>
          <w:sz w:val="24"/>
          <w:lang w:val="fi-FI"/>
        </w:rPr>
        <w:t>.</w:t>
      </w:r>
    </w:p>
  </w:footnote>
  <w:footnote w:id="3">
    <w:p w:rsidR="009A3B63" w:rsidRPr="00C24315" w:rsidRDefault="009A3B63" w:rsidP="00C24315">
      <w:pPr>
        <w:pStyle w:val="FootnoteText"/>
        <w:ind w:left="567" w:hanging="567"/>
        <w:rPr>
          <w:sz w:val="24"/>
          <w:lang w:val="fi-FI"/>
        </w:rPr>
      </w:pPr>
      <w:r w:rsidRPr="00C24315">
        <w:rPr>
          <w:rStyle w:val="FootnoteReference"/>
          <w:sz w:val="24"/>
          <w:lang w:val="fi-FI"/>
        </w:rPr>
        <w:footnoteRef/>
      </w:r>
      <w:r w:rsidR="00C24315" w:rsidRPr="00C24315">
        <w:rPr>
          <w:sz w:val="24"/>
          <w:lang w:val="fi-FI"/>
        </w:rPr>
        <w:t xml:space="preserve"> </w:t>
      </w:r>
      <w:r w:rsidR="00C24315" w:rsidRPr="00C24315">
        <w:rPr>
          <w:sz w:val="24"/>
          <w:lang w:val="fi-FI"/>
        </w:rPr>
        <w:tab/>
      </w:r>
      <w:r w:rsidRPr="00C24315">
        <w:rPr>
          <w:sz w:val="24"/>
          <w:lang w:val="fi-FI"/>
        </w:rPr>
        <w:t xml:space="preserve">EUVL L 433 I, 22.12.2020, s. 11, ELI: </w:t>
      </w:r>
      <w:hyperlink r:id="rId3" w:history="1">
        <w:r w:rsidRPr="00C24315">
          <w:rPr>
            <w:rStyle w:val="Hyperlink"/>
            <w:sz w:val="24"/>
            <w:lang w:val="fi-FI"/>
          </w:rPr>
          <w:t>http://data.europa.eu/eli/reg/2020/2093/oj</w:t>
        </w:r>
      </w:hyperlink>
      <w:r w:rsidRPr="00C24315">
        <w:rPr>
          <w:sz w:val="24"/>
          <w:lang w:val="fi-FI"/>
        </w:rPr>
        <w:t>.</w:t>
      </w:r>
    </w:p>
  </w:footnote>
  <w:footnote w:id="4">
    <w:p w:rsidR="009A3B63" w:rsidRPr="00C24315" w:rsidRDefault="009A3B63" w:rsidP="00C24315">
      <w:pPr>
        <w:pStyle w:val="FootnoteText"/>
        <w:ind w:left="567" w:hanging="567"/>
        <w:rPr>
          <w:sz w:val="24"/>
          <w:lang w:val="fi-FI"/>
        </w:rPr>
      </w:pPr>
      <w:r w:rsidRPr="00C24315">
        <w:rPr>
          <w:rStyle w:val="FootnoteReference"/>
          <w:sz w:val="24"/>
          <w:lang w:val="fi-FI"/>
        </w:rPr>
        <w:footnoteRef/>
      </w:r>
      <w:r w:rsidR="00C24315" w:rsidRPr="00C24315">
        <w:rPr>
          <w:sz w:val="24"/>
          <w:lang w:val="fi-FI"/>
        </w:rPr>
        <w:t xml:space="preserve"> </w:t>
      </w:r>
      <w:r w:rsidR="00C24315" w:rsidRPr="00C24315">
        <w:rPr>
          <w:sz w:val="24"/>
          <w:lang w:val="fi-FI"/>
        </w:rPr>
        <w:tab/>
      </w:r>
      <w:r w:rsidRPr="00C24315">
        <w:rPr>
          <w:sz w:val="24"/>
          <w:lang w:val="fi-FI"/>
        </w:rPr>
        <w:t xml:space="preserve">EUVL L 433 I, 22.12.2020, s. 28, ELI: </w:t>
      </w:r>
      <w:hyperlink r:id="rId4" w:history="1">
        <w:r w:rsidRPr="00C24315">
          <w:rPr>
            <w:rStyle w:val="Hyperlink"/>
            <w:sz w:val="24"/>
            <w:lang w:val="fi-FI"/>
          </w:rPr>
          <w:t>http://data.europa.eu/eli/agree_interinstit/2020/1222/oj</w:t>
        </w:r>
      </w:hyperlink>
    </w:p>
  </w:footnote>
  <w:footnote w:id="5">
    <w:p w:rsidR="009A3B63" w:rsidRPr="00C24315" w:rsidRDefault="009A3B63" w:rsidP="00C24315">
      <w:pPr>
        <w:pStyle w:val="FootnoteText"/>
        <w:ind w:left="567" w:hanging="567"/>
        <w:rPr>
          <w:sz w:val="24"/>
          <w:lang w:val="fi-FI"/>
        </w:rPr>
      </w:pPr>
      <w:r w:rsidRPr="00C24315">
        <w:rPr>
          <w:rStyle w:val="FootnoteReference"/>
          <w:sz w:val="24"/>
          <w:lang w:val="fi-FI"/>
        </w:rPr>
        <w:footnoteRef/>
      </w:r>
      <w:r w:rsidR="00C24315" w:rsidRPr="00C24315">
        <w:rPr>
          <w:sz w:val="24"/>
          <w:lang w:val="fi-FI"/>
        </w:rPr>
        <w:t xml:space="preserve"> </w:t>
      </w:r>
      <w:r w:rsidR="00C24315" w:rsidRPr="00C24315">
        <w:rPr>
          <w:sz w:val="24"/>
          <w:lang w:val="fi-FI"/>
        </w:rPr>
        <w:tab/>
      </w:r>
      <w:r w:rsidRPr="00C24315">
        <w:rPr>
          <w:sz w:val="24"/>
          <w:lang w:val="fi-FI"/>
        </w:rPr>
        <w:t xml:space="preserve">EUVL L 424, 15.12.2020, s. 1, ELI: </w:t>
      </w:r>
      <w:hyperlink r:id="rId5" w:history="1">
        <w:r w:rsidRPr="00C24315">
          <w:rPr>
            <w:rStyle w:val="Hyperlink"/>
            <w:sz w:val="24"/>
            <w:lang w:val="fi-FI"/>
          </w:rPr>
          <w:t>http://data.europa.eu/eli/dec/2020/2053/oj</w:t>
        </w:r>
      </w:hyperlink>
      <w:r w:rsidRPr="00C24315">
        <w:rPr>
          <w:sz w:val="24"/>
          <w:lang w:val="fi-FI"/>
        </w:rPr>
        <w:t>.</w:t>
      </w:r>
    </w:p>
  </w:footnote>
  <w:footnote w:id="6">
    <w:p w:rsidR="009A3B63" w:rsidRPr="00C24315" w:rsidRDefault="009A3B63" w:rsidP="00C24315">
      <w:pPr>
        <w:pStyle w:val="FootnoteText"/>
        <w:ind w:left="567" w:hanging="567"/>
        <w:rPr>
          <w:sz w:val="24"/>
          <w:lang w:val="fi-FI"/>
        </w:rPr>
      </w:pPr>
      <w:r w:rsidRPr="00C24315">
        <w:rPr>
          <w:rStyle w:val="FootnoteReference"/>
          <w:sz w:val="24"/>
          <w:lang w:val="fi-FI"/>
        </w:rPr>
        <w:footnoteRef/>
      </w:r>
      <w:r w:rsidR="00C24315" w:rsidRPr="00C24315">
        <w:rPr>
          <w:sz w:val="24"/>
          <w:lang w:val="fi-FI"/>
        </w:rPr>
        <w:t xml:space="preserve"> </w:t>
      </w:r>
      <w:r w:rsidR="00C24315" w:rsidRPr="00C24315">
        <w:rPr>
          <w:sz w:val="24"/>
          <w:lang w:val="fi-FI"/>
        </w:rPr>
        <w:tab/>
      </w:r>
      <w:r w:rsidRPr="00C24315">
        <w:rPr>
          <w:sz w:val="24"/>
          <w:lang w:val="fi-FI"/>
        </w:rPr>
        <w:t xml:space="preserve">Euroopan parlamentin ja neuvoston asetus (EU) 2024/2773, annettu 24 päivänä lokakuuta 2024, Ukrainan lainayhteistyömekanismin perustamisesta ja poikkeuksellisen makrotaloudellisen rahoitusavun antamisesta Ukrainalle (EUVL L, 2024/2773, 28.10.2024, ELI: </w:t>
      </w:r>
      <w:hyperlink r:id="rId6" w:history="1">
        <w:r w:rsidRPr="00C24315">
          <w:rPr>
            <w:rStyle w:val="Hyperlink"/>
            <w:sz w:val="24"/>
            <w:lang w:val="fi-FI"/>
          </w:rPr>
          <w:t>http://data.europa.eu/eli/reg/2024/2773/oj</w:t>
        </w:r>
      </w:hyperlink>
      <w:r w:rsidRPr="00C2431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FI"/>
    <w:docVar w:name="dvnumam" w:val="0"/>
    <w:docVar w:name="dvpe" w:val="765.136"/>
    <w:docVar w:name="dvrapporteur" w:val="Esittelijä: "/>
    <w:docVar w:name="dvtitre" w:val="Euroopan parlamentin päätöslauselma 26. marraskuuta 2024 neuvoston kannasta esitykseen Euroopan unionin lisätalousarvioksi nro 5/2024 varainhoitovuodeksi 2024 – Maksumäärärahojen mukauttaminen, tulojen päivittäminen ja muut tekniset päivitykset(14477/2024 – C10-0186/2024 – 2024/0252(BUD))"/>
  </w:docVars>
  <w:rsids>
    <w:rsidRoot w:val="00991E7A"/>
    <w:rsid w:val="00002272"/>
    <w:rsid w:val="00064002"/>
    <w:rsid w:val="000677B9"/>
    <w:rsid w:val="000831BA"/>
    <w:rsid w:val="000A42CC"/>
    <w:rsid w:val="000E7DD9"/>
    <w:rsid w:val="0010095E"/>
    <w:rsid w:val="00125B37"/>
    <w:rsid w:val="00187494"/>
    <w:rsid w:val="001F32AE"/>
    <w:rsid w:val="00235C05"/>
    <w:rsid w:val="002767FF"/>
    <w:rsid w:val="002B18FE"/>
    <w:rsid w:val="002B5493"/>
    <w:rsid w:val="00343214"/>
    <w:rsid w:val="00361C00"/>
    <w:rsid w:val="00395FA1"/>
    <w:rsid w:val="003E15D4"/>
    <w:rsid w:val="00411CCE"/>
    <w:rsid w:val="0041666E"/>
    <w:rsid w:val="00421060"/>
    <w:rsid w:val="00432BB5"/>
    <w:rsid w:val="00471C19"/>
    <w:rsid w:val="004867E3"/>
    <w:rsid w:val="00494A28"/>
    <w:rsid w:val="004B707F"/>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E7A"/>
    <w:rsid w:val="009A3B63"/>
    <w:rsid w:val="009D3A9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315"/>
    <w:rsid w:val="00C61C0C"/>
    <w:rsid w:val="00C941CB"/>
    <w:rsid w:val="00CC2357"/>
    <w:rsid w:val="00CF071A"/>
    <w:rsid w:val="00D058B8"/>
    <w:rsid w:val="00D56C11"/>
    <w:rsid w:val="00D834A0"/>
    <w:rsid w:val="00D872DF"/>
    <w:rsid w:val="00D91E21"/>
    <w:rsid w:val="00DA7FCD"/>
    <w:rsid w:val="00E365E1"/>
    <w:rsid w:val="00E55A6D"/>
    <w:rsid w:val="00E820A4"/>
    <w:rsid w:val="00EB006A"/>
    <w:rsid w:val="00EB4772"/>
    <w:rsid w:val="00EC1B1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F146F4-9887-49C7-8367-BAF3D369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07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A3B63"/>
    <w:pPr>
      <w:spacing w:before="480" w:after="240"/>
    </w:pPr>
  </w:style>
  <w:style w:type="paragraph" w:customStyle="1" w:styleId="NormalHanging12a">
    <w:name w:val="NormalHanging12a"/>
    <w:basedOn w:val="Normal"/>
    <w:rsid w:val="009A3B63"/>
    <w:pPr>
      <w:spacing w:after="240"/>
      <w:ind w:left="567" w:hanging="567"/>
    </w:pPr>
  </w:style>
  <w:style w:type="character" w:styleId="Hyperlink">
    <w:name w:val="Hyperlink"/>
    <w:basedOn w:val="DefaultParagraphFont"/>
    <w:uiPriority w:val="99"/>
    <w:rsid w:val="009A3B63"/>
    <w:rPr>
      <w:color w:val="0563C1" w:themeColor="hyperlink"/>
      <w:u w:val="single"/>
    </w:rPr>
  </w:style>
  <w:style w:type="paragraph" w:styleId="Footer">
    <w:name w:val="footer"/>
    <w:basedOn w:val="Normal"/>
    <w:link w:val="FooterChar"/>
    <w:rsid w:val="004B707F"/>
    <w:pPr>
      <w:tabs>
        <w:tab w:val="center" w:pos="4513"/>
        <w:tab w:val="right" w:pos="9026"/>
      </w:tabs>
    </w:pPr>
  </w:style>
  <w:style w:type="character" w:customStyle="1" w:styleId="FooterChar">
    <w:name w:val="Footer Char"/>
    <w:basedOn w:val="DefaultParagraphFont"/>
    <w:link w:val="Footer"/>
    <w:rsid w:val="004B707F"/>
    <w:rPr>
      <w:sz w:val="24"/>
      <w:lang w:val="fi-FI"/>
    </w:rPr>
  </w:style>
  <w:style w:type="paragraph" w:styleId="BalloonText">
    <w:name w:val="Balloon Text"/>
    <w:basedOn w:val="Normal"/>
    <w:link w:val="BalloonTextChar"/>
    <w:rsid w:val="00235C05"/>
    <w:rPr>
      <w:rFonts w:ascii="Segoe UI" w:hAnsi="Segoe UI" w:cs="Segoe UI"/>
      <w:sz w:val="18"/>
      <w:szCs w:val="18"/>
    </w:rPr>
  </w:style>
  <w:style w:type="character" w:customStyle="1" w:styleId="BalloonTextChar">
    <w:name w:val="Balloon Text Char"/>
    <w:basedOn w:val="DefaultParagraphFont"/>
    <w:link w:val="BalloonText"/>
    <w:rsid w:val="00235C05"/>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956E5-DBED-4A1B-9B26-B35ADF966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8707</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2024-11-27T11:54:00Z</dcterms:created>
  <dcterms:modified xsi:type="dcterms:W3CDTF">2024-11-27T11:54:00Z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A10-0017/2024</vt:lpwstr>
  </property>
  <property fmtid="{D5CDD505-2E9C-101B-9397-08002B2CF9AE}" pid="4" name="&lt;Type&gt;">
    <vt:lpwstr>RR</vt:lpwstr>
  </property>
</Properties>
</file>