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5C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5C2D" w:rsidRDefault="006B184F" w:rsidP="0010095E">
            <w:pPr>
              <w:pStyle w:val="EPName"/>
            </w:pPr>
            <w:r w:rsidRPr="00265C2D">
              <w:t>Europski parlament</w:t>
            </w:r>
          </w:p>
          <w:p w:rsidR="00751A4A" w:rsidRPr="00265C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5C2D">
              <w:t>2024</w:t>
            </w:r>
            <w:r w:rsidR="00817416" w:rsidRPr="00265C2D">
              <w:t>-202</w:t>
            </w:r>
            <w:r w:rsidRPr="00265C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65C2D" w:rsidRDefault="00187494" w:rsidP="0010095E">
            <w:pPr>
              <w:pStyle w:val="EPLogo"/>
            </w:pPr>
            <w:r w:rsidRPr="00265C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5C2D" w:rsidRDefault="00D058B8" w:rsidP="004C5D52">
      <w:pPr>
        <w:pStyle w:val="LineTop"/>
      </w:pPr>
    </w:p>
    <w:p w:rsidR="00680577" w:rsidRPr="00265C2D" w:rsidRDefault="006B184F" w:rsidP="00680577">
      <w:pPr>
        <w:pStyle w:val="EPBodyTA1"/>
      </w:pPr>
      <w:r w:rsidRPr="00265C2D">
        <w:t>USVOJENI TEKSTOVI</w:t>
      </w:r>
    </w:p>
    <w:p w:rsidR="00D058B8" w:rsidRPr="00265C2D" w:rsidRDefault="00D058B8" w:rsidP="00D058B8">
      <w:pPr>
        <w:pStyle w:val="LineBottom"/>
      </w:pPr>
    </w:p>
    <w:p w:rsidR="006B184F" w:rsidRPr="00265C2D" w:rsidRDefault="006B184F" w:rsidP="006B184F">
      <w:pPr>
        <w:pStyle w:val="ATHeading1"/>
      </w:pPr>
      <w:bookmarkStart w:id="0" w:name="TANumber"/>
      <w:r w:rsidRPr="00265C2D">
        <w:t>P10_TA(2024)00</w:t>
      </w:r>
      <w:bookmarkEnd w:id="0"/>
      <w:r w:rsidR="00E62842">
        <w:t>49</w:t>
      </w:r>
      <w:bookmarkStart w:id="1" w:name="_GoBack"/>
      <w:bookmarkEnd w:id="1"/>
    </w:p>
    <w:p w:rsidR="006B184F" w:rsidRPr="00265C2D" w:rsidRDefault="006B184F" w:rsidP="006B184F">
      <w:pPr>
        <w:pStyle w:val="ATHeading2"/>
      </w:pPr>
      <w:bookmarkStart w:id="2" w:name="title"/>
      <w:r w:rsidRPr="00265C2D">
        <w:t>Nacrt izmjene proračuna br. 5/2024.: Prilagodba odobrenih sredstava za plaćanje, ažuriranje prihoda i druga tehnička ažuriranja</w:t>
      </w:r>
      <w:bookmarkEnd w:id="2"/>
    </w:p>
    <w:p w:rsidR="006B184F" w:rsidRPr="00265C2D" w:rsidRDefault="006B184F" w:rsidP="006B184F">
      <w:pPr>
        <w:rPr>
          <w:i/>
          <w:vanish/>
        </w:rPr>
      </w:pPr>
      <w:r w:rsidRPr="00265C2D">
        <w:rPr>
          <w:i/>
        </w:rPr>
        <w:fldChar w:fldCharType="begin"/>
      </w:r>
      <w:r w:rsidRPr="00265C2D">
        <w:rPr>
          <w:i/>
        </w:rPr>
        <w:instrText xml:space="preserve"> TC"(</w:instrText>
      </w:r>
      <w:bookmarkStart w:id="3" w:name="DocNumber"/>
      <w:r w:rsidRPr="00265C2D">
        <w:rPr>
          <w:i/>
        </w:rPr>
        <w:instrText>A10-0017/2024</w:instrText>
      </w:r>
      <w:bookmarkEnd w:id="3"/>
      <w:r w:rsidRPr="00265C2D">
        <w:rPr>
          <w:i/>
        </w:rPr>
        <w:instrText xml:space="preserve"> - Izvjestitelj: </w:instrText>
      </w:r>
      <w:proofErr w:type="spellStart"/>
      <w:r w:rsidRPr="00265C2D">
        <w:rPr>
          <w:i/>
        </w:rPr>
        <w:instrText>Siegfried</w:instrText>
      </w:r>
      <w:proofErr w:type="spellEnd"/>
      <w:r w:rsidRPr="00265C2D">
        <w:rPr>
          <w:i/>
        </w:rPr>
        <w:instrText xml:space="preserve"> </w:instrText>
      </w:r>
      <w:proofErr w:type="spellStart"/>
      <w:r w:rsidRPr="00265C2D">
        <w:rPr>
          <w:i/>
        </w:rPr>
        <w:instrText>Mureşan</w:instrText>
      </w:r>
      <w:proofErr w:type="spellEnd"/>
      <w:r w:rsidRPr="00265C2D">
        <w:rPr>
          <w:i/>
        </w:rPr>
        <w:instrText xml:space="preserve">)"\l3 \n&gt; \* MERGEFORMAT </w:instrText>
      </w:r>
      <w:r w:rsidRPr="00265C2D">
        <w:rPr>
          <w:i/>
        </w:rPr>
        <w:fldChar w:fldCharType="end"/>
      </w:r>
    </w:p>
    <w:p w:rsidR="006B184F" w:rsidRPr="00265C2D" w:rsidRDefault="006B184F" w:rsidP="006B184F">
      <w:pPr>
        <w:rPr>
          <w:vanish/>
        </w:rPr>
      </w:pPr>
      <w:bookmarkStart w:id="4" w:name="Commission"/>
      <w:r w:rsidRPr="00265C2D">
        <w:rPr>
          <w:vanish/>
        </w:rPr>
        <w:t>Odbor za proračune</w:t>
      </w:r>
      <w:bookmarkEnd w:id="4"/>
    </w:p>
    <w:p w:rsidR="006B184F" w:rsidRPr="00265C2D" w:rsidRDefault="006B184F" w:rsidP="006B184F">
      <w:pPr>
        <w:rPr>
          <w:vanish/>
        </w:rPr>
      </w:pPr>
      <w:bookmarkStart w:id="5" w:name="PE"/>
      <w:r w:rsidRPr="00265C2D">
        <w:rPr>
          <w:vanish/>
        </w:rPr>
        <w:t>PE765.136</w:t>
      </w:r>
      <w:bookmarkEnd w:id="5"/>
    </w:p>
    <w:p w:rsidR="006B184F" w:rsidRPr="00265C2D" w:rsidRDefault="00904FB2" w:rsidP="006B184F">
      <w:pPr>
        <w:pStyle w:val="ATHeading3"/>
      </w:pPr>
      <w:bookmarkStart w:id="6" w:name="Sujet"/>
      <w:r w:rsidRPr="00265C2D">
        <w:t>R</w:t>
      </w:r>
      <w:r w:rsidR="006B184F" w:rsidRPr="00265C2D">
        <w:t>ezolu</w:t>
      </w:r>
      <w:r w:rsidRPr="00265C2D">
        <w:t>cija Europskog parlamenta od 27</w:t>
      </w:r>
      <w:r w:rsidR="006B184F" w:rsidRPr="00265C2D">
        <w:t xml:space="preserve">. </w:t>
      </w:r>
      <w:r w:rsidRPr="00265C2D">
        <w:t xml:space="preserve">studenoga </w:t>
      </w:r>
      <w:r w:rsidR="006B184F" w:rsidRPr="00265C2D">
        <w:t>2024. o stajalištu Vijeća o nacrtu izmjene proračuna br. 5/2024 Europske unije za financijsku godinu 2024. – prilagodba odobrenih sredstava za plaćanje, ažuriranje prihoda i druga tehnička ažuriranja</w:t>
      </w:r>
      <w:bookmarkEnd w:id="6"/>
      <w:r w:rsidR="006B184F" w:rsidRPr="00265C2D">
        <w:t xml:space="preserve"> </w:t>
      </w:r>
      <w:bookmarkStart w:id="7" w:name="References"/>
      <w:r w:rsidR="006B184F" w:rsidRPr="00265C2D">
        <w:t>(14477/2024 – C10-0186/2024 – 2024/0252(BUD))</w:t>
      </w:r>
      <w:bookmarkEnd w:id="7"/>
    </w:p>
    <w:p w:rsidR="00504D94" w:rsidRPr="00265C2D" w:rsidRDefault="00504D94" w:rsidP="00504D94">
      <w:pPr>
        <w:pStyle w:val="EPComma"/>
      </w:pPr>
      <w:bookmarkStart w:id="8" w:name="TextBodyBegin"/>
      <w:bookmarkEnd w:id="8"/>
      <w:r w:rsidRPr="00265C2D">
        <w:rPr>
          <w:i/>
        </w:rPr>
        <w:t>Europski parlament</w:t>
      </w:r>
      <w:r w:rsidRPr="00265C2D">
        <w:t>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članak 314. Ugovora o funkcioniranju Europske unije,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članak 106.a Ugovora o osnivanju Europske zajednice za atomsku energiju,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Uredbu (EU, Euratom) 2024/2509 Europskog parlamenta i Vijeća od 23. rujna 2024. o financijskim pravilima koja se primjenjuju na opći proračun Unije</w:t>
      </w:r>
      <w:r w:rsidRPr="00265C2D">
        <w:rPr>
          <w:rStyle w:val="FootnoteReference"/>
        </w:rPr>
        <w:footnoteReference w:id="1"/>
      </w:r>
      <w:r w:rsidRPr="00265C2D">
        <w:t>, a posebno njezin članak 44.,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opći proračun Europske unije za financijsku godinu 2024., konačno donesen 22. studenoga 2023.</w:t>
      </w:r>
      <w:r w:rsidRPr="00265C2D">
        <w:rPr>
          <w:rStyle w:val="FootnoteReference"/>
        </w:rPr>
        <w:footnoteReference w:id="2"/>
      </w:r>
      <w:r w:rsidRPr="00265C2D">
        <w:t>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Uredbu Vijeća (EU, Euratom) 2020/2093 od 17. prosinca 2020. kojom se utvrđuje višegodišnji financijski okvir za razdoblje 2021. – 2027.</w:t>
      </w:r>
      <w:r w:rsidRPr="00265C2D">
        <w:rPr>
          <w:rStyle w:val="FootnoteReference"/>
        </w:rPr>
        <w:footnoteReference w:id="3"/>
      </w:r>
      <w:r w:rsidRPr="00265C2D">
        <w:t>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 xml:space="preserve">uzimajući u obzir </w:t>
      </w:r>
      <w:proofErr w:type="spellStart"/>
      <w:r w:rsidRPr="00265C2D">
        <w:t>Međuinstitucijski</w:t>
      </w:r>
      <w:proofErr w:type="spellEnd"/>
      <w:r w:rsidRPr="00265C2D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265C2D">
        <w:rPr>
          <w:rStyle w:val="FootnoteReference"/>
        </w:rPr>
        <w:footnoteReference w:id="4"/>
      </w:r>
      <w:r w:rsidRPr="00265C2D">
        <w:t>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 xml:space="preserve">uzimajući u obzir Odluku Vijeća (EU, Euratom) 2020/2053 od 14. prosinca 2020. o </w:t>
      </w:r>
      <w:r w:rsidRPr="00265C2D">
        <w:lastRenderedPageBreak/>
        <w:t>sustavu vlastitih sredstava Europske unije te o stavljanju izvan snage Odluke 2014/335/EU, Euratom</w:t>
      </w:r>
      <w:r w:rsidRPr="00265C2D">
        <w:rPr>
          <w:rStyle w:val="FootnoteReference"/>
        </w:rPr>
        <w:footnoteReference w:id="5"/>
      </w:r>
      <w:r w:rsidRPr="00265C2D">
        <w:t>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nacrt izmjene proračuna br.</w:t>
      </w:r>
      <w:r w:rsidR="00904FB2" w:rsidRPr="00265C2D">
        <w:t> </w:t>
      </w:r>
      <w:r w:rsidRPr="00265C2D">
        <w:t>5/2024 koji je Komisija usvojila 10. listopada 2024. (COM(2024)0650),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stajalište o nacrtu izmjene proračuna br. 5/2024 koje je Vijeće usvojilo 5. studenoga 2024. i proslijedilo Europskom parlamentu 12. studenoga 2024. (14477/2024 – C10-0186/2024),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članke 96. i 98. Poslovnika,</w:t>
      </w:r>
    </w:p>
    <w:p w:rsidR="00504D94" w:rsidRPr="00265C2D" w:rsidRDefault="00504D94" w:rsidP="00504D94">
      <w:pPr>
        <w:pStyle w:val="NormalHanging12a"/>
      </w:pPr>
      <w:r w:rsidRPr="00265C2D">
        <w:t>–</w:t>
      </w:r>
      <w:r w:rsidRPr="00265C2D">
        <w:tab/>
        <w:t>uzimajući u obzir izvješće Odbora za proračune (A10</w:t>
      </w:r>
      <w:r w:rsidRPr="00265C2D">
        <w:noBreakHyphen/>
        <w:t>0017/2024),</w:t>
      </w:r>
    </w:p>
    <w:p w:rsidR="00504D94" w:rsidRPr="00265C2D" w:rsidRDefault="00504D94" w:rsidP="00504D94">
      <w:pPr>
        <w:pStyle w:val="NormalHanging12a"/>
      </w:pPr>
      <w:r w:rsidRPr="00265C2D">
        <w:t>A.</w:t>
      </w:r>
      <w:r w:rsidRPr="00265C2D">
        <w:tab/>
        <w:t>budući da je svrha nacrta izmjene proračuna br. 5/2024 prilagodba rashoda, posebno u pogledu odobrenih sredstava za plaćanje, te ažuriranje prihoda za proračun Unije;</w:t>
      </w:r>
    </w:p>
    <w:p w:rsidR="00504D94" w:rsidRPr="00265C2D" w:rsidRDefault="00504D94" w:rsidP="00504D94">
      <w:pPr>
        <w:pStyle w:val="NormalHanging12a"/>
      </w:pPr>
      <w:r w:rsidRPr="00265C2D">
        <w:t>B.</w:t>
      </w:r>
      <w:r w:rsidRPr="00265C2D">
        <w:tab/>
        <w:t>budući da, kad je riječ o rashodima, nacrt izmjene proračuna br. 5/2024 uključuje neto povećanje od 44,5 milijuna EUR u odobrenim sredstvima za preuzimanje obveza te neto povećanje od 2,95 milijardi EUR u odobrenim sredstvima za plaćanje; budući da se zbog nedostatka raspoloživih sredstava do gornjih granica u naslovima 2.b, 5. i 7. višegodišnjeg financijskog okvira (VFO) predlaže mobilizacija dodatnih 7,2 milijuna EUR iz instrumenta fleksibilnosti i dodatnih 68,5 milijuna EUR koji će se iskoristiti iz odjeljka (a) jedinstvenog instrumenta za razliku do gornje granice;</w:t>
      </w:r>
    </w:p>
    <w:p w:rsidR="00504D94" w:rsidRPr="00265C2D" w:rsidRDefault="00504D94" w:rsidP="00504D94">
      <w:pPr>
        <w:pStyle w:val="NormalHanging12a"/>
      </w:pPr>
      <w:r w:rsidRPr="00265C2D">
        <w:t>C.</w:t>
      </w:r>
      <w:r w:rsidRPr="00265C2D">
        <w:tab/>
        <w:t xml:space="preserve">budući da se nacrtom izmjene proračuna br. 5/2024 u proračun za 2024. na prihodovnoj strani unose konačne novčane kazne i penali plaćeni do listopada 2024., u ukupnom iznosu od 2,82 milijarde EUR, što znači da su za zadovoljavanje potreba za plaćanjima </w:t>
      </w:r>
      <w:proofErr w:type="spellStart"/>
      <w:r w:rsidR="00F510EB" w:rsidRPr="00265C2D">
        <w:t>potebni</w:t>
      </w:r>
      <w:proofErr w:type="spellEnd"/>
      <w:r w:rsidR="00F510EB" w:rsidRPr="00265C2D">
        <w:t xml:space="preserve"> </w:t>
      </w:r>
      <w:r w:rsidRPr="00265C2D">
        <w:t>dodatni doprinosi na temelju BND-a u iznosu od 139,9 milijuna EUR;</w:t>
      </w:r>
    </w:p>
    <w:p w:rsidR="00504D94" w:rsidRPr="00265C2D" w:rsidRDefault="00504D94" w:rsidP="00504D94">
      <w:pPr>
        <w:pStyle w:val="NormalHanging12a"/>
      </w:pPr>
      <w:r w:rsidRPr="00265C2D">
        <w:t>D.</w:t>
      </w:r>
      <w:r w:rsidRPr="00265C2D">
        <w:tab/>
        <w:t>budući da se nacrtom izmjene proračuna br. 5/2024 uvode i nove proračunske linije prihoda i rashoda za Mehanizam suradnje za zajmove Ukrajini, u okviru kojeg će se potpora pružati zajmovima koji će se servisirati i otplaćivati budućim prihodima od imobilizirane ruske državne imovine;</w:t>
      </w:r>
    </w:p>
    <w:p w:rsidR="00504D94" w:rsidRPr="00265C2D" w:rsidRDefault="00504D94" w:rsidP="00504D94">
      <w:pPr>
        <w:pStyle w:val="NormalHanging12a"/>
      </w:pPr>
      <w:r w:rsidRPr="00265C2D">
        <w:t>1.</w:t>
      </w:r>
      <w:r w:rsidRPr="00265C2D">
        <w:tab/>
        <w:t>prima na znanje nacrt izmjene proračuna br. 5/2024 koji je podnijela Komisija;</w:t>
      </w:r>
    </w:p>
    <w:p w:rsidR="00504D94" w:rsidRPr="00265C2D" w:rsidRDefault="00504D94" w:rsidP="00504D94">
      <w:pPr>
        <w:pStyle w:val="NormalHanging12a"/>
      </w:pPr>
      <w:r w:rsidRPr="00265C2D">
        <w:t>2.</w:t>
      </w:r>
      <w:r w:rsidRPr="00265C2D">
        <w:tab/>
        <w:t xml:space="preserve">pozdravlja povećane potrebe za plaćanjima za Europski fond za regionalni razvoj (EFRR), zajedno s onima za zajedničku poljoprivrednu politiku u okviru globalnog prijenosa (DEC 11/24), kao znak da se provedba programa ubrzava nakon zabrinjavajuće sporog početka u razdoblju od 2021. do 2027.; </w:t>
      </w:r>
    </w:p>
    <w:p w:rsidR="00504D94" w:rsidRPr="00265C2D" w:rsidRDefault="00504D94" w:rsidP="00504D94">
      <w:pPr>
        <w:pStyle w:val="NormalHanging12a"/>
      </w:pPr>
      <w:r w:rsidRPr="00265C2D">
        <w:t>3.</w:t>
      </w:r>
      <w:r w:rsidRPr="00265C2D">
        <w:tab/>
        <w:t xml:space="preserve">sa zadovoljstvom primjećuje da su izmjene pravila uvedenih Platformom za strateške tehnologije za Europu (STEP), uz iznimno </w:t>
      </w:r>
      <w:proofErr w:type="spellStart"/>
      <w:r w:rsidRPr="00265C2D">
        <w:t>pretfinanciranje</w:t>
      </w:r>
      <w:proofErr w:type="spellEnd"/>
      <w:r w:rsidRPr="00265C2D">
        <w:t xml:space="preserve"> i dobrovoljno stopostotno sufinanciranje, imale pozitivan učinak na provedbu EFRR-a, što znači da države članice troše novac za postizanje ciljeva STEP-a; nadalje, smatra da bi povećana plaćanja 2024. trebala pomoći u smanjenju pritiska na plaćanja u razdoblju od 2025. do 2027.;</w:t>
      </w:r>
    </w:p>
    <w:p w:rsidR="00504D94" w:rsidRPr="00265C2D" w:rsidRDefault="00504D94" w:rsidP="00504D94">
      <w:pPr>
        <w:pStyle w:val="NormalHanging12a"/>
      </w:pPr>
      <w:r w:rsidRPr="00265C2D">
        <w:t>4.</w:t>
      </w:r>
      <w:r w:rsidRPr="00265C2D">
        <w:tab/>
        <w:t xml:space="preserve">napominje da su povećane potrebe za plaćanjima gotovo u potpunosti pokrivene prihodima od novčanih kazni i penala, posebno od novčane kazne za povredu tržišnog </w:t>
      </w:r>
      <w:r w:rsidRPr="00265C2D">
        <w:lastRenderedPageBreak/>
        <w:t>natjecanja u iznosu od 2,4 milijarde EUR izrečene Googleu zbog povreda protumonopolskih pravila;</w:t>
      </w:r>
    </w:p>
    <w:p w:rsidR="00504D94" w:rsidRPr="00265C2D" w:rsidRDefault="00504D94" w:rsidP="00504D94">
      <w:pPr>
        <w:pStyle w:val="NormalHanging12a"/>
      </w:pPr>
      <w:r w:rsidRPr="00265C2D">
        <w:t>5.</w:t>
      </w:r>
      <w:r w:rsidRPr="00265C2D">
        <w:tab/>
        <w:t xml:space="preserve">ponovno ističe potrebu za dugoročno održivim prihodima za proračun Unije, koji je posljednjih godina izrazito opterećen zbog pružanja odgovora na razne krize; stoga izražava snažno neodobravanje zbog izostanka napretka u Vijeću u pogledu reforme sustava vlastitih sredstava u skladu s planom iz </w:t>
      </w:r>
      <w:proofErr w:type="spellStart"/>
      <w:r w:rsidRPr="00265C2D">
        <w:t>Međuinstitucijskog</w:t>
      </w:r>
      <w:proofErr w:type="spellEnd"/>
      <w:r w:rsidRPr="00265C2D">
        <w:t xml:space="preserve"> sporazuma; podsjeća na svoje stajalište kojim podupire izmijenjene prijedloge Komisije te potiče Vijeće i države članice da brzo usvoje spomenute prijedloge kako bi se povećali iznosi vlastitih sredstava dostupni proračunu Unije; ponavlja svoje dugogodišnje stajalište da bi se novčane kazne i naknade trebale koristiti kao dodatni prihod za proračun Unije;</w:t>
      </w:r>
    </w:p>
    <w:p w:rsidR="00504D94" w:rsidRPr="00265C2D" w:rsidRDefault="00504D94" w:rsidP="00504D94">
      <w:pPr>
        <w:pStyle w:val="NormalHanging12a"/>
      </w:pPr>
      <w:r w:rsidRPr="00265C2D">
        <w:t>6.</w:t>
      </w:r>
      <w:r w:rsidRPr="00265C2D">
        <w:tab/>
        <w:t xml:space="preserve">pozdravlja uključivanje proračunskih linija prihoda i rashoda za Mehanizam suradnje za zajmove Ukrajini; naglašava važnost kontinuirane financijske potpore Ukrajini u kontekstu u kojem financiranje u okviru Instrumenta za Ukrajinu i postojećih aranžmana makrofinancijske pomoći ne zadovoljava potrebe; </w:t>
      </w:r>
    </w:p>
    <w:p w:rsidR="00504D94" w:rsidRPr="00265C2D" w:rsidRDefault="00504D94" w:rsidP="00504D94">
      <w:pPr>
        <w:pStyle w:val="NormalHanging12a"/>
      </w:pPr>
      <w:r w:rsidRPr="00265C2D">
        <w:t>7.</w:t>
      </w:r>
      <w:r w:rsidRPr="00265C2D">
        <w:tab/>
        <w:t xml:space="preserve">podsjeća da će dodatni zajmovi u okviru makrofinancijske pomoći biti osigurani raspoloživim prostorom u proračunu i ponavlja svoj poziv Komisiji da proračunskom tijelu dostavi pojedinosti o agregiranju obveza u odnosu na raspoloživi prostor u proračunu koji ovisi o operacijama uzimanja i davanja zajmova; očekuje od Komisije da Parlamentu i Vijeću dostavi sve potrebne informacije u skladu sa svojom izjavom priloženom Uredbi(EU) 2024/2773 </w:t>
      </w:r>
      <w:r w:rsidRPr="00265C2D">
        <w:rPr>
          <w:color w:val="333333"/>
          <w:shd w:val="clear" w:color="auto" w:fill="FFFFFF"/>
        </w:rPr>
        <w:t>Europskog parlamenta i Vijeća</w:t>
      </w:r>
      <w:r w:rsidRPr="00265C2D">
        <w:rPr>
          <w:rStyle w:val="FootnoteReference"/>
          <w:bCs/>
          <w:color w:val="333333"/>
          <w:shd w:val="clear" w:color="auto" w:fill="FFFFFF"/>
        </w:rPr>
        <w:footnoteReference w:id="6"/>
      </w:r>
      <w:r w:rsidRPr="00265C2D">
        <w:t>;</w:t>
      </w:r>
    </w:p>
    <w:p w:rsidR="00504D94" w:rsidRPr="00265C2D" w:rsidRDefault="00504D94" w:rsidP="00504D94">
      <w:pPr>
        <w:pStyle w:val="NormalHanging12a"/>
      </w:pPr>
      <w:r w:rsidRPr="00265C2D">
        <w:t>8.</w:t>
      </w:r>
      <w:r w:rsidRPr="00265C2D">
        <w:tab/>
        <w:t>prima na znanje da su troškovi usklađivanja plaća za 2024. veći od predviđenog, što se odnosi i na primitke od rada i na mirovine, pri čemu je broj novih umirovljenika 2024. također bio veći od predviđenog, što je dodatno povećalo troškove mirovina; pozdravlja činjenicu da su gotovo svi dodatni troškovi institucija pokriveni unutarnjom preraspodjelom sredstava i da je stoga primjena jedinstvenog instrumenta za razliku do gornje granice ograničena;</w:t>
      </w:r>
    </w:p>
    <w:p w:rsidR="00504D94" w:rsidRPr="00265C2D" w:rsidRDefault="00504D94" w:rsidP="00504D94">
      <w:pPr>
        <w:pStyle w:val="NormalHanging12a"/>
      </w:pPr>
      <w:r w:rsidRPr="00265C2D">
        <w:t>9.</w:t>
      </w:r>
      <w:r w:rsidRPr="00265C2D">
        <w:tab/>
        <w:t>ističe da prilagodba plaća utječe i na decentralizirane agencije, koje se bore s inflacijom iznad deflatora od 2 %, za koliko se povećavaju njihovi godišnji proračuni, a posebno s obzirom na to da troškovi osoblja i operativni troškovi čine velik dio njihovih rashoda; pozdravlja činjenicu da se doprinos Unije agencijama koje preraspodjelom nisu uspjele iznaći sredstva povećao za 1,7 %; ponavlja da je u okviru priprema Komisije za VFO za razdoblje nakon 2027. potrebno dodatno razmotriti način na koji se trenutačno tretira proračun decentraliziranih agencija;</w:t>
      </w:r>
    </w:p>
    <w:p w:rsidR="00504D94" w:rsidRPr="00265C2D" w:rsidRDefault="00504D94" w:rsidP="00504D94">
      <w:pPr>
        <w:pStyle w:val="NormalHanging12a"/>
      </w:pPr>
      <w:r w:rsidRPr="00265C2D">
        <w:t>10.</w:t>
      </w:r>
      <w:r w:rsidRPr="00265C2D">
        <w:tab/>
        <w:t>prima na znanje povećanje iznosa odobrenih sredstava za Agenciju Europske unije za operativno upravljanje opsežnim informacijskim sustavima u području slobode, sigurnosti i pravde (</w:t>
      </w:r>
      <w:proofErr w:type="spellStart"/>
      <w:r w:rsidRPr="00265C2D">
        <w:t>eu</w:t>
      </w:r>
      <w:proofErr w:type="spellEnd"/>
      <w:r w:rsidRPr="00265C2D">
        <w:t>-LISA) radi pokrivanja sve većih troškova, ali izražava zabrinutost zbog ekvivalentnog smanjenja iznosa odobrenih sredstava za Agenciju Europske unije za azil (EUAA); pozdravlja činjenicu da je proračun EUAA-e osnažen u okviru revizije VFO-a u sredini razdoblja kako bi se toj agenciji omogućilo izvršavanje novih zadaća u pogledu provedbe novog pakta o migracijama i azilu; poziva Komisiju da blisko surađuje s objema agencijama kako bi se zajamčila njihova spremnost za izvršavanje tih zadaća u potpunosti i apsorpciju dodatnih odobrenih sredstava koja su im dodijeljena;</w:t>
      </w:r>
    </w:p>
    <w:p w:rsidR="00504D94" w:rsidRPr="00265C2D" w:rsidRDefault="00504D94" w:rsidP="00504D94">
      <w:pPr>
        <w:pStyle w:val="NormalHanging12a"/>
      </w:pPr>
      <w:r w:rsidRPr="00265C2D">
        <w:t>11.</w:t>
      </w:r>
      <w:r w:rsidRPr="00265C2D">
        <w:tab/>
        <w:t xml:space="preserve">pozdravlja dodatna odobrena sredstva za Agenciju EU-a za osposobljavanje u području izvršavanja zakonodavstva (CEPOL) 2024. nakon </w:t>
      </w:r>
      <w:proofErr w:type="spellStart"/>
      <w:r w:rsidRPr="00265C2D">
        <w:t>kibernetičkog</w:t>
      </w:r>
      <w:proofErr w:type="spellEnd"/>
      <w:r w:rsidRPr="00265C2D">
        <w:t xml:space="preserve"> napada na Agenciju u lipnju 2024.; ustraje u tome da je potrebno izvući pouke i da, s obzirom na veliku prijetnju u području </w:t>
      </w:r>
      <w:proofErr w:type="spellStart"/>
      <w:r w:rsidRPr="00265C2D">
        <w:t>kibernetičke</w:t>
      </w:r>
      <w:proofErr w:type="spellEnd"/>
      <w:r w:rsidRPr="00265C2D">
        <w:t xml:space="preserve"> sigurnosti te kako bi se osiguralo da se sljedećim napadom ne </w:t>
      </w:r>
      <w:r w:rsidR="00F510EB" w:rsidRPr="00265C2D">
        <w:t xml:space="preserve">ugrozi </w:t>
      </w:r>
      <w:r w:rsidRPr="00265C2D">
        <w:t xml:space="preserve">bilo koja od agencija ili institucija Unije, Služba za </w:t>
      </w:r>
      <w:proofErr w:type="spellStart"/>
      <w:r w:rsidRPr="00265C2D">
        <w:t>kibernetičku</w:t>
      </w:r>
      <w:proofErr w:type="spellEnd"/>
      <w:r w:rsidRPr="00265C2D">
        <w:t xml:space="preserve"> sigurnost subjekata Unije (CERT-EU) treba pružiti dodatnu tehničku potporu drugim agencijama i institucijama; </w:t>
      </w:r>
    </w:p>
    <w:p w:rsidR="00504D94" w:rsidRPr="00265C2D" w:rsidRDefault="00504D94" w:rsidP="00504D94">
      <w:pPr>
        <w:pStyle w:val="NormalHanging12a"/>
      </w:pPr>
      <w:r w:rsidRPr="00265C2D">
        <w:t>12.</w:t>
      </w:r>
      <w:r w:rsidRPr="00265C2D">
        <w:tab/>
        <w:t xml:space="preserve">naglašava važnost novoosnovanog Tijela za sprečavanje pranja novca u revidiranom okviru za sprečavanje pranja novca na razini Unije; stoga izražava duboku zabrinutost zbog kašnjenja u fazi uspostave, posebno kad je riječ o zapošljavanju; </w:t>
      </w:r>
    </w:p>
    <w:p w:rsidR="00504D94" w:rsidRPr="00265C2D" w:rsidRDefault="00504D94" w:rsidP="00504D94">
      <w:pPr>
        <w:pStyle w:val="NormalHanging12a"/>
      </w:pPr>
      <w:r w:rsidRPr="00265C2D">
        <w:t>13.</w:t>
      </w:r>
      <w:r w:rsidRPr="00265C2D">
        <w:tab/>
        <w:t xml:space="preserve">pozdravlja činjenicu da je, zahvaljujući preinaci Financijske uredbe koja je sada na snazi, u proračun moguće uključiti negativne prihode za plaćanje kompenzacijskih kamata u izgubljenim sudskim predmetima; prima na znanje da Komisija trenutačno utvrđuje točan iznos takvih kamata i poziva Komisiju da te informacije dostavi proračunskom tijelu što je prije moguće 2025.; </w:t>
      </w:r>
    </w:p>
    <w:p w:rsidR="00504D94" w:rsidRPr="00265C2D" w:rsidRDefault="00504D94" w:rsidP="00504D94">
      <w:pPr>
        <w:pStyle w:val="NormalHanging12a"/>
      </w:pPr>
      <w:r w:rsidRPr="00265C2D">
        <w:t>14.</w:t>
      </w:r>
      <w:r w:rsidRPr="00265C2D">
        <w:tab/>
        <w:t>prihvaća stajalište Vijeća o Nacrtu izmjene proračuna br. 5/2024;</w:t>
      </w:r>
    </w:p>
    <w:p w:rsidR="00504D94" w:rsidRPr="00265C2D" w:rsidRDefault="00504D94" w:rsidP="00504D94">
      <w:pPr>
        <w:pStyle w:val="NormalHanging12a"/>
      </w:pPr>
      <w:r w:rsidRPr="00265C2D">
        <w:t>15.</w:t>
      </w:r>
      <w:r w:rsidRPr="00265C2D">
        <w:tab/>
        <w:t xml:space="preserve">nalaže svojoj predsjednici da proglasi izmjenu proračuna br. 5/2024 konačno donesenom i da je da na objavu u </w:t>
      </w:r>
      <w:r w:rsidRPr="00265C2D">
        <w:rPr>
          <w:i/>
          <w:iCs/>
        </w:rPr>
        <w:t>Službenom listu Europske unije</w:t>
      </w:r>
      <w:r w:rsidRPr="00265C2D">
        <w:t>;</w:t>
      </w:r>
    </w:p>
    <w:p w:rsidR="00E365E1" w:rsidRPr="00265C2D" w:rsidRDefault="00504D94" w:rsidP="00904FB2">
      <w:pPr>
        <w:ind w:left="567" w:hanging="567"/>
      </w:pPr>
      <w:r w:rsidRPr="00265C2D">
        <w:t>16.</w:t>
      </w:r>
      <w:r w:rsidRPr="00265C2D">
        <w:tab/>
        <w:t>nalaže svojoj predsjednici da ovu Rezoluciju proslijedi Vijeću, Komisiji te nacionalnim parlamentima.</w:t>
      </w:r>
    </w:p>
    <w:sectPr w:rsidR="00E365E1" w:rsidRPr="00265C2D" w:rsidSect="00E811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84F" w:rsidRPr="00E81169" w:rsidRDefault="006B184F">
      <w:r w:rsidRPr="00E81169">
        <w:separator/>
      </w:r>
    </w:p>
  </w:endnote>
  <w:endnote w:type="continuationSeparator" w:id="0">
    <w:p w:rsidR="006B184F" w:rsidRPr="00E81169" w:rsidRDefault="006B184F">
      <w:r w:rsidRPr="00E811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1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1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1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84F" w:rsidRPr="00E81169" w:rsidRDefault="006B184F">
      <w:r w:rsidRPr="00E81169">
        <w:separator/>
      </w:r>
    </w:p>
  </w:footnote>
  <w:footnote w:type="continuationSeparator" w:id="0">
    <w:p w:rsidR="006B184F" w:rsidRPr="00E81169" w:rsidRDefault="006B184F">
      <w:r w:rsidRPr="00E81169">
        <w:continuationSeparator/>
      </w:r>
    </w:p>
  </w:footnote>
  <w:footnote w:id="1">
    <w:p w:rsidR="00504D94" w:rsidRPr="00E81169" w:rsidRDefault="00504D94" w:rsidP="00E81169">
      <w:pPr>
        <w:pStyle w:val="FootnoteText"/>
        <w:ind w:left="567" w:hanging="567"/>
        <w:rPr>
          <w:sz w:val="24"/>
          <w:lang w:val="hr-HR"/>
        </w:rPr>
      </w:pPr>
      <w:r w:rsidRPr="00E81169">
        <w:rPr>
          <w:rStyle w:val="FootnoteReference"/>
          <w:sz w:val="24"/>
          <w:lang w:val="hr-HR"/>
        </w:rPr>
        <w:footnoteRef/>
      </w:r>
      <w:r w:rsidR="00E81169" w:rsidRPr="00E81169">
        <w:rPr>
          <w:sz w:val="24"/>
          <w:lang w:val="hr-HR"/>
        </w:rPr>
        <w:t xml:space="preserve"> </w:t>
      </w:r>
      <w:r w:rsidR="00E81169" w:rsidRPr="00E81169">
        <w:rPr>
          <w:sz w:val="24"/>
          <w:lang w:val="hr-HR"/>
        </w:rPr>
        <w:tab/>
      </w:r>
      <w:r w:rsidRPr="00E81169">
        <w:rPr>
          <w:sz w:val="24"/>
          <w:lang w:val="hr-HR"/>
        </w:rPr>
        <w:t>SL L, 2024/2509, 26.9.2024.,</w:t>
      </w:r>
      <w:r w:rsidR="00904FB2">
        <w:rPr>
          <w:sz w:val="24"/>
          <w:lang w:val="hr-HR"/>
        </w:rPr>
        <w:t xml:space="preserve"> ELI:</w:t>
      </w:r>
      <w:r w:rsidRPr="00E81169">
        <w:rPr>
          <w:sz w:val="24"/>
          <w:lang w:val="hr-HR"/>
        </w:rPr>
        <w:t xml:space="preserve"> </w:t>
      </w:r>
      <w:hyperlink r:id="rId1" w:history="1">
        <w:r w:rsidRPr="00E81169">
          <w:rPr>
            <w:rStyle w:val="Hyperlink"/>
            <w:sz w:val="24"/>
            <w:lang w:val="hr-HR"/>
          </w:rPr>
          <w:t>http://data.europa.eu/eli/reg/2024/2509/oj</w:t>
        </w:r>
      </w:hyperlink>
      <w:r w:rsidRPr="00E81169">
        <w:rPr>
          <w:sz w:val="24"/>
          <w:lang w:val="hr-HR"/>
        </w:rPr>
        <w:t>.</w:t>
      </w:r>
    </w:p>
  </w:footnote>
  <w:footnote w:id="2">
    <w:p w:rsidR="00504D94" w:rsidRPr="00E81169" w:rsidRDefault="00504D94" w:rsidP="00E81169">
      <w:pPr>
        <w:pStyle w:val="FootnoteText"/>
        <w:ind w:left="567" w:hanging="567"/>
        <w:rPr>
          <w:sz w:val="24"/>
          <w:lang w:val="hr-HR"/>
        </w:rPr>
      </w:pPr>
      <w:r w:rsidRPr="00E81169">
        <w:rPr>
          <w:rStyle w:val="FootnoteReference"/>
          <w:sz w:val="24"/>
          <w:lang w:val="hr-HR"/>
        </w:rPr>
        <w:footnoteRef/>
      </w:r>
      <w:r w:rsidR="00E81169" w:rsidRPr="00E81169">
        <w:rPr>
          <w:sz w:val="24"/>
          <w:lang w:val="hr-HR"/>
        </w:rPr>
        <w:t xml:space="preserve"> </w:t>
      </w:r>
      <w:r w:rsidR="00E81169" w:rsidRPr="00E81169">
        <w:rPr>
          <w:sz w:val="24"/>
          <w:lang w:val="hr-HR"/>
        </w:rPr>
        <w:tab/>
      </w:r>
      <w:r w:rsidRPr="00E81169">
        <w:rPr>
          <w:sz w:val="24"/>
          <w:lang w:val="hr-HR"/>
        </w:rPr>
        <w:t xml:space="preserve">SL L, 2024/207, 22.2.2024., ELI: </w:t>
      </w:r>
      <w:hyperlink r:id="rId2" w:history="1">
        <w:r w:rsidRPr="00E81169">
          <w:rPr>
            <w:rStyle w:val="Hyperlink"/>
            <w:sz w:val="24"/>
            <w:lang w:val="hr-HR"/>
          </w:rPr>
          <w:t>http://data.europa.eu/eli/budget/2024/207/oj</w:t>
        </w:r>
      </w:hyperlink>
      <w:r w:rsidRPr="00E81169">
        <w:rPr>
          <w:sz w:val="24"/>
          <w:lang w:val="hr-HR"/>
        </w:rPr>
        <w:t>.</w:t>
      </w:r>
    </w:p>
  </w:footnote>
  <w:footnote w:id="3">
    <w:p w:rsidR="00504D94" w:rsidRPr="00E81169" w:rsidRDefault="00504D94" w:rsidP="00E81169">
      <w:pPr>
        <w:pStyle w:val="FootnoteText"/>
        <w:ind w:left="567" w:hanging="567"/>
        <w:rPr>
          <w:sz w:val="24"/>
          <w:lang w:val="hr-HR"/>
        </w:rPr>
      </w:pPr>
      <w:r w:rsidRPr="00E81169">
        <w:rPr>
          <w:rStyle w:val="FootnoteReference"/>
          <w:sz w:val="24"/>
          <w:lang w:val="hr-HR"/>
        </w:rPr>
        <w:footnoteRef/>
      </w:r>
      <w:r w:rsidR="00E81169" w:rsidRPr="00E81169">
        <w:rPr>
          <w:sz w:val="24"/>
          <w:lang w:val="hr-HR"/>
        </w:rPr>
        <w:t xml:space="preserve"> </w:t>
      </w:r>
      <w:r w:rsidR="00E81169" w:rsidRPr="00E81169">
        <w:rPr>
          <w:sz w:val="24"/>
          <w:lang w:val="hr-HR"/>
        </w:rPr>
        <w:tab/>
      </w:r>
      <w:r w:rsidRPr="00E81169">
        <w:rPr>
          <w:sz w:val="24"/>
          <w:lang w:val="hr-HR"/>
        </w:rPr>
        <w:t xml:space="preserve">SL L 433 I, 22.12.2020., str. 11., ELI: </w:t>
      </w:r>
      <w:hyperlink r:id="rId3" w:history="1">
        <w:r w:rsidRPr="00E81169">
          <w:rPr>
            <w:rStyle w:val="Hyperlink"/>
            <w:sz w:val="24"/>
            <w:lang w:val="hr-HR"/>
          </w:rPr>
          <w:t>http://data.europa.eu/eli/reg/2020/433/oj</w:t>
        </w:r>
      </w:hyperlink>
      <w:r w:rsidRPr="00E81169">
        <w:rPr>
          <w:sz w:val="24"/>
          <w:lang w:val="hr-HR"/>
        </w:rPr>
        <w:t>.</w:t>
      </w:r>
    </w:p>
  </w:footnote>
  <w:footnote w:id="4">
    <w:p w:rsidR="00504D94" w:rsidRPr="00E81169" w:rsidRDefault="00504D94" w:rsidP="00E81169">
      <w:pPr>
        <w:pStyle w:val="FootnoteText"/>
        <w:ind w:left="567" w:hanging="567"/>
        <w:rPr>
          <w:sz w:val="24"/>
          <w:lang w:val="hr-HR"/>
        </w:rPr>
      </w:pPr>
      <w:r w:rsidRPr="00E81169">
        <w:rPr>
          <w:rStyle w:val="FootnoteReference"/>
          <w:sz w:val="24"/>
          <w:lang w:val="hr-HR"/>
        </w:rPr>
        <w:footnoteRef/>
      </w:r>
      <w:r w:rsidR="00E81169" w:rsidRPr="00E81169">
        <w:rPr>
          <w:sz w:val="24"/>
          <w:lang w:val="hr-HR"/>
        </w:rPr>
        <w:t xml:space="preserve"> </w:t>
      </w:r>
      <w:r w:rsidR="00E81169" w:rsidRPr="00E81169">
        <w:rPr>
          <w:sz w:val="24"/>
          <w:lang w:val="hr-HR"/>
        </w:rPr>
        <w:tab/>
      </w:r>
      <w:r w:rsidRPr="00E81169">
        <w:rPr>
          <w:sz w:val="24"/>
          <w:lang w:val="hr-HR"/>
        </w:rPr>
        <w:t xml:space="preserve">SL L 433 I, 22.12.2020., str. 28., ELI: </w:t>
      </w:r>
      <w:hyperlink r:id="rId4" w:history="1">
        <w:r w:rsidRPr="00E81169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E81169">
        <w:rPr>
          <w:sz w:val="24"/>
          <w:lang w:val="hr-HR"/>
        </w:rPr>
        <w:t>.</w:t>
      </w:r>
    </w:p>
  </w:footnote>
  <w:footnote w:id="5">
    <w:p w:rsidR="00504D94" w:rsidRPr="00E81169" w:rsidRDefault="00504D94" w:rsidP="00E81169">
      <w:pPr>
        <w:pStyle w:val="FootnoteText"/>
        <w:ind w:left="567" w:hanging="567"/>
        <w:rPr>
          <w:sz w:val="24"/>
          <w:lang w:val="hr-HR"/>
        </w:rPr>
      </w:pPr>
      <w:r w:rsidRPr="00E81169">
        <w:rPr>
          <w:rStyle w:val="FootnoteReference"/>
          <w:sz w:val="24"/>
          <w:lang w:val="hr-HR"/>
        </w:rPr>
        <w:footnoteRef/>
      </w:r>
      <w:r w:rsidR="00E81169" w:rsidRPr="00E81169">
        <w:rPr>
          <w:sz w:val="24"/>
          <w:lang w:val="hr-HR"/>
        </w:rPr>
        <w:t xml:space="preserve"> </w:t>
      </w:r>
      <w:r w:rsidR="00E81169" w:rsidRPr="00E81169">
        <w:rPr>
          <w:sz w:val="24"/>
          <w:lang w:val="hr-HR"/>
        </w:rPr>
        <w:tab/>
      </w:r>
      <w:r w:rsidRPr="00904FB2">
        <w:rPr>
          <w:sz w:val="24"/>
          <w:lang w:val="hr-HR"/>
        </w:rPr>
        <w:t xml:space="preserve">SL L 424, 15.12.2020., str. 1., ELI: </w:t>
      </w:r>
      <w:hyperlink r:id="rId5" w:history="1">
        <w:r w:rsidRPr="00E81169">
          <w:rPr>
            <w:rStyle w:val="Hyperlink"/>
            <w:sz w:val="24"/>
            <w:lang w:val="hr-HR"/>
          </w:rPr>
          <w:t>http://data.europa.eu/eli/dec/2020/2053/oj</w:t>
        </w:r>
      </w:hyperlink>
      <w:r w:rsidRPr="00E81169">
        <w:rPr>
          <w:sz w:val="24"/>
          <w:lang w:val="hr-HR"/>
        </w:rPr>
        <w:t>.</w:t>
      </w:r>
    </w:p>
  </w:footnote>
  <w:footnote w:id="6">
    <w:p w:rsidR="00504D94" w:rsidRPr="00E81169" w:rsidRDefault="00504D94" w:rsidP="00E81169">
      <w:pPr>
        <w:pStyle w:val="FootnoteText"/>
        <w:ind w:left="567" w:hanging="567"/>
        <w:rPr>
          <w:sz w:val="24"/>
          <w:lang w:val="hr-HR"/>
        </w:rPr>
      </w:pPr>
      <w:r w:rsidRPr="00E81169">
        <w:rPr>
          <w:rStyle w:val="FootnoteReference"/>
          <w:sz w:val="24"/>
          <w:lang w:val="hr-HR"/>
        </w:rPr>
        <w:footnoteRef/>
      </w:r>
      <w:r w:rsidR="00E81169" w:rsidRPr="00E81169">
        <w:rPr>
          <w:sz w:val="24"/>
          <w:lang w:val="hr-HR"/>
        </w:rPr>
        <w:t xml:space="preserve"> </w:t>
      </w:r>
      <w:r w:rsidR="00E81169" w:rsidRPr="00E81169">
        <w:rPr>
          <w:sz w:val="24"/>
          <w:lang w:val="hr-HR"/>
        </w:rPr>
        <w:tab/>
      </w:r>
      <w:r w:rsidRPr="00904FB2">
        <w:rPr>
          <w:sz w:val="24"/>
          <w:lang w:val="hr-HR"/>
        </w:rPr>
        <w:t>Uredba (EU) 2024/2773 Europskog parlamenta i Vijeća od 24. listopada 2024. o uspostavi Mehanizma suradnje za zajmove Ukrajini i pružanju izvanredne makrofinancijske pomoći Ukrajini (SL L, 2024/2773, 28.10.2024</w:t>
      </w:r>
      <w:r w:rsidR="00904FB2" w:rsidRPr="00904FB2">
        <w:rPr>
          <w:sz w:val="24"/>
          <w:lang w:val="hr-HR"/>
        </w:rPr>
        <w:t>.</w:t>
      </w:r>
      <w:r w:rsidRPr="00904FB2">
        <w:rPr>
          <w:sz w:val="24"/>
          <w:lang w:val="hr-HR"/>
        </w:rPr>
        <w:t xml:space="preserve">, ELI: </w:t>
      </w:r>
      <w:hyperlink r:id="rId6" w:history="1">
        <w:r w:rsidRPr="00E81169">
          <w:rPr>
            <w:rStyle w:val="Hyperlink"/>
            <w:sz w:val="24"/>
            <w:lang w:val="hr-HR"/>
          </w:rPr>
          <w:t>http://data.europa.eu/eli/reg/2024/2773/oj</w:t>
        </w:r>
      </w:hyperlink>
      <w:r w:rsidRPr="00E81169">
        <w:rPr>
          <w:sz w:val="24"/>
          <w:lang w:val="hr-HR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1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1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1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HR"/>
    <w:docVar w:name="dvnumam" w:val="0"/>
    <w:docVar w:name="dvpe" w:val="765.136"/>
    <w:docVar w:name="dvrapporteur" w:val="Izvjestitelj: "/>
    <w:docVar w:name="dvtitre" w:val="Zakonodavna rezolucija Europskog parlamenta od .... 2024. o stajalištu Vijeća o nacrtu izmjene proračuna br. 5/2024 Europske unije za financijsku godinu 2024. – prilagodba odobrenih sredstava za plaćanje, ažuriranje prihoda i druga tehnička ažuriranja(14477/2024 – C10-0186/2024 – 2024/0252(BUD))"/>
  </w:docVars>
  <w:rsids>
    <w:rsidRoot w:val="006B18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C2D"/>
    <w:rsid w:val="002767FF"/>
    <w:rsid w:val="002B18FE"/>
    <w:rsid w:val="002B5493"/>
    <w:rsid w:val="003327F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D9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84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FB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842"/>
    <w:rsid w:val="00E81169"/>
    <w:rsid w:val="00E820A4"/>
    <w:rsid w:val="00EB006A"/>
    <w:rsid w:val="00EB4772"/>
    <w:rsid w:val="00ED169E"/>
    <w:rsid w:val="00ED4235"/>
    <w:rsid w:val="00F04346"/>
    <w:rsid w:val="00F075DC"/>
    <w:rsid w:val="00F149E9"/>
    <w:rsid w:val="00F510E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0BDF6"/>
  <w15:chartTrackingRefBased/>
  <w15:docId w15:val="{F7D52875-E797-405A-B0B3-A5A366EC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4D94"/>
    <w:pPr>
      <w:spacing w:before="480" w:after="240"/>
    </w:pPr>
  </w:style>
  <w:style w:type="paragraph" w:customStyle="1" w:styleId="NormalHanging12a">
    <w:name w:val="NormalHanging12a"/>
    <w:basedOn w:val="Normal"/>
    <w:rsid w:val="00504D94"/>
    <w:pPr>
      <w:spacing w:after="240"/>
      <w:ind w:left="567" w:hanging="567"/>
    </w:pPr>
  </w:style>
  <w:style w:type="character" w:styleId="Hyperlink">
    <w:name w:val="Hyperlink"/>
    <w:basedOn w:val="DefaultParagraphFont"/>
    <w:rsid w:val="00504D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reg/2024/2773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D8A06-59F8-4E31-8240-B7A76BEC8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1315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2024-11-27T11:50:00Z</dcterms:created>
  <dcterms:modified xsi:type="dcterms:W3CDTF">2024-11-27T11:50:00Z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A10-0017/2024</vt:lpwstr>
  </property>
  <property fmtid="{D5CDD505-2E9C-101B-9397-08002B2CF9AE}" pid="4" name="&lt;Type&gt;">
    <vt:lpwstr>RR</vt:lpwstr>
  </property>
</Properties>
</file>