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4D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4D78" w:rsidRDefault="007037D0" w:rsidP="0010095E">
            <w:pPr>
              <w:pStyle w:val="EPName"/>
            </w:pPr>
            <w:r w:rsidRPr="00104D78">
              <w:t>Európai Parlament</w:t>
            </w:r>
          </w:p>
          <w:p w:rsidR="00751A4A" w:rsidRPr="00104D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4D78">
              <w:t>2024</w:t>
            </w:r>
            <w:r w:rsidR="00817416" w:rsidRPr="00104D78">
              <w:t>-202</w:t>
            </w:r>
            <w:r w:rsidRPr="00104D7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04D78" w:rsidRDefault="00187494" w:rsidP="0010095E">
            <w:pPr>
              <w:pStyle w:val="EPLogo"/>
            </w:pPr>
            <w:r w:rsidRPr="00104D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4D78" w:rsidRDefault="00D058B8" w:rsidP="004C5D52">
      <w:pPr>
        <w:pStyle w:val="LineTop"/>
      </w:pPr>
    </w:p>
    <w:p w:rsidR="00680577" w:rsidRPr="00104D78" w:rsidRDefault="007037D0" w:rsidP="00680577">
      <w:pPr>
        <w:pStyle w:val="EPBodyTA1"/>
      </w:pPr>
      <w:r w:rsidRPr="00104D78">
        <w:t>ELFOGADOTT SZÖVEGEK</w:t>
      </w:r>
    </w:p>
    <w:p w:rsidR="00D058B8" w:rsidRPr="00104D78" w:rsidRDefault="00D058B8" w:rsidP="00D058B8">
      <w:pPr>
        <w:pStyle w:val="LineBottom"/>
      </w:pPr>
    </w:p>
    <w:p w:rsidR="007037D0" w:rsidRPr="00104D78" w:rsidRDefault="007037D0" w:rsidP="007037D0">
      <w:pPr>
        <w:pStyle w:val="ATHeading1"/>
      </w:pPr>
      <w:bookmarkStart w:id="0" w:name="TANumber"/>
      <w:r w:rsidRPr="00104D78">
        <w:t>P10_</w:t>
      </w:r>
      <w:proofErr w:type="gramStart"/>
      <w:r w:rsidRPr="00104D78">
        <w:t>TA(</w:t>
      </w:r>
      <w:proofErr w:type="gramEnd"/>
      <w:r w:rsidRPr="00104D78">
        <w:t>2024)00</w:t>
      </w:r>
      <w:r w:rsidR="00104D78" w:rsidRPr="00104D78">
        <w:t>49</w:t>
      </w:r>
      <w:bookmarkEnd w:id="0"/>
    </w:p>
    <w:p w:rsidR="007037D0" w:rsidRPr="00104D78" w:rsidRDefault="007037D0" w:rsidP="007037D0">
      <w:pPr>
        <w:pStyle w:val="ATHeading2"/>
      </w:pPr>
      <w:bookmarkStart w:id="1" w:name="title"/>
      <w:r w:rsidRPr="00104D78">
        <w:t xml:space="preserve">5/2024. sz. költségvetésmódosítás-tervezet: a kifizetési előirányzatok kiigazítása, a bevételek </w:t>
      </w:r>
      <w:proofErr w:type="gramStart"/>
      <w:r w:rsidRPr="00104D78">
        <w:t>aktualizálása</w:t>
      </w:r>
      <w:proofErr w:type="gramEnd"/>
      <w:r w:rsidRPr="00104D78">
        <w:t xml:space="preserve"> és egyéb technikai frissítések</w:t>
      </w:r>
      <w:bookmarkEnd w:id="1"/>
    </w:p>
    <w:p w:rsidR="007037D0" w:rsidRPr="00104D78" w:rsidRDefault="007037D0" w:rsidP="007037D0">
      <w:pPr>
        <w:rPr>
          <w:i/>
          <w:vanish/>
        </w:rPr>
      </w:pPr>
      <w:r w:rsidRPr="00104D78">
        <w:rPr>
          <w:i/>
        </w:rPr>
        <w:fldChar w:fldCharType="begin"/>
      </w:r>
      <w:r w:rsidRPr="00104D78">
        <w:rPr>
          <w:i/>
        </w:rPr>
        <w:instrText xml:space="preserve"> TC"(</w:instrText>
      </w:r>
      <w:bookmarkStart w:id="2" w:name="DocNumber"/>
      <w:r w:rsidRPr="00104D78">
        <w:rPr>
          <w:i/>
        </w:rPr>
        <w:instrText>A10-0017/2024</w:instrText>
      </w:r>
      <w:bookmarkEnd w:id="2"/>
      <w:r w:rsidRPr="00104D78">
        <w:rPr>
          <w:i/>
        </w:rPr>
        <w:instrText xml:space="preserve"> - Előadó: Siegfried Mureşan)"\l3 \n&gt; \* MERGEFORMAT </w:instrText>
      </w:r>
      <w:r w:rsidRPr="00104D78">
        <w:rPr>
          <w:i/>
        </w:rPr>
        <w:fldChar w:fldCharType="end"/>
      </w:r>
    </w:p>
    <w:p w:rsidR="007037D0" w:rsidRPr="00104D78" w:rsidRDefault="007037D0" w:rsidP="007037D0">
      <w:pPr>
        <w:rPr>
          <w:vanish/>
        </w:rPr>
      </w:pPr>
      <w:bookmarkStart w:id="3" w:name="Commission"/>
      <w:r w:rsidRPr="00104D78">
        <w:rPr>
          <w:vanish/>
        </w:rPr>
        <w:t>Költségvetési Bizottság</w:t>
      </w:r>
      <w:bookmarkEnd w:id="3"/>
    </w:p>
    <w:p w:rsidR="007037D0" w:rsidRPr="00104D78" w:rsidRDefault="007037D0" w:rsidP="007037D0">
      <w:pPr>
        <w:rPr>
          <w:vanish/>
        </w:rPr>
      </w:pPr>
      <w:bookmarkStart w:id="4" w:name="PE"/>
      <w:r w:rsidRPr="00104D78">
        <w:rPr>
          <w:vanish/>
        </w:rPr>
        <w:t>PE765.136</w:t>
      </w:r>
      <w:bookmarkEnd w:id="4"/>
    </w:p>
    <w:p w:rsidR="007037D0" w:rsidRPr="00104D78" w:rsidRDefault="007037D0" w:rsidP="007037D0">
      <w:pPr>
        <w:pStyle w:val="ATHeading3"/>
      </w:pPr>
      <w:bookmarkStart w:id="5" w:name="Sujet"/>
      <w:r w:rsidRPr="00104D78">
        <w:t xml:space="preserve">Az Európai Parlament 2024. </w:t>
      </w:r>
      <w:r w:rsidR="00AD78EB" w:rsidRPr="00104D78">
        <w:t>november</w:t>
      </w:r>
      <w:r w:rsidRPr="00104D78">
        <w:t xml:space="preserve"> </w:t>
      </w:r>
      <w:r w:rsidR="00B46D3A" w:rsidRPr="00104D78">
        <w:t>27</w:t>
      </w:r>
      <w:r w:rsidRPr="00104D78">
        <w:t xml:space="preserve">-i állásfoglalása az Európai Unió 2024. évi pénzügyi évre vonatkozó, 5/2024. számú költségvetés-módosítási tervezetéről – a kifizetési előirányzatok kiigazításáról, a bevételek </w:t>
      </w:r>
      <w:proofErr w:type="gramStart"/>
      <w:r w:rsidRPr="00104D78">
        <w:t>aktualizálásáról</w:t>
      </w:r>
      <w:proofErr w:type="gramEnd"/>
      <w:r w:rsidRPr="00104D78">
        <w:t xml:space="preserve"> és egyéb technikai frissítésekről szóló tanácsi álláspontról</w:t>
      </w:r>
      <w:bookmarkEnd w:id="5"/>
      <w:r w:rsidRPr="00104D78">
        <w:t xml:space="preserve"> </w:t>
      </w:r>
      <w:bookmarkStart w:id="6" w:name="References"/>
      <w:r w:rsidRPr="00104D78">
        <w:t>(14477/2024 – C10-0186/2024 – 2024/0252(BUD))</w:t>
      </w:r>
      <w:bookmarkEnd w:id="6"/>
    </w:p>
    <w:p w:rsidR="0065283E" w:rsidRPr="00104D78" w:rsidRDefault="0065283E" w:rsidP="0065283E">
      <w:pPr>
        <w:pStyle w:val="EPComma"/>
      </w:pPr>
      <w:bookmarkStart w:id="7" w:name="TextBodyBegin"/>
      <w:bookmarkEnd w:id="7"/>
      <w:r w:rsidRPr="00104D78">
        <w:rPr>
          <w:i/>
        </w:rPr>
        <w:t>Az Európai Parlament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>tekintettel az Európai Unió működéséről szóló szerződés 314. cikkére,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>tekintettel az Európai Atomenergia-közösséget létrehozó szerződés 106a. cikkére,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 xml:space="preserve">tekintettel az Unió általános költségvetésére alkalmazandó pénzügyi szabályokról szóló, 2024. szeptember 23-i </w:t>
      </w:r>
      <w:r w:rsidR="00C83D2A">
        <w:t>(</w:t>
      </w:r>
      <w:r w:rsidR="00C83D2A" w:rsidRPr="00104D78">
        <w:t>EU, Euratom</w:t>
      </w:r>
      <w:r w:rsidR="00C83D2A">
        <w:t xml:space="preserve">) </w:t>
      </w:r>
      <w:r w:rsidRPr="00104D78">
        <w:t>2024/</w:t>
      </w:r>
      <w:r w:rsidR="002D196A">
        <w:t>2509</w:t>
      </w:r>
      <w:r w:rsidRPr="00104D78">
        <w:t xml:space="preserve"> európai parlamenti és tanácsi rendeletre</w:t>
      </w:r>
      <w:r w:rsidRPr="00104D78">
        <w:rPr>
          <w:rStyle w:val="FootnoteReference"/>
        </w:rPr>
        <w:footnoteReference w:id="1"/>
      </w:r>
      <w:r w:rsidRPr="00104D78">
        <w:t xml:space="preserve"> és különösen annak 44. cikkére,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>tekintettel az Európai Unió 2024. évi pénzügyi évre szóló általános költségvetésére, amelyet 2023. november 22-én fogadtak el véglegesen</w:t>
      </w:r>
      <w:r w:rsidRPr="00104D78">
        <w:rPr>
          <w:rStyle w:val="FootnoteReference"/>
        </w:rPr>
        <w:footnoteReference w:id="2"/>
      </w:r>
      <w:r w:rsidRPr="00104D78">
        <w:t>,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>tekintettel a 2021–2027-es időszakra vonatkozó többéves pénzügyi keretről szóló, 2020. december 17-i (EU, Euratom) </w:t>
      </w:r>
      <w:bookmarkStart w:id="8" w:name="_GoBack"/>
      <w:bookmarkEnd w:id="8"/>
      <w:r w:rsidRPr="00104D78">
        <w:t>2020/2093 tanácsi rendeletre</w:t>
      </w:r>
      <w:r w:rsidRPr="00104D78">
        <w:rPr>
          <w:rStyle w:val="FootnoteReference"/>
        </w:rPr>
        <w:footnoteReference w:id="3"/>
      </w:r>
      <w:r w:rsidRPr="00104D78">
        <w:t>,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vonatkozó ütemtervről szóló, 2020. december 16-i intézményközi megállapodásra</w:t>
      </w:r>
      <w:r w:rsidRPr="00104D78">
        <w:rPr>
          <w:rStyle w:val="FootnoteReference"/>
        </w:rPr>
        <w:footnoteReference w:id="4"/>
      </w:r>
      <w:r w:rsidRPr="00104D78">
        <w:t>,</w:t>
      </w:r>
    </w:p>
    <w:p w:rsidR="0065283E" w:rsidRPr="00104D78" w:rsidRDefault="0065283E" w:rsidP="00AD78EB">
      <w:pPr>
        <w:pStyle w:val="NormalHanging12a"/>
        <w:widowControl/>
      </w:pPr>
      <w:r w:rsidRPr="00104D78">
        <w:lastRenderedPageBreak/>
        <w:t>–</w:t>
      </w:r>
      <w:r w:rsidRPr="00104D78">
        <w:tab/>
        <w:t>tekintettel az Európai Unió saját forrásainak rendszeréről és a 2014/335/EU, Euratom határozat hatályon kívül helyezéséről szóló, 2020. december 14-i (EU, Euratom) 2020/2053 tanácsi határozatra</w:t>
      </w:r>
      <w:r w:rsidRPr="00104D78">
        <w:rPr>
          <w:rStyle w:val="FootnoteReference"/>
        </w:rPr>
        <w:footnoteReference w:id="5"/>
      </w:r>
      <w:r w:rsidRPr="00104D78">
        <w:t>,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>tekintettel a Bizottság által 2024. október 10-én elfogadott, 5/2024. számú költségvetés-módosítási tervezetre (</w:t>
      </w:r>
      <w:proofErr w:type="gramStart"/>
      <w:r w:rsidRPr="00104D78">
        <w:t>COM(</w:t>
      </w:r>
      <w:proofErr w:type="gramEnd"/>
      <w:r w:rsidRPr="00104D78">
        <w:t>2024)0650),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>tekintettel a Tanács által 2024. november 5-én elfogadott, és a Parlamentnek 2024. november 12-én továbbított, a</w:t>
      </w:r>
      <w:r w:rsidR="00C83D2A">
        <w:t>z</w:t>
      </w:r>
      <w:r w:rsidRPr="00104D78">
        <w:t xml:space="preserve"> 5/2024. számú költségvetés-módosítási tervezetről szóló álláspontra (14477/2024 – C10-0186/2024),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>tekintettel eljárási szabályzata 96. és 98. cikkére,</w:t>
      </w:r>
    </w:p>
    <w:p w:rsidR="0065283E" w:rsidRPr="00104D78" w:rsidRDefault="0065283E" w:rsidP="00AD78EB">
      <w:pPr>
        <w:pStyle w:val="NormalHanging12a"/>
        <w:widowControl/>
      </w:pPr>
      <w:r w:rsidRPr="00104D78">
        <w:t>–</w:t>
      </w:r>
      <w:r w:rsidRPr="00104D78">
        <w:tab/>
        <w:t>tekintettel a Költségvetési Bizottság jelentésére (A10-0017/2024),</w:t>
      </w:r>
    </w:p>
    <w:p w:rsidR="0065283E" w:rsidRPr="00104D78" w:rsidRDefault="0065283E" w:rsidP="00AD78EB">
      <w:pPr>
        <w:pStyle w:val="NormalHanging12a"/>
        <w:widowControl/>
      </w:pPr>
      <w:r w:rsidRPr="00104D78">
        <w:t>A.</w:t>
      </w:r>
      <w:r w:rsidRPr="00104D78">
        <w:tab/>
        <w:t xml:space="preserve">mivel az 5/2024. számú költségvetés-módosítási tervezet célja a kiadások kiigazítása, különösen a kifizetési előirányzatok tekintetében, valamint az uniós költségvetés bevételeinek </w:t>
      </w:r>
      <w:proofErr w:type="gramStart"/>
      <w:r w:rsidRPr="00104D78">
        <w:t>aktualizálása</w:t>
      </w:r>
      <w:proofErr w:type="gramEnd"/>
      <w:r w:rsidRPr="00104D78">
        <w:t>;</w:t>
      </w:r>
    </w:p>
    <w:p w:rsidR="0065283E" w:rsidRPr="00104D78" w:rsidRDefault="0065283E" w:rsidP="00AD78EB">
      <w:pPr>
        <w:pStyle w:val="NormalHanging12a"/>
        <w:widowControl/>
      </w:pPr>
      <w:proofErr w:type="gramStart"/>
      <w:r w:rsidRPr="00104D78">
        <w:t>B.</w:t>
      </w:r>
      <w:r w:rsidRPr="00104D78">
        <w:tab/>
        <w:t>mivel a kiadásokkal kapcsolatban az 5/2024. számú költségvetés-módosítási tervezet a kötelezettségvállalási előirányzatok 44,5 millió EUR-val és a kifizetési előirányzatok 2,95 milliárd EUR-val történő nettó növekedését vonja maga után; mivel a többéves pénzügyi keret 2b., 5. és 7. fejezete alatt rendelkezésre álló mozgástér hiányában a Bizottság további 7,2 millió EUR igénybevételét javasolja a Rugalmassági Eszközből, és további 68,5 millió EUR-t az egységes tartalékeszköz a) komponenséből;</w:t>
      </w:r>
      <w:proofErr w:type="gramEnd"/>
    </w:p>
    <w:p w:rsidR="0065283E" w:rsidRPr="00104D78" w:rsidRDefault="0065283E" w:rsidP="00AD78EB">
      <w:pPr>
        <w:pStyle w:val="NormalHanging12a"/>
        <w:widowControl/>
      </w:pPr>
      <w:r w:rsidRPr="00104D78">
        <w:t>C.</w:t>
      </w:r>
      <w:r w:rsidRPr="00104D78">
        <w:tab/>
        <w:t>mivel a bevételi oldalon az 5/2024. számú költségvetés-módosítási tervezet 2024 októberéig összesen 2,82 milliárd EUR összegű végleges pénzbírságot és bírságot vezet be a 2024. évi költségvetésbe, ami azt jelenti, hogy a kifizetési igények kielégítéséhez 139,9 millió EUR összegű kiegészítő GNI-hozzájárulásra van szükség;</w:t>
      </w:r>
    </w:p>
    <w:p w:rsidR="0065283E" w:rsidRPr="00104D78" w:rsidRDefault="0065283E" w:rsidP="00AD78EB">
      <w:pPr>
        <w:pStyle w:val="NormalHanging12a"/>
        <w:widowControl/>
      </w:pPr>
      <w:r w:rsidRPr="00104D78">
        <w:t>D.</w:t>
      </w:r>
      <w:r w:rsidRPr="00104D78">
        <w:tab/>
        <w:t xml:space="preserve">mivel az 5/2024. számú költségvetés-módosítási tervezet új bevételi és kiadási költségvetési sorokat is bevezet az ukrajnai hitelegyüttműködési mechanizmus számára, amelynek keretében a támogatást az </w:t>
      </w:r>
      <w:proofErr w:type="spellStart"/>
      <w:r w:rsidRPr="00104D78">
        <w:t>immobilizált</w:t>
      </w:r>
      <w:proofErr w:type="spellEnd"/>
      <w:r w:rsidRPr="00104D78">
        <w:t xml:space="preserve"> orosz állami eszközökből származó jövőbeli bevételekből biztosított és visszafizetett hiteleken keresztül nyújtják;</w:t>
      </w:r>
    </w:p>
    <w:p w:rsidR="0065283E" w:rsidRPr="00104D78" w:rsidRDefault="0065283E" w:rsidP="00AD78EB">
      <w:pPr>
        <w:pStyle w:val="NormalHanging12a"/>
        <w:widowControl/>
      </w:pPr>
      <w:r w:rsidRPr="00104D78">
        <w:t>1.</w:t>
      </w:r>
      <w:r w:rsidRPr="00104D78">
        <w:tab/>
        <w:t>tudomásul veszi az 5/2024. számú költségvetés-módosítási tervezetet, annak a Bizottság által benyújtott formájában;</w:t>
      </w:r>
    </w:p>
    <w:p w:rsidR="0065283E" w:rsidRPr="00104D78" w:rsidRDefault="0065283E" w:rsidP="00AD78EB">
      <w:pPr>
        <w:pStyle w:val="NormalHanging12a"/>
        <w:widowControl/>
      </w:pPr>
      <w:r w:rsidRPr="00104D78">
        <w:t>2.</w:t>
      </w:r>
      <w:r w:rsidRPr="00104D78">
        <w:tab/>
        <w:t xml:space="preserve">üdvözli az Európai Regionális Fejlesztési Alap (ERFA) megnövekedett kifizetési igényeit, valamint a közös agrárpolitikára vonatkozó kifizetési igényeket a </w:t>
      </w:r>
      <w:proofErr w:type="gramStart"/>
      <w:r w:rsidRPr="00104D78">
        <w:t>globális</w:t>
      </w:r>
      <w:proofErr w:type="gramEnd"/>
      <w:r w:rsidRPr="00104D78">
        <w:t xml:space="preserve"> átcsoportosítás keretében (DEC 11/24), ami azt jelzi, hogy a program végrehajtása a 2021–2027-es időszak aggasztóan lassú kezdete után lendületbe jött; </w:t>
      </w:r>
    </w:p>
    <w:p w:rsidR="0065283E" w:rsidRPr="00104D78" w:rsidRDefault="0065283E" w:rsidP="00AD78EB">
      <w:pPr>
        <w:pStyle w:val="NormalHanging12a"/>
        <w:widowControl/>
      </w:pPr>
      <w:r w:rsidRPr="00104D78">
        <w:t>3.</w:t>
      </w:r>
      <w:r w:rsidRPr="00104D78">
        <w:tab/>
        <w:t>örömmel állapítja meg, hogy a Stratégiai Technológiák Európai Platformja (STEP) által bevezetett szabályok módosítása – kivételes előfinanszírozással és önkéntes 100%-</w:t>
      </w:r>
      <w:proofErr w:type="spellStart"/>
      <w:r w:rsidRPr="00104D78">
        <w:t>os</w:t>
      </w:r>
      <w:proofErr w:type="spellEnd"/>
      <w:r w:rsidRPr="00104D78">
        <w:t xml:space="preserve"> társfinanszírozással – pozitív hatást gyakorolt az ERFA végrehajtására, ami azt jelenti, hogy a tagállamok kiadásokat fordítanak a STEP célkitűzéseire; úgy véli továbbá, hogy </w:t>
      </w:r>
      <w:r w:rsidRPr="00104D78">
        <w:lastRenderedPageBreak/>
        <w:t>a kifizetések 2024-ben történő emelésének hozzá kell járulnia a 2025 és 2027 közötti kifizetésekre nehezedő nyomás enyhítéséhez;</w:t>
      </w:r>
    </w:p>
    <w:p w:rsidR="0065283E" w:rsidRPr="00104D78" w:rsidRDefault="0065283E" w:rsidP="00AD78EB">
      <w:pPr>
        <w:pStyle w:val="NormalHanging12a"/>
        <w:widowControl/>
      </w:pPr>
      <w:r w:rsidRPr="00104D78">
        <w:t>4.</w:t>
      </w:r>
      <w:r w:rsidRPr="00104D78">
        <w:tab/>
      </w:r>
      <w:proofErr w:type="spellStart"/>
      <w:r w:rsidRPr="00104D78">
        <w:t>megjegyzi</w:t>
      </w:r>
      <w:proofErr w:type="spellEnd"/>
      <w:r w:rsidRPr="00104D78">
        <w:t>, hogy a megnövekedett kifizetési igényeket szinte teljes egészében bírságokból és büntetésekből származó bevételek fedezik, például a Google-</w:t>
      </w:r>
      <w:proofErr w:type="spellStart"/>
      <w:r w:rsidRPr="00104D78">
        <w:t>ra</w:t>
      </w:r>
      <w:proofErr w:type="spellEnd"/>
      <w:r w:rsidRPr="00104D78">
        <w:t xml:space="preserve"> a trösztellenes szabályok megsértése miatt kiszabott 2,4 milliárd EUR összegű versenyjogi bírságból;</w:t>
      </w:r>
    </w:p>
    <w:p w:rsidR="0065283E" w:rsidRPr="00104D78" w:rsidRDefault="0065283E" w:rsidP="00AD78EB">
      <w:pPr>
        <w:pStyle w:val="NormalHanging12a"/>
        <w:widowControl/>
      </w:pPr>
      <w:proofErr w:type="gramStart"/>
      <w:r w:rsidRPr="00104D78">
        <w:t>5.</w:t>
      </w:r>
      <w:r w:rsidRPr="00104D78">
        <w:tab/>
        <w:t xml:space="preserve">megismétli, hogy az uniós költségvetésnek – amely az elmúlt évek </w:t>
      </w:r>
      <w:r w:rsidR="00AA6023" w:rsidRPr="00104D78">
        <w:t>különböző</w:t>
      </w:r>
      <w:r w:rsidRPr="00104D78">
        <w:t xml:space="preserve"> válság</w:t>
      </w:r>
      <w:r w:rsidR="00AA6023" w:rsidRPr="00104D78">
        <w:t>aira való</w:t>
      </w:r>
      <w:r w:rsidRPr="00104D78">
        <w:t xml:space="preserve"> reagál</w:t>
      </w:r>
      <w:r w:rsidR="00AA6023" w:rsidRPr="00104D78">
        <w:t>ás miatt komoly terhelést kapott</w:t>
      </w:r>
      <w:r w:rsidRPr="00104D78">
        <w:t xml:space="preserve"> – hosszú távon fenntartható bevételekre van szüksége; ezért sajnálatát fejezi ki amiatt, hogy a Tanácsban nem történt előrelépés a saját források rendszerének az intézményközi megállapodásban foglalt ütemtervnek megfelelő reformja terén; emlékeztet a módosított bizottsági javaslatokat támogató álláspontjára, és sürgeti a Tanácsot</w:t>
      </w:r>
      <w:r w:rsidR="001C5995" w:rsidRPr="00104D78">
        <w:t xml:space="preserve"> és a tagállamokat</w:t>
      </w:r>
      <w:r w:rsidRPr="00104D78">
        <w:t>, hogy mielőbb fogadj</w:t>
      </w:r>
      <w:r w:rsidR="001C5995" w:rsidRPr="00104D78">
        <w:t>ák</w:t>
      </w:r>
      <w:r w:rsidRPr="00104D78">
        <w:t xml:space="preserve"> el </w:t>
      </w:r>
      <w:r w:rsidR="001C5995" w:rsidRPr="00104D78">
        <w:t>az említett</w:t>
      </w:r>
      <w:r w:rsidRPr="00104D78">
        <w:t xml:space="preserve"> javaslatokat az uniós költségvetés rendelkezésére álló saját források növelése</w:t>
      </w:r>
      <w:proofErr w:type="gramEnd"/>
      <w:r w:rsidRPr="00104D78">
        <w:t xml:space="preserve"> </w:t>
      </w:r>
      <w:proofErr w:type="gramStart"/>
      <w:r w:rsidRPr="00104D78">
        <w:t>érdekében</w:t>
      </w:r>
      <w:proofErr w:type="gramEnd"/>
      <w:r w:rsidRPr="00104D78">
        <w:t>; emlékeztet régóta képviselt álláspontjára, amely szerint a bírságokat és díjakat az uniós költségvetés többletbevételeként kell felhasználni;</w:t>
      </w:r>
    </w:p>
    <w:p w:rsidR="0065283E" w:rsidRPr="00104D78" w:rsidRDefault="0065283E" w:rsidP="00AD78EB">
      <w:pPr>
        <w:pStyle w:val="NormalHanging12a"/>
        <w:widowControl/>
      </w:pPr>
      <w:r w:rsidRPr="00104D78">
        <w:t>6.</w:t>
      </w:r>
      <w:r w:rsidRPr="00104D78">
        <w:tab/>
        <w:t xml:space="preserve">üdvözli az az Ukrajnának nyújtott hitelre vonatkozó együttműködési mechanizmus bevételi és kiadási költségvetési sorainak beillesztését; hangsúlyozza az Ukrajnának nyújtott tartós pénzügyi támogatás fontosságát egy olyan környezetben, amikor az Ukrajna-eszköz és a meglévő makroszintű pénzügyi támogatási megállapodások keretében történő finanszírozás nem felel meg a szükségleteknek; </w:t>
      </w:r>
    </w:p>
    <w:p w:rsidR="0065283E" w:rsidRPr="00104D78" w:rsidRDefault="0065283E" w:rsidP="00AD78EB">
      <w:pPr>
        <w:pStyle w:val="NormalHanging12a"/>
        <w:widowControl/>
      </w:pPr>
      <w:r w:rsidRPr="00104D78">
        <w:t>7.</w:t>
      </w:r>
      <w:r w:rsidRPr="00104D78">
        <w:tab/>
        <w:t>emlékeztet arra, hogy a további MFA-hiteleket a költségvetés mozgástere fogja biztosítani, és megismétli a Bizottsághoz intézett azon felhívását, hogy tájékoztassa a költségvetési hatóságot a hitelfelvételi és hitelnyújtási műveletektől függő mozgástérre vonatkozó kötelezettségek összesítésére vonatkozó részletes információkról; elvárja, hogy a Bizottság az (EU) 2024/2773 európai parlamenti és tanácsi rendelethez</w:t>
      </w:r>
      <w:r w:rsidRPr="00104D78">
        <w:rPr>
          <w:rStyle w:val="FootnoteReference"/>
          <w:bCs/>
          <w:color w:val="333333"/>
          <w:shd w:val="clear" w:color="auto" w:fill="FFFFFF"/>
        </w:rPr>
        <w:footnoteReference w:id="6"/>
      </w:r>
      <w:r w:rsidRPr="00104D78">
        <w:t xml:space="preserve"> csatolt nyilatkozatának megfelelően bocsássa a Parlament és a Tanács rendelkezésére az összes szükséges információt;</w:t>
      </w:r>
    </w:p>
    <w:p w:rsidR="0065283E" w:rsidRPr="00104D78" w:rsidRDefault="0065283E" w:rsidP="00AD78EB">
      <w:pPr>
        <w:pStyle w:val="NormalHanging12a"/>
        <w:widowControl/>
      </w:pPr>
      <w:r w:rsidRPr="00104D78">
        <w:t>8.</w:t>
      </w:r>
      <w:r w:rsidRPr="00104D78">
        <w:tab/>
        <w:t xml:space="preserve">tudomásul veszi a 2024-re tervezettnél magasabb bérkiigazítást, amely hatással van mind a javadalmazásra, mind a nyugdíjakra, és 2024-ben az </w:t>
      </w:r>
      <w:proofErr w:type="spellStart"/>
      <w:r w:rsidRPr="00104D78">
        <w:t>előrejelzéseknél</w:t>
      </w:r>
      <w:proofErr w:type="spellEnd"/>
      <w:r w:rsidRPr="00104D78">
        <w:t xml:space="preserve"> magasabb volt az új nyugdíjasok száma, ami tovább növeli a nyugdíjköltségeket; üdvözli, hogy az intézmények közötti szinte valamennyi többletköltséget belső átcsoportosításokkal fedezték, és hogy ezért az egységes tartalékeszköz igénybevétele korlátozott;</w:t>
      </w:r>
    </w:p>
    <w:p w:rsidR="0065283E" w:rsidRPr="00104D78" w:rsidRDefault="0065283E" w:rsidP="00AD78EB">
      <w:pPr>
        <w:pStyle w:val="NormalHanging12a"/>
        <w:widowControl/>
      </w:pPr>
      <w:r w:rsidRPr="00104D78">
        <w:t>9.</w:t>
      </w:r>
      <w:r w:rsidRPr="00104D78">
        <w:tab/>
        <w:t>hangsúlyozza, hogy a bérkiigazítás a decentralizált ügynökségeket is érinti, amelyek az éves költségvetésük növekedésének 2%-</w:t>
      </w:r>
      <w:proofErr w:type="spellStart"/>
      <w:r w:rsidRPr="00104D78">
        <w:t>os</w:t>
      </w:r>
      <w:proofErr w:type="spellEnd"/>
      <w:r w:rsidRPr="00104D78">
        <w:t xml:space="preserve"> </w:t>
      </w:r>
      <w:proofErr w:type="spellStart"/>
      <w:r w:rsidRPr="00104D78">
        <w:t>deflátorát</w:t>
      </w:r>
      <w:proofErr w:type="spellEnd"/>
      <w:r w:rsidRPr="00104D78">
        <w:t xml:space="preserve"> meghaladó inflációval küzdenek, és különösen abban a tekintetben, hogy a kiadások nagy részét a személyzeti és működési költségek teszik ki; üdvözli, hogy azok az ügynökségek tekintetében, amelyek átcsoportosítások révén nem találták meg a forrásokat, 1,7%-</w:t>
      </w:r>
      <w:proofErr w:type="spellStart"/>
      <w:r w:rsidRPr="00104D78">
        <w:t>kal</w:t>
      </w:r>
      <w:proofErr w:type="spellEnd"/>
      <w:r w:rsidRPr="00104D78">
        <w:t xml:space="preserve"> növelik az uniós hozzájárulást; megismétli, hogy a decentralizált ügynökségek költségvetésének </w:t>
      </w:r>
      <w:r w:rsidRPr="00104D78">
        <w:lastRenderedPageBreak/>
        <w:t>jelenlegi kezelése további mérlegelést igényel a 2027 utáni többéves pénzügyi keretre való bizottsági felkészülés részeként;</w:t>
      </w:r>
    </w:p>
    <w:p w:rsidR="0065283E" w:rsidRPr="00104D78" w:rsidRDefault="0065283E" w:rsidP="00AD78EB">
      <w:pPr>
        <w:pStyle w:val="NormalHanging12a"/>
        <w:widowControl/>
      </w:pPr>
      <w:r w:rsidRPr="00104D78">
        <w:t>10.</w:t>
      </w:r>
      <w:r w:rsidRPr="00104D78">
        <w:tab/>
        <w:t>tudomásul veszi a szabadságon, a biztonságon és a jog érvényesülésén alapuló térség nagyméretű IT-rendszereinek üzemeltetési igazgatását végző európai uniós ügynökség (</w:t>
      </w:r>
      <w:proofErr w:type="spellStart"/>
      <w:r w:rsidRPr="00104D78">
        <w:t>eu</w:t>
      </w:r>
      <w:proofErr w:type="spellEnd"/>
      <w:r w:rsidRPr="00104D78">
        <w:t>-LISA) előirányzatainak növekedését az emelkedő költségek fedezése érdekében, azonban aggodalmát fejezi ki az Európai Unió Menekültügyi Ügynöksége (EUAA) előirányzatainak ennek megfelelő csökkentése miatt; üdvözli, hogy az EUAA-t a többéves pénzügyi keret félidős felülvizsgálatának részeként megerősítették annak érdekében, hogy a migrációs és menekültügyi paktum végrehajtása tekintetében új feladatokat hajthasson végre; felhívja a Bizottságot, hogy szorosan működjön együtt mindkét ügynökséggel annak biztosítása érdekében, hogy azok képesek legyenek feladataik teljes körű ellátására és a hozzájuk rendelt további előirányzatok felhasználására;</w:t>
      </w:r>
    </w:p>
    <w:p w:rsidR="0065283E" w:rsidRPr="00104D78" w:rsidRDefault="0065283E" w:rsidP="00AD78EB">
      <w:pPr>
        <w:pStyle w:val="NormalHanging12a"/>
        <w:widowControl/>
      </w:pPr>
      <w:r w:rsidRPr="00104D78">
        <w:t>11.</w:t>
      </w:r>
      <w:r w:rsidRPr="00104D78">
        <w:tab/>
        <w:t xml:space="preserve">üdvözli az Európai Unió Bűnüldözési Képzési Ügynöksége (CEPOL) számára 2024-ben az ügynökség elleni 2024. júniusi </w:t>
      </w:r>
      <w:proofErr w:type="spellStart"/>
      <w:r w:rsidRPr="00104D78">
        <w:t>kibertámadást</w:t>
      </w:r>
      <w:proofErr w:type="spellEnd"/>
      <w:r w:rsidRPr="00104D78">
        <w:t xml:space="preserve"> követően biztosított további előirányzatokat; kitart amellett, hogy a </w:t>
      </w:r>
      <w:proofErr w:type="spellStart"/>
      <w:r w:rsidRPr="00104D78">
        <w:t>kiberbiztonsági</w:t>
      </w:r>
      <w:proofErr w:type="spellEnd"/>
      <w:r w:rsidRPr="00104D78">
        <w:t xml:space="preserve"> szolgálatnak (CERT-EU) le kell vonnia a tanulságokat, és további technikai támogatást kell nyújtania más intézmények és ügynökségek számára a magas </w:t>
      </w:r>
      <w:proofErr w:type="spellStart"/>
      <w:r w:rsidRPr="00104D78">
        <w:t>kiberbiztonsági</w:t>
      </w:r>
      <w:proofErr w:type="spellEnd"/>
      <w:r w:rsidRPr="00104D78">
        <w:t xml:space="preserve"> fenyegetésre tekintettel, valamint annak biztosítására, hogy egy újabb támadás ne veszélyeztesse egyik uniós ügynökséget vagy intézményt se; </w:t>
      </w:r>
    </w:p>
    <w:p w:rsidR="0065283E" w:rsidRPr="00104D78" w:rsidRDefault="0065283E" w:rsidP="00AD78EB">
      <w:pPr>
        <w:pStyle w:val="NormalHanging12a"/>
        <w:widowControl/>
      </w:pPr>
      <w:r w:rsidRPr="00104D78">
        <w:t>12.</w:t>
      </w:r>
      <w:r w:rsidRPr="00104D78">
        <w:tab/>
        <w:t xml:space="preserve">hangsúlyozza az újonnan létrehozott Pénzmosás Elleni Hatóság fontosságát a felülvizsgált uniós szintű pénzmosás elleni keretben; ezért mély aggodalmát fejezi ki a létrehozási szakaszban tapasztalható késedelmek miatt, különösen a munkaerő-felvétellel kapcsolatban; </w:t>
      </w:r>
    </w:p>
    <w:p w:rsidR="0065283E" w:rsidRPr="00104D78" w:rsidRDefault="0065283E" w:rsidP="00AD78EB">
      <w:pPr>
        <w:pStyle w:val="NormalHanging12a"/>
        <w:widowControl/>
      </w:pPr>
      <w:r w:rsidRPr="00104D78">
        <w:t>13.</w:t>
      </w:r>
      <w:r w:rsidRPr="00104D78">
        <w:tab/>
        <w:t xml:space="preserve">üdvözli, hogy a jelenleg hatályos átdolgozott költségvetési rendelettel lehetséges negatív bevételeket belefoglalni a költségvetésbe az elvesztett bírósági ügyek kompenzációs </w:t>
      </w:r>
      <w:proofErr w:type="spellStart"/>
      <w:r w:rsidRPr="00104D78">
        <w:t>kamatainak</w:t>
      </w:r>
      <w:proofErr w:type="spellEnd"/>
      <w:r w:rsidRPr="00104D78">
        <w:t xml:space="preserve"> kifizetésére; </w:t>
      </w:r>
      <w:proofErr w:type="spellStart"/>
      <w:r w:rsidRPr="00104D78">
        <w:t>megjegyzi</w:t>
      </w:r>
      <w:proofErr w:type="spellEnd"/>
      <w:r w:rsidRPr="00104D78">
        <w:t xml:space="preserve">, hogy a Bizottság jelenleg állapítja meg e kamatok pontos összegét, és felhívja a Bizottságot, hogy ezt az információt 2025-ben a lehető leghamarabb bocsássa a költségvetési hatóság rendelkezésére; </w:t>
      </w:r>
    </w:p>
    <w:p w:rsidR="0065283E" w:rsidRPr="00104D78" w:rsidRDefault="0065283E" w:rsidP="00AD78EB">
      <w:pPr>
        <w:pStyle w:val="NormalHanging12a"/>
        <w:widowControl/>
      </w:pPr>
      <w:r w:rsidRPr="00104D78">
        <w:t>14.</w:t>
      </w:r>
      <w:r w:rsidRPr="00104D78">
        <w:tab/>
        <w:t>jóváhagyja az 5/2024. számú költségvetés-módosítási tervezetről szóló tanácsi álláspontot;</w:t>
      </w:r>
    </w:p>
    <w:p w:rsidR="0065283E" w:rsidRPr="00104D78" w:rsidRDefault="0065283E" w:rsidP="00AD78EB">
      <w:pPr>
        <w:pStyle w:val="NormalHanging12a"/>
        <w:widowControl/>
      </w:pPr>
      <w:r w:rsidRPr="00104D78">
        <w:t>15.</w:t>
      </w:r>
      <w:r w:rsidRPr="00104D78">
        <w:tab/>
        <w:t xml:space="preserve">utasítja elnökét annak megállapítására, hogy az 5/2024. számú költségvetés-módosítást véglegesen elfogadták, valamint arra, hogy gondoskodjon annak közzétételéről az </w:t>
      </w:r>
      <w:r w:rsidRPr="00104D78">
        <w:rPr>
          <w:i/>
        </w:rPr>
        <w:t>Európai Unió Hivatalos Lapjában</w:t>
      </w:r>
      <w:r w:rsidRPr="00104D78">
        <w:t>;</w:t>
      </w:r>
    </w:p>
    <w:p w:rsidR="00BA742E" w:rsidRPr="00BA742E" w:rsidRDefault="0065283E" w:rsidP="00AD78EB">
      <w:pPr>
        <w:pStyle w:val="NormalHanging12a"/>
        <w:widowControl/>
      </w:pPr>
      <w:r w:rsidRPr="00104D78">
        <w:t>16.</w:t>
      </w:r>
      <w:r w:rsidRPr="00104D78">
        <w:tab/>
        <w:t>utasítja elnökét, hogy továbbítsa ezt az állásfoglalást a Tanácsnak és a Bizottságnak, valamint a nemzeti parlamenteknek.</w:t>
      </w:r>
    </w:p>
    <w:p w:rsidR="00E365E1" w:rsidRPr="00BA742E" w:rsidRDefault="00E365E1" w:rsidP="00AD78EB">
      <w:pPr>
        <w:widowControl/>
        <w:spacing w:after="240"/>
        <w:ind w:left="567" w:hanging="567"/>
      </w:pPr>
    </w:p>
    <w:sectPr w:rsidR="00E365E1" w:rsidRPr="00BA742E" w:rsidSect="00BA74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7D0" w:rsidRPr="00BA742E" w:rsidRDefault="007037D0">
      <w:r w:rsidRPr="00BA742E">
        <w:separator/>
      </w:r>
    </w:p>
  </w:endnote>
  <w:endnote w:type="continuationSeparator" w:id="0">
    <w:p w:rsidR="007037D0" w:rsidRPr="00BA742E" w:rsidRDefault="007037D0">
      <w:r w:rsidRPr="00BA74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74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74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74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7D0" w:rsidRPr="00BA742E" w:rsidRDefault="007037D0">
      <w:r w:rsidRPr="00BA742E">
        <w:separator/>
      </w:r>
    </w:p>
  </w:footnote>
  <w:footnote w:type="continuationSeparator" w:id="0">
    <w:p w:rsidR="007037D0" w:rsidRPr="00BA742E" w:rsidRDefault="007037D0">
      <w:r w:rsidRPr="00BA742E">
        <w:continuationSeparator/>
      </w:r>
    </w:p>
  </w:footnote>
  <w:footnote w:id="1">
    <w:p w:rsidR="0065283E" w:rsidRPr="00BA742E" w:rsidRDefault="0065283E" w:rsidP="00BA742E">
      <w:pPr>
        <w:pStyle w:val="FootnoteText"/>
        <w:ind w:left="567" w:hanging="567"/>
        <w:rPr>
          <w:sz w:val="24"/>
          <w:lang w:val="hu-HU"/>
        </w:rPr>
      </w:pPr>
      <w:r w:rsidRPr="00BA742E">
        <w:rPr>
          <w:rStyle w:val="FootnoteReference"/>
          <w:sz w:val="24"/>
          <w:lang w:val="hu-HU"/>
        </w:rPr>
        <w:footnoteRef/>
      </w:r>
      <w:r w:rsidR="00BA742E" w:rsidRPr="00BA742E">
        <w:rPr>
          <w:sz w:val="24"/>
          <w:lang w:val="hu-HU"/>
        </w:rPr>
        <w:t xml:space="preserve"> </w:t>
      </w:r>
      <w:r w:rsidR="00BA742E" w:rsidRPr="00BA742E">
        <w:rPr>
          <w:sz w:val="24"/>
          <w:lang w:val="hu-HU"/>
        </w:rPr>
        <w:tab/>
      </w:r>
      <w:r w:rsidRPr="00BA742E">
        <w:rPr>
          <w:sz w:val="24"/>
          <w:lang w:val="hu-HU"/>
        </w:rPr>
        <w:t>HL L, 2024/2509, 2024</w:t>
      </w:r>
      <w:r w:rsidR="00D06224">
        <w:rPr>
          <w:sz w:val="24"/>
          <w:lang w:val="hu-HU"/>
        </w:rPr>
        <w:t>.</w:t>
      </w:r>
      <w:r w:rsidRPr="00BA742E">
        <w:rPr>
          <w:sz w:val="24"/>
          <w:lang w:val="hu-HU"/>
        </w:rPr>
        <w:t>9</w:t>
      </w:r>
      <w:r w:rsidR="00D06224">
        <w:rPr>
          <w:sz w:val="24"/>
          <w:lang w:val="hu-HU"/>
        </w:rPr>
        <w:t>.</w:t>
      </w:r>
      <w:r w:rsidRPr="00BA742E">
        <w:rPr>
          <w:sz w:val="24"/>
          <w:lang w:val="hu-HU"/>
        </w:rPr>
        <w:t>26</w:t>
      </w:r>
      <w:proofErr w:type="gramStart"/>
      <w:r w:rsidR="00D06224">
        <w:rPr>
          <w:sz w:val="24"/>
          <w:lang w:val="hu-HU"/>
        </w:rPr>
        <w:t>.</w:t>
      </w:r>
      <w:r w:rsidRPr="00BA742E">
        <w:rPr>
          <w:sz w:val="24"/>
          <w:lang w:val="hu-HU"/>
        </w:rPr>
        <w:t>,</w:t>
      </w:r>
      <w:proofErr w:type="gramEnd"/>
      <w:r w:rsidRPr="00BA742E">
        <w:rPr>
          <w:sz w:val="24"/>
          <w:lang w:val="hu-HU"/>
        </w:rPr>
        <w:t xml:space="preserve"> </w:t>
      </w:r>
      <w:r w:rsidR="00B46D3A">
        <w:rPr>
          <w:sz w:val="24"/>
          <w:lang w:val="hu-HU"/>
        </w:rPr>
        <w:t xml:space="preserve">ELI: </w:t>
      </w:r>
      <w:hyperlink r:id="rId1" w:history="1">
        <w:r w:rsidR="00B46D3A" w:rsidRPr="00B46D3A">
          <w:rPr>
            <w:rStyle w:val="Hyperlink"/>
            <w:lang w:val="fi-FI"/>
          </w:rPr>
          <w:t>http://data.europa.eu/eli/reg/2024/2509/oj</w:t>
        </w:r>
      </w:hyperlink>
      <w:r w:rsidR="00B46D3A" w:rsidRPr="00B46D3A">
        <w:rPr>
          <w:lang w:val="fi-FI"/>
        </w:rPr>
        <w:t>.</w:t>
      </w:r>
    </w:p>
  </w:footnote>
  <w:footnote w:id="2">
    <w:p w:rsidR="0065283E" w:rsidRPr="00BA742E" w:rsidRDefault="0065283E" w:rsidP="00BA742E">
      <w:pPr>
        <w:pStyle w:val="FootnoteText"/>
        <w:ind w:left="567" w:hanging="567"/>
        <w:rPr>
          <w:sz w:val="24"/>
          <w:lang w:val="hu-HU"/>
        </w:rPr>
      </w:pPr>
      <w:r w:rsidRPr="00BA742E">
        <w:rPr>
          <w:rStyle w:val="FootnoteReference"/>
          <w:sz w:val="24"/>
          <w:lang w:val="hu-HU"/>
        </w:rPr>
        <w:footnoteRef/>
      </w:r>
      <w:r w:rsidR="00BA742E" w:rsidRPr="00BA742E">
        <w:rPr>
          <w:sz w:val="24"/>
          <w:lang w:val="hu-HU"/>
        </w:rPr>
        <w:t xml:space="preserve"> </w:t>
      </w:r>
      <w:r w:rsidR="00BA742E" w:rsidRPr="00BA742E">
        <w:rPr>
          <w:sz w:val="24"/>
          <w:lang w:val="hu-HU"/>
        </w:rPr>
        <w:tab/>
      </w:r>
      <w:r w:rsidRPr="00BA742E">
        <w:rPr>
          <w:sz w:val="24"/>
          <w:lang w:val="hu-HU"/>
        </w:rPr>
        <w:t>HL L, 2024/207, 2024.2.22</w:t>
      </w:r>
      <w:proofErr w:type="gramStart"/>
      <w:r w:rsidRPr="00BA742E">
        <w:rPr>
          <w:sz w:val="24"/>
          <w:lang w:val="hu-HU"/>
        </w:rPr>
        <w:t>.,</w:t>
      </w:r>
      <w:proofErr w:type="gramEnd"/>
      <w:r w:rsidRPr="00BA742E">
        <w:rPr>
          <w:sz w:val="24"/>
          <w:lang w:val="hu-HU"/>
        </w:rPr>
        <w:t xml:space="preserve"> ELI: </w:t>
      </w:r>
      <w:hyperlink r:id="rId2" w:history="1">
        <w:r w:rsidRPr="00BA742E">
          <w:rPr>
            <w:rStyle w:val="Hyperlink"/>
            <w:sz w:val="24"/>
            <w:lang w:val="hu-HU"/>
          </w:rPr>
          <w:t>http://data.europa.eu/eli/budget/2024/207/oj</w:t>
        </w:r>
      </w:hyperlink>
      <w:r w:rsidRPr="00BA742E">
        <w:rPr>
          <w:sz w:val="24"/>
          <w:lang w:val="hu-HU"/>
        </w:rPr>
        <w:t>.</w:t>
      </w:r>
    </w:p>
  </w:footnote>
  <w:footnote w:id="3">
    <w:p w:rsidR="0065283E" w:rsidRPr="00BA742E" w:rsidRDefault="0065283E" w:rsidP="00BA742E">
      <w:pPr>
        <w:pStyle w:val="FootnoteText"/>
        <w:ind w:left="567" w:hanging="567"/>
        <w:rPr>
          <w:sz w:val="24"/>
          <w:lang w:val="hu-HU"/>
        </w:rPr>
      </w:pPr>
      <w:r w:rsidRPr="00BA742E">
        <w:rPr>
          <w:rStyle w:val="FootnoteReference"/>
          <w:sz w:val="24"/>
          <w:lang w:val="hu-HU"/>
        </w:rPr>
        <w:footnoteRef/>
      </w:r>
      <w:r w:rsidR="00BA742E" w:rsidRPr="00BA742E">
        <w:rPr>
          <w:sz w:val="24"/>
          <w:lang w:val="hu-HU"/>
        </w:rPr>
        <w:t xml:space="preserve"> </w:t>
      </w:r>
      <w:r w:rsidR="00BA742E" w:rsidRPr="00BA742E">
        <w:rPr>
          <w:sz w:val="24"/>
          <w:lang w:val="hu-HU"/>
        </w:rPr>
        <w:tab/>
      </w:r>
      <w:r w:rsidRPr="00BA742E">
        <w:rPr>
          <w:sz w:val="24"/>
          <w:lang w:val="hu-HU"/>
        </w:rPr>
        <w:t>HL L 433. I, 2020.12.22</w:t>
      </w:r>
      <w:proofErr w:type="gramStart"/>
      <w:r w:rsidRPr="00BA742E">
        <w:rPr>
          <w:sz w:val="24"/>
          <w:lang w:val="hu-HU"/>
        </w:rPr>
        <w:t>.,</w:t>
      </w:r>
      <w:proofErr w:type="gramEnd"/>
      <w:r w:rsidRPr="00BA742E">
        <w:rPr>
          <w:sz w:val="24"/>
          <w:lang w:val="hu-HU"/>
        </w:rPr>
        <w:t xml:space="preserve"> 11. o., ELI: </w:t>
      </w:r>
      <w:hyperlink r:id="rId3" w:history="1">
        <w:r w:rsidRPr="00BA742E">
          <w:rPr>
            <w:rStyle w:val="Hyperlink"/>
            <w:sz w:val="24"/>
            <w:lang w:val="hu-HU"/>
          </w:rPr>
          <w:t>http://data.europa.eu/eli/reg/2020/2093/oj</w:t>
        </w:r>
      </w:hyperlink>
      <w:r w:rsidRPr="00BA742E">
        <w:rPr>
          <w:sz w:val="24"/>
          <w:lang w:val="hu-HU"/>
        </w:rPr>
        <w:t>.</w:t>
      </w:r>
    </w:p>
  </w:footnote>
  <w:footnote w:id="4">
    <w:p w:rsidR="0065283E" w:rsidRPr="00BA742E" w:rsidRDefault="0065283E" w:rsidP="00BA742E">
      <w:pPr>
        <w:pStyle w:val="FootnoteText"/>
        <w:ind w:left="567" w:hanging="567"/>
        <w:rPr>
          <w:sz w:val="24"/>
          <w:lang w:val="hu-HU"/>
        </w:rPr>
      </w:pPr>
      <w:r w:rsidRPr="00BA742E">
        <w:rPr>
          <w:rStyle w:val="FootnoteReference"/>
          <w:sz w:val="24"/>
          <w:lang w:val="hu-HU"/>
        </w:rPr>
        <w:footnoteRef/>
      </w:r>
      <w:r w:rsidR="00BA742E" w:rsidRPr="00BA742E">
        <w:rPr>
          <w:sz w:val="24"/>
          <w:lang w:val="hu-HU"/>
        </w:rPr>
        <w:t xml:space="preserve"> </w:t>
      </w:r>
      <w:r w:rsidR="00BA742E" w:rsidRPr="00BA742E">
        <w:rPr>
          <w:sz w:val="24"/>
          <w:lang w:val="hu-HU"/>
        </w:rPr>
        <w:tab/>
      </w:r>
      <w:r w:rsidRPr="00BA742E">
        <w:rPr>
          <w:sz w:val="24"/>
          <w:lang w:val="hu-HU"/>
        </w:rPr>
        <w:t>HL L 433</w:t>
      </w:r>
      <w:r w:rsidR="00AD78EB">
        <w:rPr>
          <w:sz w:val="24"/>
          <w:lang w:val="hu-HU"/>
        </w:rPr>
        <w:t>.</w:t>
      </w:r>
      <w:r w:rsidRPr="00BA742E">
        <w:rPr>
          <w:sz w:val="24"/>
          <w:lang w:val="hu-HU"/>
        </w:rPr>
        <w:t xml:space="preserve"> I, 2020.12.22</w:t>
      </w:r>
      <w:proofErr w:type="gramStart"/>
      <w:r w:rsidRPr="00BA742E">
        <w:rPr>
          <w:sz w:val="24"/>
          <w:lang w:val="hu-HU"/>
        </w:rPr>
        <w:t>.,</w:t>
      </w:r>
      <w:proofErr w:type="gramEnd"/>
      <w:r w:rsidRPr="00BA742E">
        <w:rPr>
          <w:sz w:val="24"/>
          <w:lang w:val="hu-HU"/>
        </w:rPr>
        <w:t xml:space="preserve"> 28. o., ELI: </w:t>
      </w:r>
      <w:hyperlink r:id="rId4" w:history="1">
        <w:r w:rsidRPr="00BA742E">
          <w:rPr>
            <w:rStyle w:val="Hyperlink"/>
            <w:sz w:val="24"/>
            <w:lang w:val="hu-HU"/>
          </w:rPr>
          <w:t>http://data.europa.eu/eli/agree_interinstit/2020/1222/oj</w:t>
        </w:r>
      </w:hyperlink>
    </w:p>
  </w:footnote>
  <w:footnote w:id="5">
    <w:p w:rsidR="0065283E" w:rsidRPr="00BA742E" w:rsidRDefault="0065283E" w:rsidP="00BA742E">
      <w:pPr>
        <w:pStyle w:val="FootnoteText"/>
        <w:ind w:left="567" w:hanging="567"/>
        <w:rPr>
          <w:sz w:val="24"/>
          <w:lang w:val="hu-HU"/>
        </w:rPr>
      </w:pPr>
      <w:r w:rsidRPr="00BA742E">
        <w:rPr>
          <w:rStyle w:val="FootnoteReference"/>
          <w:sz w:val="24"/>
          <w:lang w:val="hu-HU"/>
        </w:rPr>
        <w:footnoteRef/>
      </w:r>
      <w:r w:rsidR="00BA742E" w:rsidRPr="00BA742E">
        <w:rPr>
          <w:sz w:val="24"/>
          <w:lang w:val="hu-HU"/>
        </w:rPr>
        <w:t xml:space="preserve"> </w:t>
      </w:r>
      <w:r w:rsidR="00BA742E" w:rsidRPr="00BA742E">
        <w:rPr>
          <w:sz w:val="24"/>
          <w:lang w:val="hu-HU"/>
        </w:rPr>
        <w:tab/>
      </w:r>
      <w:r w:rsidRPr="00BA742E">
        <w:rPr>
          <w:sz w:val="24"/>
          <w:lang w:val="hu-HU"/>
        </w:rPr>
        <w:t>HL L 424., 2020.12.15</w:t>
      </w:r>
      <w:proofErr w:type="gramStart"/>
      <w:r w:rsidRPr="00BA742E">
        <w:rPr>
          <w:sz w:val="24"/>
          <w:lang w:val="hu-HU"/>
        </w:rPr>
        <w:t>.,</w:t>
      </w:r>
      <w:proofErr w:type="gramEnd"/>
      <w:r w:rsidRPr="00BA742E">
        <w:rPr>
          <w:sz w:val="24"/>
          <w:lang w:val="hu-HU"/>
        </w:rPr>
        <w:t xml:space="preserve"> 1. o., ELI: </w:t>
      </w:r>
      <w:hyperlink r:id="rId5" w:history="1">
        <w:r w:rsidRPr="00BA742E">
          <w:rPr>
            <w:rStyle w:val="Hyperlink"/>
            <w:sz w:val="24"/>
            <w:lang w:val="hu-HU"/>
          </w:rPr>
          <w:t>http://data.europa.eu/eli/dec/2020/2053/oj</w:t>
        </w:r>
      </w:hyperlink>
      <w:r w:rsidRPr="00BA742E">
        <w:rPr>
          <w:sz w:val="24"/>
          <w:lang w:val="hu-HU"/>
        </w:rPr>
        <w:t>.</w:t>
      </w:r>
    </w:p>
  </w:footnote>
  <w:footnote w:id="6">
    <w:p w:rsidR="0065283E" w:rsidRPr="00BA742E" w:rsidRDefault="0065283E" w:rsidP="00BA742E">
      <w:pPr>
        <w:pStyle w:val="FootnoteText"/>
        <w:ind w:left="567" w:hanging="567"/>
        <w:rPr>
          <w:sz w:val="24"/>
          <w:lang w:val="hu-HU"/>
        </w:rPr>
      </w:pPr>
      <w:r w:rsidRPr="00BA742E">
        <w:rPr>
          <w:rStyle w:val="FootnoteReference"/>
          <w:sz w:val="24"/>
          <w:lang w:val="hu-HU"/>
        </w:rPr>
        <w:footnoteRef/>
      </w:r>
      <w:r w:rsidR="00BA742E" w:rsidRPr="00BA742E">
        <w:rPr>
          <w:sz w:val="24"/>
          <w:lang w:val="hu-HU"/>
        </w:rPr>
        <w:t xml:space="preserve"> </w:t>
      </w:r>
      <w:r w:rsidR="00BA742E" w:rsidRPr="00BA742E">
        <w:rPr>
          <w:sz w:val="24"/>
          <w:lang w:val="hu-HU"/>
        </w:rPr>
        <w:tab/>
      </w:r>
      <w:r w:rsidRPr="00BA742E">
        <w:rPr>
          <w:sz w:val="24"/>
          <w:lang w:val="hu-HU"/>
        </w:rPr>
        <w:t>Az Európai Parlament és a Tanács (EU) 2024/2773 rendelete (2024. október 24.) az Ukrajnának nyújtott hitelre vonatkozó együttműködési mechanizmus létrehozásáról és az Ukrajnának nyújtandó rendkívüli makroszintű pénzügyi támogatásról (HL L, 2024/2773, 2024.10.28</w:t>
      </w:r>
      <w:proofErr w:type="gramStart"/>
      <w:r w:rsidRPr="00BA742E">
        <w:rPr>
          <w:sz w:val="24"/>
          <w:lang w:val="hu-HU"/>
        </w:rPr>
        <w:t>.,</w:t>
      </w:r>
      <w:proofErr w:type="gramEnd"/>
      <w:r w:rsidRPr="00BA742E">
        <w:rPr>
          <w:sz w:val="24"/>
          <w:lang w:val="hu-HU"/>
        </w:rPr>
        <w:t xml:space="preserve"> ELI: </w:t>
      </w:r>
      <w:hyperlink r:id="rId6" w:history="1">
        <w:r w:rsidRPr="00BA742E">
          <w:rPr>
            <w:rStyle w:val="Hyperlink"/>
            <w:sz w:val="24"/>
            <w:lang w:val="hu-HU"/>
          </w:rPr>
          <w:t>http://data.europa.eu/eli/reg/2024/2773/oj</w:t>
        </w:r>
      </w:hyperlink>
      <w:r w:rsidRPr="00BA742E">
        <w:rPr>
          <w:sz w:val="24"/>
          <w:lang w:val="hu-HU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74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74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74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4"/>
    <w:docVar w:name="dvlangue" w:val="HU"/>
    <w:docVar w:name="dvnumam" w:val="0"/>
    <w:docVar w:name="dvpe" w:val="765.136"/>
    <w:docVar w:name="dvrapporteur" w:val="Előadó: "/>
    <w:docVar w:name="dvtitre" w:val="Az Európai Parlament 2024.  ...-i állásfoglalása az Európai Unió 2024. évi pénzügyi évre vonatkozó, 5/2024. számú költségvetés-módosítási tervezetéről – a kifizetési előirányzatok kiigazításáról, a bevételek aktualizálásáról és egyéb technikai frissítésekről szóló tanácsi álláspontról(14477/2024 – C10-0186/2024 – 2024/0252(BUD))"/>
  </w:docVars>
  <w:rsids>
    <w:rsidRoot w:val="007037D0"/>
    <w:rsid w:val="00002272"/>
    <w:rsid w:val="00064002"/>
    <w:rsid w:val="000677B9"/>
    <w:rsid w:val="000831BA"/>
    <w:rsid w:val="000A42CC"/>
    <w:rsid w:val="000E7DD9"/>
    <w:rsid w:val="0010095E"/>
    <w:rsid w:val="00104D78"/>
    <w:rsid w:val="00125B37"/>
    <w:rsid w:val="00187494"/>
    <w:rsid w:val="001C5995"/>
    <w:rsid w:val="001F32AE"/>
    <w:rsid w:val="002767FF"/>
    <w:rsid w:val="002B18FE"/>
    <w:rsid w:val="002B5493"/>
    <w:rsid w:val="002D196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C16"/>
    <w:rsid w:val="00545827"/>
    <w:rsid w:val="00560270"/>
    <w:rsid w:val="005C2568"/>
    <w:rsid w:val="005F1B17"/>
    <w:rsid w:val="006037C0"/>
    <w:rsid w:val="0065283E"/>
    <w:rsid w:val="006631B6"/>
    <w:rsid w:val="00680577"/>
    <w:rsid w:val="006F74FA"/>
    <w:rsid w:val="007037D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023"/>
    <w:rsid w:val="00AB441E"/>
    <w:rsid w:val="00AB6293"/>
    <w:rsid w:val="00AD78EB"/>
    <w:rsid w:val="00AE0928"/>
    <w:rsid w:val="00AF3B82"/>
    <w:rsid w:val="00B12E95"/>
    <w:rsid w:val="00B22876"/>
    <w:rsid w:val="00B46D3A"/>
    <w:rsid w:val="00B558F0"/>
    <w:rsid w:val="00BA742E"/>
    <w:rsid w:val="00BD48FE"/>
    <w:rsid w:val="00BD7BD8"/>
    <w:rsid w:val="00BE6ADC"/>
    <w:rsid w:val="00C05BFE"/>
    <w:rsid w:val="00C23CD4"/>
    <w:rsid w:val="00C61C0C"/>
    <w:rsid w:val="00C83D2A"/>
    <w:rsid w:val="00C941CB"/>
    <w:rsid w:val="00CC2357"/>
    <w:rsid w:val="00CF071A"/>
    <w:rsid w:val="00D058B8"/>
    <w:rsid w:val="00D0622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864D9"/>
  <w15:chartTrackingRefBased/>
  <w15:docId w15:val="{510E3CFE-127C-4D37-9A56-8CEB4AFC4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283E"/>
    <w:pPr>
      <w:spacing w:before="480" w:after="240"/>
    </w:pPr>
  </w:style>
  <w:style w:type="paragraph" w:customStyle="1" w:styleId="NormalHanging12a">
    <w:name w:val="NormalHanging12a"/>
    <w:basedOn w:val="Normal"/>
    <w:rsid w:val="0065283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65283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D78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78EB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4/207/oj.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reg/2024/2773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1F1C0-C381-4E8D-B081-BF447453D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1195</Words>
  <Characters>8878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Karina Pesa</cp:lastModifiedBy>
  <cp:revision>3</cp:revision>
  <cp:lastPrinted>2004-11-19T15:42:00Z</cp:lastPrinted>
  <dcterms:created xsi:type="dcterms:W3CDTF">2025-02-07T14:06:00Z</dcterms:created>
  <dcterms:modified xsi:type="dcterms:W3CDTF">2025-03-03T09:44:00Z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P10_TA(2024)0049_</vt:lpwstr>
  </property>
  <property fmtid="{D5CDD505-2E9C-101B-9397-08002B2CF9AE}" pid="4" name="&lt;Type&gt;">
    <vt:lpwstr>RR</vt:lpwstr>
  </property>
</Properties>
</file>