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D3F" w:rsidTr="0010095E">
        <w:trPr>
          <w:trHeight w:hRule="exact" w:val="1418"/>
        </w:trPr>
        <w:tc>
          <w:tcPr>
            <w:tcW w:w="6804" w:type="dxa"/>
            <w:shd w:val="clear" w:color="auto" w:fill="auto"/>
            <w:vAlign w:val="center"/>
          </w:tcPr>
          <w:p w:rsidR="00751A4A" w:rsidRPr="004E4D3F" w:rsidRDefault="0075057E" w:rsidP="0010095E">
            <w:pPr>
              <w:pStyle w:val="EPName"/>
            </w:pPr>
            <w:r w:rsidRPr="004E4D3F">
              <w:t>Europos Parlamentas</w:t>
            </w:r>
          </w:p>
          <w:p w:rsidR="00751A4A" w:rsidRPr="004E4D3F" w:rsidRDefault="005F1B17" w:rsidP="005F1B17">
            <w:pPr>
              <w:pStyle w:val="EPTerm"/>
              <w:rPr>
                <w:rStyle w:val="HideTWBExt"/>
                <w:noProof w:val="0"/>
                <w:vanish w:val="0"/>
                <w:color w:val="auto"/>
              </w:rPr>
            </w:pPr>
            <w:r w:rsidRPr="004E4D3F">
              <w:t>2024</w:t>
            </w:r>
            <w:r w:rsidR="00817416" w:rsidRPr="004E4D3F">
              <w:t>-202</w:t>
            </w:r>
            <w:r w:rsidRPr="004E4D3F">
              <w:t>9</w:t>
            </w:r>
          </w:p>
        </w:tc>
        <w:tc>
          <w:tcPr>
            <w:tcW w:w="2268" w:type="dxa"/>
            <w:shd w:val="clear" w:color="auto" w:fill="auto"/>
          </w:tcPr>
          <w:p w:rsidR="00751A4A" w:rsidRPr="004E4D3F" w:rsidRDefault="00187494" w:rsidP="0010095E">
            <w:pPr>
              <w:pStyle w:val="EPLogo"/>
            </w:pPr>
            <w:r w:rsidRPr="004E4D3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4D3F" w:rsidRDefault="00D058B8" w:rsidP="004C5D52">
      <w:pPr>
        <w:pStyle w:val="LineTop"/>
      </w:pPr>
    </w:p>
    <w:p w:rsidR="00680577" w:rsidRPr="004E4D3F" w:rsidRDefault="0075057E" w:rsidP="00680577">
      <w:pPr>
        <w:pStyle w:val="EPBodyTA1"/>
      </w:pPr>
      <w:r w:rsidRPr="004E4D3F">
        <w:t>PRIIMTI TEKSTAI</w:t>
      </w:r>
    </w:p>
    <w:p w:rsidR="00D058B8" w:rsidRPr="004E4D3F" w:rsidRDefault="00D058B8" w:rsidP="00D058B8">
      <w:pPr>
        <w:pStyle w:val="LineBottom"/>
      </w:pPr>
    </w:p>
    <w:p w:rsidR="0075057E" w:rsidRPr="004E4D3F" w:rsidRDefault="0075057E" w:rsidP="0075057E">
      <w:pPr>
        <w:pStyle w:val="ATHeading1"/>
      </w:pPr>
      <w:bookmarkStart w:id="0" w:name="TANumber"/>
      <w:r w:rsidRPr="004E4D3F">
        <w:t>P10_TA(2024)00</w:t>
      </w:r>
      <w:r w:rsidR="008F5887">
        <w:t>49</w:t>
      </w:r>
      <w:bookmarkStart w:id="1" w:name="_GoBack"/>
      <w:bookmarkEnd w:id="0"/>
      <w:bookmarkEnd w:id="1"/>
    </w:p>
    <w:p w:rsidR="0075057E" w:rsidRPr="004E4D3F" w:rsidRDefault="00B65603" w:rsidP="0075057E">
      <w:pPr>
        <w:pStyle w:val="ATHeading2"/>
      </w:pPr>
      <w:bookmarkStart w:id="2" w:name="title"/>
      <w:r>
        <w:t>T</w:t>
      </w:r>
      <w:r w:rsidR="0075057E" w:rsidRPr="004E4D3F">
        <w:t>aisomojo biudžeto Nr. 5</w:t>
      </w:r>
      <w:r>
        <w:t>/2024</w:t>
      </w:r>
      <w:r w:rsidR="0075057E" w:rsidRPr="004E4D3F">
        <w:t xml:space="preserve"> projektas</w:t>
      </w:r>
      <w:r>
        <w:t>:</w:t>
      </w:r>
      <w:r w:rsidR="0075057E" w:rsidRPr="004E4D3F">
        <w:t xml:space="preserve"> </w:t>
      </w:r>
      <w:r>
        <w:t>m</w:t>
      </w:r>
      <w:r w:rsidR="0075057E" w:rsidRPr="004E4D3F">
        <w:t>okėjimų asignavimų patikslinimas, pajamų atnaujinimas ir kiti techniniai atnaujinimai</w:t>
      </w:r>
      <w:bookmarkEnd w:id="2"/>
    </w:p>
    <w:p w:rsidR="0075057E" w:rsidRPr="004E4D3F" w:rsidRDefault="0075057E" w:rsidP="0075057E">
      <w:pPr>
        <w:rPr>
          <w:i/>
          <w:vanish/>
        </w:rPr>
      </w:pPr>
      <w:r w:rsidRPr="004E4D3F">
        <w:rPr>
          <w:i/>
        </w:rPr>
        <w:fldChar w:fldCharType="begin"/>
      </w:r>
      <w:r w:rsidRPr="004E4D3F">
        <w:rPr>
          <w:i/>
        </w:rPr>
        <w:instrText xml:space="preserve"> TC"(</w:instrText>
      </w:r>
      <w:bookmarkStart w:id="3" w:name="DocNumber"/>
      <w:r w:rsidRPr="004E4D3F">
        <w:rPr>
          <w:i/>
        </w:rPr>
        <w:instrText>A10-0017/2024</w:instrText>
      </w:r>
      <w:bookmarkEnd w:id="3"/>
      <w:r w:rsidRPr="004E4D3F">
        <w:rPr>
          <w:i/>
        </w:rPr>
        <w:instrText xml:space="preserve"> - Pranešėjas: Siegfried Mureşan)"\l3 \n&gt; \* MERGEFORMAT </w:instrText>
      </w:r>
      <w:r w:rsidRPr="004E4D3F">
        <w:rPr>
          <w:i/>
        </w:rPr>
        <w:fldChar w:fldCharType="end"/>
      </w:r>
    </w:p>
    <w:p w:rsidR="0075057E" w:rsidRPr="004E4D3F" w:rsidRDefault="0075057E" w:rsidP="0075057E">
      <w:pPr>
        <w:rPr>
          <w:vanish/>
        </w:rPr>
      </w:pPr>
      <w:bookmarkStart w:id="4" w:name="Commission"/>
      <w:r w:rsidRPr="004E4D3F">
        <w:rPr>
          <w:vanish/>
        </w:rPr>
        <w:t>Biudžeto komitetas</w:t>
      </w:r>
      <w:bookmarkEnd w:id="4"/>
    </w:p>
    <w:p w:rsidR="0075057E" w:rsidRPr="004E4D3F" w:rsidRDefault="0075057E" w:rsidP="0075057E">
      <w:pPr>
        <w:rPr>
          <w:vanish/>
        </w:rPr>
      </w:pPr>
      <w:bookmarkStart w:id="5" w:name="PE"/>
      <w:r w:rsidRPr="004E4D3F">
        <w:rPr>
          <w:vanish/>
        </w:rPr>
        <w:t>PE765.136</w:t>
      </w:r>
      <w:bookmarkEnd w:id="5"/>
    </w:p>
    <w:p w:rsidR="0075057E" w:rsidRPr="004E4D3F" w:rsidRDefault="00E163B8" w:rsidP="00937540">
      <w:pPr>
        <w:pStyle w:val="ATHeading3"/>
      </w:pPr>
      <w:bookmarkStart w:id="6" w:name="Sujet"/>
      <w:r>
        <w:t>2024 m. lapkričio 2</w:t>
      </w:r>
      <w:r w:rsidR="00B1387A">
        <w:t>7</w:t>
      </w:r>
      <w:r>
        <w:t xml:space="preserve"> d. </w:t>
      </w:r>
      <w:r w:rsidR="0075057E" w:rsidRPr="004E4D3F">
        <w:t>Europos Parlamento rezoliucija dėl Tarybos pozicijos dėl 2024 finansinių metų Europos Sąjungos taisomojo biudžeto Nr. 5/2024 projekto – mokėjimų asignavimų patikslinimas, pajamų atnaujinimas ir kiti techniniai atnaujinimai</w:t>
      </w:r>
      <w:bookmarkEnd w:id="6"/>
      <w:r w:rsidR="0075057E" w:rsidRPr="004E4D3F">
        <w:t xml:space="preserve"> </w:t>
      </w:r>
      <w:bookmarkStart w:id="7" w:name="References"/>
      <w:r w:rsidR="0075057E" w:rsidRPr="004E4D3F">
        <w:t>(14477/2024 – C10-0186/2024 – 2024/0252(BUD))</w:t>
      </w:r>
      <w:bookmarkEnd w:id="7"/>
    </w:p>
    <w:p w:rsidR="009B3582" w:rsidRPr="004E4D3F" w:rsidRDefault="009B3582" w:rsidP="009B3582">
      <w:pPr>
        <w:pStyle w:val="EPComma"/>
      </w:pPr>
      <w:bookmarkStart w:id="8" w:name="TextBodyBegin"/>
      <w:bookmarkEnd w:id="8"/>
      <w:r w:rsidRPr="004E4D3F">
        <w:rPr>
          <w:i/>
        </w:rPr>
        <w:t>Europos Parlamentas</w:t>
      </w:r>
      <w:r w:rsidRPr="004E4D3F">
        <w:t>,</w:t>
      </w:r>
    </w:p>
    <w:p w:rsidR="009B3582" w:rsidRPr="004E4D3F" w:rsidRDefault="009B3582" w:rsidP="009B3582">
      <w:pPr>
        <w:pStyle w:val="NormalHanging12a"/>
      </w:pPr>
      <w:r w:rsidRPr="004E4D3F">
        <w:t>–</w:t>
      </w:r>
      <w:r w:rsidRPr="004E4D3F">
        <w:tab/>
        <w:t>atsižvelgdamas į Sutarties dėl Europos Sąjungos veikimo 314 straipsnį,</w:t>
      </w:r>
    </w:p>
    <w:p w:rsidR="009B3582" w:rsidRPr="004E4D3F" w:rsidRDefault="009B3582" w:rsidP="009B3582">
      <w:pPr>
        <w:pStyle w:val="NormalHanging12a"/>
      </w:pPr>
      <w:r w:rsidRPr="004E4D3F">
        <w:t>–</w:t>
      </w:r>
      <w:r w:rsidRPr="004E4D3F">
        <w:tab/>
        <w:t>atsižvelgdamas į Europos atominės energijos bendrijos steigimo sutarties 106a straipsnį,</w:t>
      </w:r>
    </w:p>
    <w:p w:rsidR="009B3582" w:rsidRPr="004E4D3F" w:rsidRDefault="009B3582" w:rsidP="009B3582">
      <w:pPr>
        <w:pStyle w:val="NormalHanging12a"/>
      </w:pPr>
      <w:r w:rsidRPr="004E4D3F">
        <w:t>–</w:t>
      </w:r>
      <w:r w:rsidRPr="004E4D3F">
        <w:tab/>
        <w:t>atsižvelgdamas į 2024 m. rugsėjo 23 d. Europos Parlamento ir Tarybos reglamentą (ES,</w:t>
      </w:r>
      <w:r w:rsidR="00E163B8" w:rsidRPr="004E4D3F">
        <w:t> </w:t>
      </w:r>
      <w:r w:rsidRPr="004E4D3F">
        <w:t>Euratomas) 2024/2509 dėl Sąjungos bendrajam biudžetui taikomų finansinių taisyklių</w:t>
      </w:r>
      <w:r w:rsidRPr="004E4D3F">
        <w:rPr>
          <w:rStyle w:val="FootnoteReference"/>
        </w:rPr>
        <w:footnoteReference w:id="1"/>
      </w:r>
      <w:r w:rsidRPr="004E4D3F">
        <w:t>, ypač į jo 44 straipsnį,</w:t>
      </w:r>
    </w:p>
    <w:p w:rsidR="009B3582" w:rsidRPr="004E4D3F" w:rsidRDefault="009B3582" w:rsidP="009B3582">
      <w:pPr>
        <w:pStyle w:val="NormalHanging12a"/>
      </w:pPr>
      <w:r w:rsidRPr="004E4D3F">
        <w:t>–</w:t>
      </w:r>
      <w:r w:rsidRPr="004E4D3F">
        <w:tab/>
        <w:t>atsižvelgdamas į 2024 finansinių metų Europos Sąjungos bendrąjį biudžetą, kuris buvo galutinai priimtas 2023 m. lapkričio 22 d.</w:t>
      </w:r>
      <w:r w:rsidRPr="004E4D3F">
        <w:rPr>
          <w:rStyle w:val="FootnoteReference"/>
        </w:rPr>
        <w:footnoteReference w:id="2"/>
      </w:r>
      <w:r w:rsidRPr="004E4D3F">
        <w:t>,</w:t>
      </w:r>
    </w:p>
    <w:p w:rsidR="009B3582" w:rsidRPr="004E4D3F" w:rsidRDefault="009B3582" w:rsidP="009B3582">
      <w:pPr>
        <w:pStyle w:val="NormalHanging12a"/>
      </w:pPr>
      <w:r w:rsidRPr="004E4D3F">
        <w:t>–</w:t>
      </w:r>
      <w:r w:rsidRPr="004E4D3F">
        <w:tab/>
        <w:t>atsižvelgdamas į 2020 m. gruodžio 17 d. Tarybos reglamentą (ES,</w:t>
      </w:r>
      <w:r w:rsidR="00E163B8" w:rsidRPr="004E4D3F">
        <w:t> </w:t>
      </w:r>
      <w:r w:rsidRPr="004E4D3F">
        <w:t>Euratomas) 2020/2093, kuriuo nustatoma 2021–2027 m. daugiametė finansinė programa</w:t>
      </w:r>
      <w:r w:rsidRPr="004E4D3F">
        <w:rPr>
          <w:rStyle w:val="FootnoteReference"/>
        </w:rPr>
        <w:footnoteReference w:id="3"/>
      </w:r>
      <w:r w:rsidRPr="004E4D3F">
        <w:t>,</w:t>
      </w:r>
    </w:p>
    <w:p w:rsidR="009B3582" w:rsidRPr="004E4D3F" w:rsidRDefault="009B3582" w:rsidP="009B3582">
      <w:pPr>
        <w:pStyle w:val="NormalHanging12a"/>
      </w:pPr>
      <w:r w:rsidRPr="004E4D3F">
        <w:t>–</w:t>
      </w:r>
      <w:r w:rsidRPr="004E4D3F">
        <w:tab/>
        <w:t xml:space="preserve">atsižvelgdamas į 2020 m. gruodžio 16 d. Europos Parlamento, Europos Sąjungos Tarybos ir Europos Komisijos </w:t>
      </w:r>
      <w:proofErr w:type="spellStart"/>
      <w:r w:rsidRPr="004E4D3F">
        <w:t>tarpinstitucinį</w:t>
      </w:r>
      <w:proofErr w:type="spellEnd"/>
      <w:r w:rsidRPr="004E4D3F">
        <w:t xml:space="preserve"> susitarimą dėl biudžetinės drausmės, bendradarbiavimo biudžeto klausimais ir patikimo finansų valdymo, taip pat dėl naujų nuosavų išteklių, įskaitant veiksmų gaires dėl naujų nuosavų išteklių nustatymo</w:t>
      </w:r>
      <w:r w:rsidRPr="004E4D3F">
        <w:rPr>
          <w:rStyle w:val="FootnoteReference"/>
        </w:rPr>
        <w:footnoteReference w:id="4"/>
      </w:r>
      <w:r w:rsidRPr="004E4D3F">
        <w:t>,</w:t>
      </w:r>
    </w:p>
    <w:p w:rsidR="009B3582" w:rsidRPr="004E4D3F" w:rsidRDefault="009B3582" w:rsidP="009B3582">
      <w:pPr>
        <w:pStyle w:val="NormalHanging12a"/>
      </w:pPr>
      <w:r w:rsidRPr="004E4D3F">
        <w:t>–</w:t>
      </w:r>
      <w:r w:rsidRPr="004E4D3F">
        <w:tab/>
        <w:t>atsižvelgdamas į 2020 m. gruodžio 14 d. Tarybos sprendimą (ES,</w:t>
      </w:r>
      <w:r w:rsidR="00E163B8" w:rsidRPr="004E4D3F">
        <w:t> </w:t>
      </w:r>
      <w:r w:rsidRPr="004E4D3F">
        <w:t xml:space="preserve">Euratomas) 2020/2053 ES dėl Europos Sąjungos nuosavų išteklių sistemos, kuriuo panaikinamas </w:t>
      </w:r>
      <w:r w:rsidRPr="004E4D3F">
        <w:lastRenderedPageBreak/>
        <w:t>Sprendimas 2014/335/ES, Euratomas</w:t>
      </w:r>
      <w:r w:rsidRPr="004E4D3F">
        <w:rPr>
          <w:rStyle w:val="FootnoteReference"/>
        </w:rPr>
        <w:footnoteReference w:id="5"/>
      </w:r>
      <w:r w:rsidRPr="004E4D3F">
        <w:t>,</w:t>
      </w:r>
    </w:p>
    <w:p w:rsidR="009B3582" w:rsidRPr="004E4D3F" w:rsidRDefault="009B3582" w:rsidP="009B3582">
      <w:pPr>
        <w:pStyle w:val="NormalHanging12a"/>
      </w:pPr>
      <w:r w:rsidRPr="004E4D3F">
        <w:t>–</w:t>
      </w:r>
      <w:r w:rsidRPr="004E4D3F">
        <w:tab/>
        <w:t>atsižvelgdamas į Taisomojo biudžeto Nr. 5/2024 projektą, kurį Komisija priėmė 2024 m. spalio 10 d. (COM(2024)0650),</w:t>
      </w:r>
    </w:p>
    <w:p w:rsidR="009B3582" w:rsidRPr="004E4D3F" w:rsidRDefault="009B3582" w:rsidP="009B3582">
      <w:pPr>
        <w:pStyle w:val="NormalHanging12a"/>
      </w:pPr>
      <w:r w:rsidRPr="004E4D3F">
        <w:t>–</w:t>
      </w:r>
      <w:r w:rsidRPr="004E4D3F">
        <w:tab/>
        <w:t>atsižvelgdamas į 2024 m. lapkričio 5 d. priimtą ir 2024 m. lapkričio 12 d. Europos Parlamentui perduotą Tarybos poziciją dėl Taisomojo biudžeto Nr. 5/2024 projekto (14477/2024 – C10-0186/2024),</w:t>
      </w:r>
    </w:p>
    <w:p w:rsidR="009B3582" w:rsidRPr="004E4D3F" w:rsidRDefault="009B3582" w:rsidP="009B3582">
      <w:pPr>
        <w:pStyle w:val="NormalHanging12a"/>
      </w:pPr>
      <w:r w:rsidRPr="004E4D3F">
        <w:t>–</w:t>
      </w:r>
      <w:r w:rsidRPr="004E4D3F">
        <w:tab/>
        <w:t>atsižvelgdamas į Darbo tvarkos taisyklių 96 ir 98 straipsnius,</w:t>
      </w:r>
    </w:p>
    <w:p w:rsidR="009B3582" w:rsidRPr="004E4D3F" w:rsidRDefault="009B3582" w:rsidP="009B3582">
      <w:pPr>
        <w:pStyle w:val="NormalHanging12a"/>
      </w:pPr>
      <w:r w:rsidRPr="004E4D3F">
        <w:t>–</w:t>
      </w:r>
      <w:r w:rsidRPr="004E4D3F">
        <w:tab/>
        <w:t>atsižvelgdamas į Biudžeto komiteto pranešimą (A10-0017/2024),</w:t>
      </w:r>
    </w:p>
    <w:p w:rsidR="009B3582" w:rsidRPr="004E4D3F" w:rsidRDefault="009B3582" w:rsidP="009B3582">
      <w:pPr>
        <w:pStyle w:val="NormalHanging12a"/>
      </w:pPr>
      <w:r w:rsidRPr="004E4D3F">
        <w:t>A.</w:t>
      </w:r>
      <w:r w:rsidRPr="004E4D3F">
        <w:tab/>
        <w:t xml:space="preserve">kadangi Taisomojo biudžeto Nr. 5/2024 projekto tikslas – patikslinti išlaidas, visų pirma kiek tai susiję su mokėjimų </w:t>
      </w:r>
      <w:proofErr w:type="spellStart"/>
      <w:r w:rsidRPr="004E4D3F">
        <w:t>asignavimais</w:t>
      </w:r>
      <w:proofErr w:type="spellEnd"/>
      <w:r w:rsidRPr="004E4D3F">
        <w:t>, ir atnaujinti Sąjungos biudžeto pajamas;</w:t>
      </w:r>
    </w:p>
    <w:p w:rsidR="009B3582" w:rsidRPr="004E4D3F" w:rsidRDefault="009B3582" w:rsidP="009B3582">
      <w:pPr>
        <w:pStyle w:val="NormalHanging12a"/>
      </w:pPr>
      <w:r w:rsidRPr="004E4D3F">
        <w:t>B.</w:t>
      </w:r>
      <w:r w:rsidRPr="004E4D3F">
        <w:tab/>
        <w:t>kadangi pagal Taisomojo biudžeto Nr. 5/2024 projektą išlaidos padidinamos grynąja 44,5 mln. EUR įsipareigojimų asignavimų ir 2,95 mlrd. EUR mokėjimų asignavimų suma; kadangi, nesant jokios maržos pagal daugiametės finansinės programos (DFP) 2b, 5 ir 7 išlaidų kategorijas, siūloma mobilizuoti dar 7,2 mln. EUR iš lankstumo priemonės ir papildomus 68,5 mln. EUR panaudoti iš bendros maržos priemonės a skyriaus;</w:t>
      </w:r>
    </w:p>
    <w:p w:rsidR="009B3582" w:rsidRPr="004E4D3F" w:rsidRDefault="009B3582" w:rsidP="009B3582">
      <w:pPr>
        <w:pStyle w:val="NormalHanging12a"/>
      </w:pPr>
      <w:r w:rsidRPr="004E4D3F">
        <w:t>C.</w:t>
      </w:r>
      <w:r w:rsidRPr="004E4D3F">
        <w:tab/>
        <w:t>kadangi, kalbant apie pajamas, pagal Taisomojo biudžeto Nr. 5/2024 projektą į 2024 m. biudžetą įtraukiama galutinė baudų ir nuobaudų, sumokėtų iki 2024 m. spalio mėn., suma, kuri iš viso sudaro 2,82 mlrd. EUR, o tai reiškia, kad mokėjimų poreikiams patenkinti reikia papildomų 139,9 mln. EUR BNP pagrįstų įnašų;</w:t>
      </w:r>
    </w:p>
    <w:p w:rsidR="009B3582" w:rsidRPr="004E4D3F" w:rsidRDefault="009B3582" w:rsidP="009B3582">
      <w:pPr>
        <w:pStyle w:val="NormalHanging12a"/>
      </w:pPr>
      <w:r w:rsidRPr="004E4D3F">
        <w:t>D.</w:t>
      </w:r>
      <w:r w:rsidRPr="004E4D3F">
        <w:tab/>
        <w:t xml:space="preserve">kadangi pagal Taisomojo biudžeto Nr. 5/2024 projektą taip pat numatytos naujos skolinimo Ukrainai bendradarbiavimo mechanizmui skirtos pajamų ir išlaidų biudžeto eilutės, pagal kurias parama bus skiriama teikiant paskolas, kurios bus aptarnaujamos ir grąžinamos iš būsimų pajamų srautų iš </w:t>
      </w:r>
      <w:proofErr w:type="spellStart"/>
      <w:r w:rsidRPr="004E4D3F">
        <w:t>imobilizuoto</w:t>
      </w:r>
      <w:proofErr w:type="spellEnd"/>
      <w:r w:rsidRPr="004E4D3F">
        <w:t xml:space="preserve"> Rusijos valstybės turto;</w:t>
      </w:r>
    </w:p>
    <w:p w:rsidR="009B3582" w:rsidRPr="004E4D3F" w:rsidRDefault="009B3582" w:rsidP="009B3582">
      <w:pPr>
        <w:pStyle w:val="NormalHanging12a"/>
      </w:pPr>
      <w:r w:rsidRPr="004E4D3F">
        <w:t>1.</w:t>
      </w:r>
      <w:r w:rsidRPr="004E4D3F">
        <w:tab/>
        <w:t>atkreipia dėmesį į Komisijos pateiktą Taisomojo biudžeto Nr. 5/2024 projektą;</w:t>
      </w:r>
    </w:p>
    <w:p w:rsidR="009B3582" w:rsidRPr="004E4D3F" w:rsidRDefault="009B3582" w:rsidP="009B3582">
      <w:pPr>
        <w:pStyle w:val="NormalHanging12a"/>
      </w:pPr>
      <w:r w:rsidRPr="004E4D3F">
        <w:t>2.</w:t>
      </w:r>
      <w:r w:rsidRPr="004E4D3F">
        <w:tab/>
        <w:t xml:space="preserve">palankiai vertina padidėjusius mokėjimų poreikius Europos regioninės plėtros fondui (ERPF) kartu su bendros žemės ūkio politikos poreikiais vykdant bendrąjį perkėlimą (DEC 11/24), nes tai yra ženklas, kad programos įgyvendinimas įgauna pagreitį po nerimą kėlusio lėto pradinio etapo 2021–2027 m. laikotarpiu; </w:t>
      </w:r>
    </w:p>
    <w:p w:rsidR="009B3582" w:rsidRPr="004E4D3F" w:rsidRDefault="009B3582" w:rsidP="009B3582">
      <w:pPr>
        <w:pStyle w:val="NormalHanging12a"/>
      </w:pPr>
      <w:r w:rsidRPr="004E4D3F">
        <w:t>3.</w:t>
      </w:r>
      <w:r w:rsidRPr="004E4D3F">
        <w:tab/>
        <w:t xml:space="preserve">su pasitenkinimu pažymi, kad Europos strateginių technologijų platformos (STEP) nustatyti taisyklių pakeitimai, numatant išskirtinį išankstinį finansavimą ir savanorišką 100 proc. bendrą finansavimą, turėjo teigiamą poveikį ERPF įgyvendinimui, o tai reiškia, kad valstybės narės naudoja lėšas STEP tikslams įgyvendinti; be to, mano, kad didesni mokėjimai 2024 m. turėtų padėti sumažinti spaudimą </w:t>
      </w:r>
      <w:proofErr w:type="spellStart"/>
      <w:r w:rsidRPr="004E4D3F">
        <w:t>mokėjimams</w:t>
      </w:r>
      <w:proofErr w:type="spellEnd"/>
      <w:r w:rsidRPr="004E4D3F">
        <w:t xml:space="preserve"> 2025–2027 m. laikotarpiu;</w:t>
      </w:r>
    </w:p>
    <w:p w:rsidR="009B3582" w:rsidRPr="004E4D3F" w:rsidRDefault="009B3582" w:rsidP="009B3582">
      <w:pPr>
        <w:pStyle w:val="NormalHanging12a"/>
      </w:pPr>
      <w:r w:rsidRPr="004E4D3F">
        <w:t>4.</w:t>
      </w:r>
      <w:r w:rsidRPr="004E4D3F">
        <w:tab/>
        <w:t xml:space="preserve">pažymi, kad padidėjusius mokėjimų poreikius beveik visiškai padengia pajamos iš baudų ir nuobaudų, visų pirma 2,4 mlrd. EUR bauda už konkurencijos taisyklių </w:t>
      </w:r>
      <w:r w:rsidRPr="004E4D3F">
        <w:lastRenderedPageBreak/>
        <w:t>nesilaikymą, skirta įmonei „Google“ už antimonopolinius pažeidimus;</w:t>
      </w:r>
    </w:p>
    <w:p w:rsidR="009B3582" w:rsidRPr="004E4D3F" w:rsidRDefault="009B3582" w:rsidP="009B3582">
      <w:pPr>
        <w:pStyle w:val="NormalHanging12a"/>
      </w:pPr>
      <w:r w:rsidRPr="004E4D3F">
        <w:t>5.</w:t>
      </w:r>
      <w:r w:rsidRPr="004E4D3F">
        <w:tab/>
        <w:t xml:space="preserve">dar kartą pakartoja, kad Sąjungos biudžetui, kuris pastaraisiais metais stipriai išeikvotas siekiant reaguoti į įvairias krizes, reikalingos ilgalaikės tvarios pajamos; todėl apgailestauja, kad Taryboje nepadaryta pažanga nuosavų išteklių sistemos reformos klausimu pagal </w:t>
      </w:r>
      <w:proofErr w:type="spellStart"/>
      <w:r w:rsidRPr="004E4D3F">
        <w:t>Tarpinstituciniame</w:t>
      </w:r>
      <w:proofErr w:type="spellEnd"/>
      <w:r w:rsidRPr="004E4D3F">
        <w:t xml:space="preserve"> susitarime pateiktas veiksmų gaires; primena savo poziciją, kuria remiami iš dalies pakeisti Komisijos pasiūlymai, ir primygtinai ragina Tarybą ir valstybes nares skubiai priimti šiuos pasiūlymus, kad būtų padidinti Sąjungos biudžeto nuosavi ištekliai; primena savo ilgalaikę poziciją, kad baudos ir mokesčiai turėtų būti naudojami kaip papildomos Sąjungos biudžeto pajamos;</w:t>
      </w:r>
    </w:p>
    <w:p w:rsidR="009B3582" w:rsidRPr="004E4D3F" w:rsidRDefault="009B3582" w:rsidP="009B3582">
      <w:pPr>
        <w:pStyle w:val="NormalHanging12a"/>
      </w:pPr>
      <w:r w:rsidRPr="004E4D3F">
        <w:t>6.</w:t>
      </w:r>
      <w:r w:rsidRPr="004E4D3F">
        <w:tab/>
        <w:t xml:space="preserve">palankiai vertina tai, kad įtrauktos skolinimo Ukrainai bendradarbiavimo mechanizmui skirtos pajamų ir išlaidų biudžeto eilutės; akcentuoja nuolatinės finansinės paramos Ukrainai svarbą, atsižvelgiant į tai, kad finansavimas pagal Ukrainos priemonę ir esamus </w:t>
      </w:r>
      <w:proofErr w:type="spellStart"/>
      <w:r w:rsidRPr="004E4D3F">
        <w:t>makrofinansinės</w:t>
      </w:r>
      <w:proofErr w:type="spellEnd"/>
      <w:r w:rsidRPr="004E4D3F">
        <w:t xml:space="preserve"> paramos (MFP) susitarimus nepatenkina poreikių; </w:t>
      </w:r>
    </w:p>
    <w:p w:rsidR="009B3582" w:rsidRPr="004E4D3F" w:rsidRDefault="009B3582" w:rsidP="009B3582">
      <w:pPr>
        <w:pStyle w:val="NormalHanging12a"/>
      </w:pPr>
      <w:r w:rsidRPr="004E4D3F">
        <w:t>7.</w:t>
      </w:r>
      <w:r w:rsidRPr="004E4D3F">
        <w:tab/>
        <w:t>primena, kad papildomos MFP paskolos bus garantuotos iš biudžeto manevringumo maržos, ir pakartoja savo raginimą Komisijai pateikti biudžeto valdymo institucijai išsamią informaciją apie įsipareigojimų kaupimą manevringumo maržoje priklausomai nuo skolinimosi ir skolinimo operacijų; tikisi, kad Komisija pateiks Parlamentui ir Tarybai visą būtiną informaciją, kaip nurodyta jos pareiškime, pridėtame prie Europos Parlamento ir Tarybos reglamento (ES) 2024/2773</w:t>
      </w:r>
      <w:r w:rsidRPr="004E4D3F">
        <w:rPr>
          <w:rStyle w:val="FootnoteReference"/>
          <w:bCs/>
          <w:color w:val="333333"/>
          <w:shd w:val="clear" w:color="auto" w:fill="FFFFFF"/>
        </w:rPr>
        <w:footnoteReference w:id="6"/>
      </w:r>
      <w:r w:rsidRPr="004E4D3F">
        <w:t>;</w:t>
      </w:r>
    </w:p>
    <w:p w:rsidR="009B3582" w:rsidRPr="004E4D3F" w:rsidRDefault="009B3582" w:rsidP="009B3582">
      <w:pPr>
        <w:pStyle w:val="NormalHanging12a"/>
      </w:pPr>
      <w:r w:rsidRPr="004E4D3F">
        <w:t>8.</w:t>
      </w:r>
      <w:r w:rsidRPr="004E4D3F">
        <w:tab/>
        <w:t>atkreipia dėmesį į didesnį nei biudžete numatytą 2024 m. darbo užmokesčio koregavimą, kuris daro poveikį tiek atlyginimams, tiek pensijoms, nes 2024 m. naujų pensininkų skaičius yra didesnis nei prognozuota ir dėl to toliau didėja pensijų išlaidos; palankiai vertina tai, kad beveik visos visų institucijų papildomos išlaidos padengtos atliekant vidinį perskirstymą ir kad dėl to bendros maržos priemonės naudojimas yra ribotas;</w:t>
      </w:r>
    </w:p>
    <w:p w:rsidR="009B3582" w:rsidRPr="004E4D3F" w:rsidRDefault="009B3582" w:rsidP="009B3582">
      <w:pPr>
        <w:pStyle w:val="NormalHanging12a"/>
      </w:pPr>
      <w:r w:rsidRPr="004E4D3F">
        <w:t>9.</w:t>
      </w:r>
      <w:r w:rsidRPr="004E4D3F">
        <w:tab/>
        <w:t>pabrėžia, kad darbo užmokesčio koregavimas taip pat daro poveikį decentralizuotoms agentūroms, kurios patiria sunkumų dėl infliacijos, viršijančios 2 proc. defliatorių, kuriuo padidinami jų metiniai biudžetai, ir ypač dėl to, kad personalo ir veiklos išlaidos sudaro didelę jų išlaidų dalį; palankiai vertina tai, kad agentūroms, kurios negalėjo rasti išteklių perskirstydamos lėšas, Sąjungos įnašas padidėjo 1,7 proc.; pakartoja, kad dabartinį decentralizuotų agentūrų biudžetų traktavimą reikia toliau svarstyti Komisijai rengiantis sudaryti DFP po 2027 m.;</w:t>
      </w:r>
    </w:p>
    <w:p w:rsidR="009B3582" w:rsidRPr="004E4D3F" w:rsidRDefault="009B3582" w:rsidP="009B3582">
      <w:pPr>
        <w:pStyle w:val="NormalHanging12a"/>
      </w:pPr>
      <w:r w:rsidRPr="004E4D3F">
        <w:t>10.</w:t>
      </w:r>
      <w:r w:rsidRPr="004E4D3F">
        <w:tab/>
        <w:t>atkreipia dėmesį į Europos Sąjungos didelės apimties IT sistemų laisvės, saugumo ir teisingumo erdvėje operacijų valdymo agentūros (</w:t>
      </w:r>
      <w:proofErr w:type="spellStart"/>
      <w:r w:rsidRPr="004E4D3F">
        <w:t>eu</w:t>
      </w:r>
      <w:proofErr w:type="spellEnd"/>
      <w:r w:rsidRPr="004E4D3F">
        <w:t xml:space="preserve">-LISA) asignavimų padidinimą, kad būtų padengtos didėjančios sąnaudos, nors nerimauja dėl to, kad atitinkamai sumažinta Europos Sąjungos prieglobsčio agentūros (EUAA) asignavimų suma; palankiai vertina tai, kad EUAA finansavimas buvo padidintas atliekant DFP laikotarpio vidurio tikslinimą, kad ji galėtų vykdyti naujas užduotis, susijusias su Migracijos ir prieglobsčio pakto įgyvendinimu; ragina Komisiją glaudžiai bendradarbiauti su abiem agentūromis siekiant užtikrinti, kad jos būtų pasirengusios visapusiškai vykdyti savo </w:t>
      </w:r>
      <w:r w:rsidRPr="004E4D3F">
        <w:lastRenderedPageBreak/>
        <w:t>užduotis ir panaudoti joms numatytus papildomus asignavimus;</w:t>
      </w:r>
    </w:p>
    <w:p w:rsidR="009B3582" w:rsidRPr="004E4D3F" w:rsidRDefault="009B3582" w:rsidP="009B3582">
      <w:pPr>
        <w:pStyle w:val="NormalHanging12a"/>
      </w:pPr>
      <w:r w:rsidRPr="004E4D3F">
        <w:t>11.</w:t>
      </w:r>
      <w:r w:rsidRPr="004E4D3F">
        <w:tab/>
        <w:t xml:space="preserve">palankiai vertina papildomus asignavimus, 2024 m. numatytus Europos Sąjungos teisėsaugos mokymo agentūrai (CEPOL) po 2024 m. birželio mėn. įvykdyto kibernetinio išpuolio prieš šią agentūrą; primygtinai tvirtina, kad, atsižvelgiant į didelę kibernetinio saugumo grėsmę ir siekiant užtikrinti, jog kitas išpuolis nepakenktų nė vienai Sąjungos agentūrai ar institucijai, Sąjungos subjektų kibernetinio saugumo tarnyba (CERT-EU) turi pasimokyti iš patirties ir teikti tolesnę techninę paramą kitoms agentūroms ir institucijoms; </w:t>
      </w:r>
    </w:p>
    <w:p w:rsidR="009B3582" w:rsidRPr="004E4D3F" w:rsidRDefault="009B3582" w:rsidP="009B3582">
      <w:pPr>
        <w:pStyle w:val="NormalHanging12a"/>
      </w:pPr>
      <w:r w:rsidRPr="004E4D3F">
        <w:t>12.</w:t>
      </w:r>
      <w:r w:rsidRPr="004E4D3F">
        <w:tab/>
        <w:t xml:space="preserve">pabrėžia naujai įsteigtos Kovos su pinigų plovimu institucijos svarbą persvarstytoje Sąjungos lygmens kovos su pinigų plovimu sistemoje; todėl yra labai susirūpinęs dėl vėlavimų steigimo etape, visų pirma susijusių su įdarbinimu; </w:t>
      </w:r>
    </w:p>
    <w:p w:rsidR="009B3582" w:rsidRPr="004E4D3F" w:rsidRDefault="009B3582" w:rsidP="009B3582">
      <w:pPr>
        <w:pStyle w:val="NormalHanging12a"/>
      </w:pPr>
      <w:r w:rsidRPr="004E4D3F">
        <w:t>13.</w:t>
      </w:r>
      <w:r w:rsidRPr="004E4D3F">
        <w:tab/>
        <w:t xml:space="preserve">palankiai vertina tai, kad, šiuo metu galiojant nauja redakcija išdėstytam Finansiniam reglamentui, į biudžetą galima įtraukti neigiamas pajamas, skirtas kompensacinėms palūkanoms dėl pralaimėtų teismo bylų mokėti; pažymi, kad Komisija šiuo metu nustato tikslią tokių palūkanų sumą, ir ragina Komisiją 2025 m. kuo greičiau pateikti šią informaciją biudžeto valdymo institucijai; </w:t>
      </w:r>
    </w:p>
    <w:p w:rsidR="009B3582" w:rsidRPr="004E4D3F" w:rsidRDefault="009B3582" w:rsidP="009B3582">
      <w:pPr>
        <w:pStyle w:val="NormalHanging12a"/>
      </w:pPr>
      <w:r w:rsidRPr="004E4D3F">
        <w:t>14.</w:t>
      </w:r>
      <w:r w:rsidRPr="004E4D3F">
        <w:tab/>
        <w:t>pritaria Tarybos pozicijai dėl Taisomojo biudžeto Nr. 5/2024 projekto;</w:t>
      </w:r>
    </w:p>
    <w:p w:rsidR="009B3582" w:rsidRPr="004E4D3F" w:rsidRDefault="009B3582" w:rsidP="009B3582">
      <w:pPr>
        <w:pStyle w:val="NormalHanging12a"/>
      </w:pPr>
      <w:r w:rsidRPr="004E4D3F">
        <w:t>15.</w:t>
      </w:r>
      <w:r w:rsidRPr="004E4D3F">
        <w:tab/>
        <w:t xml:space="preserve">paveda Pirmininkei paskelbti, kad Taisomasis biudžetas Nr. 5/2024 yra galutinai priimtas ir pasirūpinti, kad jis būtų paskelbtas </w:t>
      </w:r>
      <w:r w:rsidRPr="004E4D3F">
        <w:rPr>
          <w:i/>
          <w:iCs/>
        </w:rPr>
        <w:t>Europos Sąjungos oficialiajame leidinyje</w:t>
      </w:r>
      <w:r w:rsidRPr="004E4D3F">
        <w:t>;</w:t>
      </w:r>
    </w:p>
    <w:p w:rsidR="00E365E1" w:rsidRPr="004E4D3F" w:rsidRDefault="009B3582" w:rsidP="00937540">
      <w:pPr>
        <w:ind w:left="567" w:hanging="567"/>
      </w:pPr>
      <w:r w:rsidRPr="004E4D3F">
        <w:t>16.</w:t>
      </w:r>
      <w:r w:rsidRPr="004E4D3F">
        <w:tab/>
        <w:t>paveda Pirmininkei perduoti šią rezoliuciją Tarybai, Komisijai ir nacionaliniams parlamentams.</w:t>
      </w:r>
    </w:p>
    <w:sectPr w:rsidR="00E365E1" w:rsidRPr="004E4D3F" w:rsidSect="004E4D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57E" w:rsidRPr="004E4D3F" w:rsidRDefault="0075057E">
      <w:r w:rsidRPr="004E4D3F">
        <w:separator/>
      </w:r>
    </w:p>
  </w:endnote>
  <w:endnote w:type="continuationSeparator" w:id="0">
    <w:p w:rsidR="0075057E" w:rsidRPr="004E4D3F" w:rsidRDefault="0075057E">
      <w:r w:rsidRPr="004E4D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D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D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D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57E" w:rsidRPr="004E4D3F" w:rsidRDefault="0075057E">
      <w:r w:rsidRPr="004E4D3F">
        <w:separator/>
      </w:r>
    </w:p>
  </w:footnote>
  <w:footnote w:type="continuationSeparator" w:id="0">
    <w:p w:rsidR="0075057E" w:rsidRPr="004E4D3F" w:rsidRDefault="0075057E">
      <w:r w:rsidRPr="004E4D3F">
        <w:continuationSeparator/>
      </w:r>
    </w:p>
  </w:footnote>
  <w:footnote w:id="1">
    <w:p w:rsidR="009B3582" w:rsidRPr="004E4D3F" w:rsidRDefault="009B3582" w:rsidP="004E4D3F">
      <w:pPr>
        <w:pStyle w:val="FootnoteText"/>
        <w:ind w:left="567" w:hanging="567"/>
        <w:rPr>
          <w:sz w:val="24"/>
          <w:lang w:val="lt-LT"/>
        </w:rPr>
      </w:pPr>
      <w:r w:rsidRPr="004E4D3F">
        <w:rPr>
          <w:rStyle w:val="FootnoteReference"/>
          <w:sz w:val="24"/>
          <w:lang w:val="lt-LT"/>
        </w:rPr>
        <w:footnoteRef/>
      </w:r>
      <w:r w:rsidR="004E4D3F" w:rsidRPr="004E4D3F">
        <w:rPr>
          <w:sz w:val="24"/>
          <w:lang w:val="lt-LT"/>
        </w:rPr>
        <w:t xml:space="preserve"> </w:t>
      </w:r>
      <w:r w:rsidR="004E4D3F" w:rsidRPr="004E4D3F">
        <w:rPr>
          <w:sz w:val="24"/>
          <w:lang w:val="lt-LT"/>
        </w:rPr>
        <w:tab/>
      </w:r>
      <w:r w:rsidRPr="004E4D3F">
        <w:rPr>
          <w:sz w:val="24"/>
          <w:lang w:val="lt-LT"/>
        </w:rPr>
        <w:t xml:space="preserve">OL L, 2024/2509, 2024 9 26, </w:t>
      </w:r>
      <w:r w:rsidR="005B4C93" w:rsidRPr="004E4D3F">
        <w:rPr>
          <w:sz w:val="24"/>
          <w:lang w:val="lt-LT"/>
        </w:rPr>
        <w:t>ELI:</w:t>
      </w:r>
      <w:r w:rsidR="005B4C93">
        <w:rPr>
          <w:sz w:val="24"/>
          <w:lang w:val="lt-LT"/>
        </w:rPr>
        <w:t xml:space="preserve"> </w:t>
      </w:r>
      <w:hyperlink r:id="rId1" w:history="1">
        <w:r w:rsidRPr="004E4D3F">
          <w:rPr>
            <w:rStyle w:val="Hyperlink"/>
            <w:sz w:val="24"/>
            <w:lang w:val="lt-LT"/>
          </w:rPr>
          <w:t>http://data.europa.eu/eli/reg/2024/2509/oj</w:t>
        </w:r>
      </w:hyperlink>
      <w:r w:rsidRPr="004E4D3F">
        <w:rPr>
          <w:sz w:val="24"/>
          <w:lang w:val="lt-LT"/>
        </w:rPr>
        <w:t>.</w:t>
      </w:r>
    </w:p>
  </w:footnote>
  <w:footnote w:id="2">
    <w:p w:rsidR="009B3582" w:rsidRPr="004E4D3F" w:rsidRDefault="009B3582" w:rsidP="004E4D3F">
      <w:pPr>
        <w:pStyle w:val="FootnoteText"/>
        <w:ind w:left="567" w:hanging="567"/>
        <w:rPr>
          <w:sz w:val="24"/>
          <w:lang w:val="lt-LT"/>
        </w:rPr>
      </w:pPr>
      <w:r w:rsidRPr="004E4D3F">
        <w:rPr>
          <w:rStyle w:val="FootnoteReference"/>
          <w:sz w:val="24"/>
          <w:lang w:val="lt-LT"/>
        </w:rPr>
        <w:footnoteRef/>
      </w:r>
      <w:r w:rsidR="004E4D3F" w:rsidRPr="004E4D3F">
        <w:rPr>
          <w:sz w:val="24"/>
          <w:lang w:val="lt-LT"/>
        </w:rPr>
        <w:t xml:space="preserve"> </w:t>
      </w:r>
      <w:r w:rsidR="004E4D3F" w:rsidRPr="004E4D3F">
        <w:rPr>
          <w:sz w:val="24"/>
          <w:lang w:val="lt-LT"/>
        </w:rPr>
        <w:tab/>
      </w:r>
      <w:r w:rsidRPr="004E4D3F">
        <w:rPr>
          <w:sz w:val="24"/>
          <w:lang w:val="lt-LT"/>
        </w:rPr>
        <w:t xml:space="preserve">OL L, 2024/207, 2024 2 22, ELI: </w:t>
      </w:r>
      <w:hyperlink r:id="rId2" w:history="1">
        <w:r w:rsidRPr="004E4D3F">
          <w:rPr>
            <w:rStyle w:val="Hyperlink"/>
            <w:sz w:val="24"/>
            <w:lang w:val="lt-LT"/>
          </w:rPr>
          <w:t>http://data.europa.eu/eli/budget/2024/207/oj</w:t>
        </w:r>
      </w:hyperlink>
      <w:r w:rsidRPr="004E4D3F">
        <w:rPr>
          <w:sz w:val="24"/>
          <w:lang w:val="lt-LT"/>
        </w:rPr>
        <w:t>.</w:t>
      </w:r>
    </w:p>
  </w:footnote>
  <w:footnote w:id="3">
    <w:p w:rsidR="009B3582" w:rsidRPr="004E4D3F" w:rsidRDefault="009B3582" w:rsidP="004E4D3F">
      <w:pPr>
        <w:pStyle w:val="FootnoteText"/>
        <w:ind w:left="567" w:hanging="567"/>
        <w:rPr>
          <w:sz w:val="24"/>
          <w:lang w:val="lt-LT"/>
        </w:rPr>
      </w:pPr>
      <w:r w:rsidRPr="004E4D3F">
        <w:rPr>
          <w:rStyle w:val="FootnoteReference"/>
          <w:sz w:val="24"/>
          <w:lang w:val="lt-LT"/>
        </w:rPr>
        <w:footnoteRef/>
      </w:r>
      <w:r w:rsidR="004E4D3F" w:rsidRPr="004E4D3F">
        <w:rPr>
          <w:sz w:val="24"/>
          <w:lang w:val="lt-LT"/>
        </w:rPr>
        <w:t xml:space="preserve"> </w:t>
      </w:r>
      <w:r w:rsidR="004E4D3F" w:rsidRPr="004E4D3F">
        <w:rPr>
          <w:sz w:val="24"/>
          <w:lang w:val="lt-LT"/>
        </w:rPr>
        <w:tab/>
      </w:r>
      <w:r w:rsidRPr="004E4D3F">
        <w:rPr>
          <w:sz w:val="24"/>
          <w:lang w:val="lt-LT"/>
        </w:rPr>
        <w:t xml:space="preserve">OL L 433 I, 2020 12 22, p. 11, ELI: </w:t>
      </w:r>
      <w:hyperlink r:id="rId3" w:history="1">
        <w:r w:rsidRPr="004E4D3F">
          <w:rPr>
            <w:rStyle w:val="Hyperlink"/>
            <w:sz w:val="24"/>
            <w:lang w:val="lt-LT"/>
          </w:rPr>
          <w:t>http://data.europa.eu/eli/reg/2020/2093/oj</w:t>
        </w:r>
      </w:hyperlink>
      <w:r w:rsidRPr="004E4D3F">
        <w:rPr>
          <w:sz w:val="24"/>
          <w:lang w:val="lt-LT"/>
        </w:rPr>
        <w:t>.</w:t>
      </w:r>
    </w:p>
  </w:footnote>
  <w:footnote w:id="4">
    <w:p w:rsidR="009B3582" w:rsidRPr="004E4D3F" w:rsidRDefault="009B3582" w:rsidP="004E4D3F">
      <w:pPr>
        <w:pStyle w:val="FootnoteText"/>
        <w:ind w:left="567" w:hanging="567"/>
        <w:rPr>
          <w:sz w:val="24"/>
          <w:lang w:val="lt-LT"/>
        </w:rPr>
      </w:pPr>
      <w:r w:rsidRPr="004E4D3F">
        <w:rPr>
          <w:rStyle w:val="FootnoteReference"/>
          <w:sz w:val="24"/>
          <w:lang w:val="lt-LT"/>
        </w:rPr>
        <w:footnoteRef/>
      </w:r>
      <w:r w:rsidR="004E4D3F" w:rsidRPr="004E4D3F">
        <w:rPr>
          <w:sz w:val="24"/>
          <w:lang w:val="lt-LT"/>
        </w:rPr>
        <w:t xml:space="preserve"> </w:t>
      </w:r>
      <w:r w:rsidR="004E4D3F" w:rsidRPr="004E4D3F">
        <w:rPr>
          <w:sz w:val="24"/>
          <w:lang w:val="lt-LT"/>
        </w:rPr>
        <w:tab/>
      </w:r>
      <w:r w:rsidRPr="004E4D3F">
        <w:rPr>
          <w:sz w:val="24"/>
          <w:lang w:val="lt-LT"/>
        </w:rPr>
        <w:t xml:space="preserve">OL L 433 I, 2020 12 22, p. 28, ELI: </w:t>
      </w:r>
      <w:hyperlink r:id="rId4" w:history="1">
        <w:r w:rsidRPr="004E4D3F">
          <w:rPr>
            <w:rStyle w:val="Hyperlink"/>
            <w:sz w:val="24"/>
            <w:lang w:val="lt-LT"/>
          </w:rPr>
          <w:t>http://data.europa.eu/eli/agree_interinstit/2020/1222/oj</w:t>
        </w:r>
      </w:hyperlink>
    </w:p>
  </w:footnote>
  <w:footnote w:id="5">
    <w:p w:rsidR="009B3582" w:rsidRPr="004E4D3F" w:rsidRDefault="009B3582" w:rsidP="004E4D3F">
      <w:pPr>
        <w:pStyle w:val="FootnoteText"/>
        <w:ind w:left="567" w:hanging="567"/>
        <w:rPr>
          <w:sz w:val="24"/>
          <w:lang w:val="lt-LT"/>
        </w:rPr>
      </w:pPr>
      <w:r w:rsidRPr="004E4D3F">
        <w:rPr>
          <w:rStyle w:val="FootnoteReference"/>
          <w:sz w:val="24"/>
          <w:lang w:val="lt-LT"/>
        </w:rPr>
        <w:footnoteRef/>
      </w:r>
      <w:r w:rsidR="004E4D3F" w:rsidRPr="004E4D3F">
        <w:rPr>
          <w:sz w:val="24"/>
          <w:lang w:val="lt-LT"/>
        </w:rPr>
        <w:t xml:space="preserve"> </w:t>
      </w:r>
      <w:r w:rsidR="004E4D3F" w:rsidRPr="004E4D3F">
        <w:rPr>
          <w:sz w:val="24"/>
          <w:lang w:val="lt-LT"/>
        </w:rPr>
        <w:tab/>
      </w:r>
      <w:r w:rsidRPr="004E4D3F">
        <w:rPr>
          <w:sz w:val="24"/>
          <w:lang w:val="lt-LT"/>
        </w:rPr>
        <w:t xml:space="preserve">OL L 424, 2020 12 15, p. 1, ELI: </w:t>
      </w:r>
      <w:hyperlink r:id="rId5" w:history="1">
        <w:r w:rsidRPr="004E4D3F">
          <w:rPr>
            <w:rStyle w:val="Hyperlink"/>
            <w:sz w:val="24"/>
            <w:lang w:val="lt-LT"/>
          </w:rPr>
          <w:t>http://data.europa.eu/eli/dec/2020/2053/oj</w:t>
        </w:r>
      </w:hyperlink>
      <w:r w:rsidRPr="004E4D3F">
        <w:rPr>
          <w:sz w:val="24"/>
          <w:lang w:val="lt-LT"/>
        </w:rPr>
        <w:t>.</w:t>
      </w:r>
    </w:p>
  </w:footnote>
  <w:footnote w:id="6">
    <w:p w:rsidR="009B3582" w:rsidRPr="004E4D3F" w:rsidRDefault="009B3582" w:rsidP="004E4D3F">
      <w:pPr>
        <w:pStyle w:val="FootnoteText"/>
        <w:ind w:left="567" w:hanging="567"/>
        <w:rPr>
          <w:sz w:val="24"/>
          <w:lang w:val="lt-LT"/>
        </w:rPr>
      </w:pPr>
      <w:r w:rsidRPr="004E4D3F">
        <w:rPr>
          <w:rStyle w:val="FootnoteReference"/>
          <w:sz w:val="24"/>
          <w:lang w:val="lt-LT"/>
        </w:rPr>
        <w:footnoteRef/>
      </w:r>
      <w:r w:rsidR="004E4D3F" w:rsidRPr="004E4D3F">
        <w:rPr>
          <w:sz w:val="24"/>
          <w:lang w:val="lt-LT"/>
        </w:rPr>
        <w:t xml:space="preserve"> </w:t>
      </w:r>
      <w:r w:rsidR="004E4D3F" w:rsidRPr="004E4D3F">
        <w:rPr>
          <w:sz w:val="24"/>
          <w:lang w:val="lt-LT"/>
        </w:rPr>
        <w:tab/>
      </w:r>
      <w:r w:rsidRPr="004E4D3F">
        <w:rPr>
          <w:sz w:val="24"/>
          <w:lang w:val="lt-LT"/>
        </w:rPr>
        <w:t xml:space="preserve">2024 m. spalio 24 d. Europos Parlamento ir Tarybos reglamentas (ES) 2024/2773, kuriuo sukuriamas skolinimo Ukrainai bendradarbiavimo mechanizmas ir Ukrainai suteikiama išskirtinė </w:t>
      </w:r>
      <w:proofErr w:type="spellStart"/>
      <w:r w:rsidRPr="004E4D3F">
        <w:rPr>
          <w:sz w:val="24"/>
          <w:lang w:val="lt-LT"/>
        </w:rPr>
        <w:t>makrofinansinė</w:t>
      </w:r>
      <w:proofErr w:type="spellEnd"/>
      <w:r w:rsidRPr="004E4D3F">
        <w:rPr>
          <w:sz w:val="24"/>
          <w:lang w:val="lt-LT"/>
        </w:rPr>
        <w:t xml:space="preserve"> pagalba (OL L, 2024/2773, 2024 10 28, ELI: </w:t>
      </w:r>
      <w:hyperlink r:id="rId6" w:history="1">
        <w:r w:rsidRPr="004E4D3F">
          <w:rPr>
            <w:rStyle w:val="Hyperlink"/>
            <w:sz w:val="24"/>
            <w:lang w:val="lt-LT"/>
          </w:rPr>
          <w:t>http://data.europa.eu/eli/reg/2024/2773/oj</w:t>
        </w:r>
      </w:hyperlink>
      <w:r w:rsidRPr="004E4D3F">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D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D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D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LT"/>
    <w:docVar w:name="dvnumam" w:val="0"/>
    <w:docVar w:name="dvpe" w:val="765.136"/>
    <w:docVar w:name="dvrapporteur" w:val="Pranešėjas: "/>
    <w:docVar w:name="dvtitre" w:val="Europos Parlamento rezoliucija dėl Tarybos pozicijos dėl 2024 finansinių metų Europos Sąjungos taisomojo biudžeto Nr. 5/2024 projekto – mokėjimų asignavimų patikslinimas, pajamų atnaujinimas ir kiti techniniai atnaujinimai(14477/2024 – C10-0186/2024 – 2024/0252(BUD))"/>
  </w:docVars>
  <w:rsids>
    <w:rsidRoot w:val="0075057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D3F"/>
    <w:rsid w:val="0050519A"/>
    <w:rsid w:val="005072A1"/>
    <w:rsid w:val="00514517"/>
    <w:rsid w:val="00545827"/>
    <w:rsid w:val="00560270"/>
    <w:rsid w:val="005B4C93"/>
    <w:rsid w:val="005C2568"/>
    <w:rsid w:val="005F1B17"/>
    <w:rsid w:val="006037C0"/>
    <w:rsid w:val="006631B6"/>
    <w:rsid w:val="00680577"/>
    <w:rsid w:val="006F74FA"/>
    <w:rsid w:val="00731ADD"/>
    <w:rsid w:val="00734777"/>
    <w:rsid w:val="00747932"/>
    <w:rsid w:val="0075057E"/>
    <w:rsid w:val="00751A4A"/>
    <w:rsid w:val="00756632"/>
    <w:rsid w:val="00762C74"/>
    <w:rsid w:val="00786EC0"/>
    <w:rsid w:val="007D1690"/>
    <w:rsid w:val="007E22AD"/>
    <w:rsid w:val="00817416"/>
    <w:rsid w:val="00842779"/>
    <w:rsid w:val="00865F67"/>
    <w:rsid w:val="00881A7B"/>
    <w:rsid w:val="008840E5"/>
    <w:rsid w:val="00887B3E"/>
    <w:rsid w:val="008C2AC6"/>
    <w:rsid w:val="008F5887"/>
    <w:rsid w:val="00930C23"/>
    <w:rsid w:val="0093193B"/>
    <w:rsid w:val="00937540"/>
    <w:rsid w:val="009509D8"/>
    <w:rsid w:val="00950B64"/>
    <w:rsid w:val="00981893"/>
    <w:rsid w:val="009B3582"/>
    <w:rsid w:val="00A1687D"/>
    <w:rsid w:val="00A43E52"/>
    <w:rsid w:val="00A4678D"/>
    <w:rsid w:val="00A778C7"/>
    <w:rsid w:val="00AB441E"/>
    <w:rsid w:val="00AB6293"/>
    <w:rsid w:val="00AE0928"/>
    <w:rsid w:val="00AF3B82"/>
    <w:rsid w:val="00B12E95"/>
    <w:rsid w:val="00B1387A"/>
    <w:rsid w:val="00B22876"/>
    <w:rsid w:val="00B558F0"/>
    <w:rsid w:val="00B6560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3B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7C545"/>
  <w15:chartTrackingRefBased/>
  <w15:docId w15:val="{1937BD09-9079-459E-8B5E-CD7FE581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3582"/>
    <w:pPr>
      <w:spacing w:before="480" w:after="240"/>
    </w:pPr>
  </w:style>
  <w:style w:type="paragraph" w:customStyle="1" w:styleId="NormalHanging12a">
    <w:name w:val="NormalHanging12a"/>
    <w:basedOn w:val="Normal"/>
    <w:rsid w:val="009B3582"/>
    <w:pPr>
      <w:spacing w:after="240"/>
      <w:ind w:left="567" w:hanging="567"/>
    </w:pPr>
  </w:style>
  <w:style w:type="character" w:styleId="Hyperlink">
    <w:name w:val="Hyperlink"/>
    <w:basedOn w:val="DefaultParagraphFont"/>
    <w:uiPriority w:val="99"/>
    <w:rsid w:val="009B3582"/>
    <w:rPr>
      <w:color w:val="0563C1" w:themeColor="hyperlink"/>
      <w:u w:val="single"/>
    </w:rPr>
  </w:style>
  <w:style w:type="paragraph" w:styleId="BalloonText">
    <w:name w:val="Balloon Text"/>
    <w:basedOn w:val="Normal"/>
    <w:link w:val="BalloonTextChar"/>
    <w:rsid w:val="00E163B8"/>
    <w:rPr>
      <w:rFonts w:ascii="Segoe UI" w:hAnsi="Segoe UI" w:cs="Segoe UI"/>
      <w:sz w:val="18"/>
      <w:szCs w:val="18"/>
    </w:rPr>
  </w:style>
  <w:style w:type="character" w:customStyle="1" w:styleId="BalloonTextChar">
    <w:name w:val="Balloon Text Char"/>
    <w:basedOn w:val="DefaultParagraphFont"/>
    <w:link w:val="BalloonText"/>
    <w:rsid w:val="00E163B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D97BD-B289-4133-9D52-CDB848DA3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2024-11-27T11:48:00Z</dcterms:created>
  <dcterms:modified xsi:type="dcterms:W3CDTF">2024-11-27T11:48:00Z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A10-0017/2024</vt:lpwstr>
  </property>
  <property fmtid="{D5CDD505-2E9C-101B-9397-08002B2CF9AE}" pid="4" name="&lt;Type&gt;">
    <vt:lpwstr>RR</vt:lpwstr>
  </property>
</Properties>
</file>