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309" w:rsidTr="0010095E">
        <w:trPr>
          <w:trHeight w:hRule="exact" w:val="1418"/>
        </w:trPr>
        <w:tc>
          <w:tcPr>
            <w:tcW w:w="6804" w:type="dxa"/>
            <w:shd w:val="clear" w:color="auto" w:fill="auto"/>
            <w:vAlign w:val="center"/>
          </w:tcPr>
          <w:p w:rsidR="00751A4A" w:rsidRPr="00625309" w:rsidRDefault="00E01966" w:rsidP="0010095E">
            <w:pPr>
              <w:pStyle w:val="EPName"/>
            </w:pPr>
            <w:r w:rsidRPr="00625309">
              <w:t>Eiropas Parlaments</w:t>
            </w:r>
          </w:p>
          <w:p w:rsidR="00751A4A" w:rsidRPr="00625309" w:rsidRDefault="005F1B17" w:rsidP="005F1B17">
            <w:pPr>
              <w:pStyle w:val="EPTerm"/>
              <w:rPr>
                <w:rStyle w:val="HideTWBExt"/>
                <w:noProof w:val="0"/>
                <w:vanish w:val="0"/>
                <w:color w:val="auto"/>
              </w:rPr>
            </w:pPr>
            <w:r w:rsidRPr="00625309">
              <w:t>2024</w:t>
            </w:r>
            <w:r w:rsidR="00817416" w:rsidRPr="00625309">
              <w:t>-202</w:t>
            </w:r>
            <w:r w:rsidRPr="00625309">
              <w:t>9</w:t>
            </w:r>
          </w:p>
        </w:tc>
        <w:tc>
          <w:tcPr>
            <w:tcW w:w="2268" w:type="dxa"/>
            <w:shd w:val="clear" w:color="auto" w:fill="auto"/>
          </w:tcPr>
          <w:p w:rsidR="00751A4A" w:rsidRPr="00625309" w:rsidRDefault="00187494" w:rsidP="0010095E">
            <w:pPr>
              <w:pStyle w:val="EPLogo"/>
            </w:pPr>
            <w:r w:rsidRPr="006253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5309" w:rsidRDefault="00D058B8" w:rsidP="004C5D52">
      <w:pPr>
        <w:pStyle w:val="LineTop"/>
      </w:pPr>
    </w:p>
    <w:p w:rsidR="00680577" w:rsidRPr="00625309" w:rsidRDefault="00E01966" w:rsidP="00680577">
      <w:pPr>
        <w:pStyle w:val="EPBodyTA1"/>
      </w:pPr>
      <w:r w:rsidRPr="00625309">
        <w:t>PIEŅEMTIE TEKSTI</w:t>
      </w:r>
    </w:p>
    <w:p w:rsidR="00D058B8" w:rsidRPr="00625309" w:rsidRDefault="00D058B8" w:rsidP="00D058B8">
      <w:pPr>
        <w:pStyle w:val="LineBottom"/>
      </w:pPr>
    </w:p>
    <w:p w:rsidR="00E01966" w:rsidRPr="00625309" w:rsidRDefault="00E01966" w:rsidP="00E01966">
      <w:pPr>
        <w:pStyle w:val="ATHeading1"/>
      </w:pPr>
      <w:bookmarkStart w:id="0" w:name="TANumber"/>
      <w:r w:rsidRPr="00625309">
        <w:t>P10_TA(2024)00</w:t>
      </w:r>
      <w:bookmarkEnd w:id="0"/>
      <w:r w:rsidR="00625309" w:rsidRPr="00625309">
        <w:t>49</w:t>
      </w:r>
    </w:p>
    <w:p w:rsidR="00E01966" w:rsidRPr="00625309" w:rsidRDefault="004218AA" w:rsidP="001C0A4F">
      <w:pPr>
        <w:pStyle w:val="ATHeading2"/>
      </w:pPr>
      <w:r w:rsidRPr="00625309">
        <w:t>B</w:t>
      </w:r>
      <w:r w:rsidR="001C0A4F" w:rsidRPr="00625309">
        <w:t>udžeta grozījuma Nr. 5</w:t>
      </w:r>
      <w:r w:rsidRPr="00625309">
        <w:t>/2024</w:t>
      </w:r>
      <w:r w:rsidR="001C0A4F" w:rsidRPr="00625309">
        <w:t xml:space="preserve"> projekts: korekcijas maksājumu apropriācijās, ieņēmumu atjaunināšana un citi tehniski atjauninājumi</w:t>
      </w:r>
    </w:p>
    <w:p w:rsidR="00E01966" w:rsidRPr="00625309" w:rsidRDefault="00E01966" w:rsidP="00E01966">
      <w:pPr>
        <w:rPr>
          <w:i/>
          <w:vanish/>
        </w:rPr>
      </w:pPr>
      <w:r w:rsidRPr="00625309">
        <w:rPr>
          <w:i/>
        </w:rPr>
        <w:fldChar w:fldCharType="begin"/>
      </w:r>
      <w:r w:rsidRPr="00625309">
        <w:rPr>
          <w:i/>
        </w:rPr>
        <w:instrText xml:space="preserve"> TC"(</w:instrText>
      </w:r>
      <w:bookmarkStart w:id="1" w:name="DocNumber"/>
      <w:r w:rsidRPr="00625309">
        <w:rPr>
          <w:i/>
        </w:rPr>
        <w:instrText>A10-0017/2024</w:instrText>
      </w:r>
      <w:bookmarkEnd w:id="1"/>
      <w:r w:rsidRPr="00625309">
        <w:rPr>
          <w:i/>
        </w:rPr>
        <w:instrText xml:space="preserve"> - Referents: Siegfried Mureşan)"\l3 \n&gt; \* MERGEFORMAT </w:instrText>
      </w:r>
      <w:r w:rsidRPr="00625309">
        <w:rPr>
          <w:i/>
        </w:rPr>
        <w:fldChar w:fldCharType="end"/>
      </w:r>
    </w:p>
    <w:p w:rsidR="00E01966" w:rsidRPr="00625309" w:rsidRDefault="00E01966" w:rsidP="00E01966">
      <w:pPr>
        <w:rPr>
          <w:vanish/>
        </w:rPr>
      </w:pPr>
      <w:bookmarkStart w:id="2" w:name="Commission"/>
      <w:r w:rsidRPr="00625309">
        <w:rPr>
          <w:vanish/>
        </w:rPr>
        <w:t>Budžeta komiteja</w:t>
      </w:r>
      <w:bookmarkEnd w:id="2"/>
    </w:p>
    <w:p w:rsidR="00E01966" w:rsidRPr="00625309" w:rsidRDefault="00E01966" w:rsidP="00E01966">
      <w:pPr>
        <w:rPr>
          <w:vanish/>
        </w:rPr>
      </w:pPr>
      <w:bookmarkStart w:id="3" w:name="PE"/>
      <w:r w:rsidRPr="00625309">
        <w:rPr>
          <w:vanish/>
        </w:rPr>
        <w:t>PE765.136</w:t>
      </w:r>
      <w:bookmarkEnd w:id="3"/>
    </w:p>
    <w:p w:rsidR="009B57FD" w:rsidRPr="00625309" w:rsidRDefault="00E01966" w:rsidP="001C0A4F">
      <w:pPr>
        <w:pStyle w:val="ATHeading3"/>
      </w:pPr>
      <w:bookmarkStart w:id="4" w:name="Sujet"/>
      <w:r w:rsidRPr="00625309">
        <w:t xml:space="preserve">Eiropas Parlamenta 2024. gada </w:t>
      </w:r>
      <w:r w:rsidR="001C0A4F" w:rsidRPr="00625309">
        <w:t>27</w:t>
      </w:r>
      <w:r w:rsidRPr="00625309">
        <w:t xml:space="preserve">. </w:t>
      </w:r>
      <w:r w:rsidR="001C0A4F" w:rsidRPr="00625309">
        <w:t>novembra</w:t>
      </w:r>
      <w:r w:rsidRPr="00625309">
        <w:t xml:space="preserve"> rezolūcija par Padomes nostāju attiecībā uz Eiropas Savienības 2024. finanšu gada budžeta grozījuma Nr. 5/2024 projektu: korekcijas maksājumu apropriācijās, ieņēmumu atjaunināšana un citi tehniski atjauninājumi</w:t>
      </w:r>
      <w:bookmarkEnd w:id="4"/>
      <w:r w:rsidRPr="00625309">
        <w:t xml:space="preserve"> </w:t>
      </w:r>
      <w:bookmarkStart w:id="5" w:name="References"/>
      <w:r w:rsidRPr="00625309">
        <w:t>(14477/2024 – C10-0186/2024 – 2024/0252(BUD))</w:t>
      </w:r>
      <w:bookmarkStart w:id="6" w:name="TextBodyBegin"/>
      <w:bookmarkEnd w:id="5"/>
      <w:bookmarkEnd w:id="6"/>
    </w:p>
    <w:p w:rsidR="009B57FD" w:rsidRPr="00625309" w:rsidRDefault="009B57FD" w:rsidP="009B57FD">
      <w:pPr>
        <w:pStyle w:val="EPComma"/>
      </w:pPr>
      <w:r w:rsidRPr="00625309">
        <w:rPr>
          <w:i/>
        </w:rPr>
        <w:t>Eiropas Parlaments</w:t>
      </w:r>
      <w:r w:rsidRPr="00625309">
        <w:t>,</w:t>
      </w:r>
    </w:p>
    <w:p w:rsidR="009B57FD" w:rsidRPr="00625309" w:rsidRDefault="009B57FD" w:rsidP="009B57FD">
      <w:pPr>
        <w:pStyle w:val="NormalHanging12a"/>
      </w:pPr>
      <w:r w:rsidRPr="00625309">
        <w:t>–</w:t>
      </w:r>
      <w:r w:rsidRPr="00625309">
        <w:tab/>
        <w:t>ņemot vērā Līguma par Eiropas Savienības darbību 314. pantu,</w:t>
      </w:r>
    </w:p>
    <w:p w:rsidR="009B57FD" w:rsidRPr="00625309" w:rsidRDefault="009B57FD" w:rsidP="009B57FD">
      <w:pPr>
        <w:pStyle w:val="NormalHanging12a"/>
      </w:pPr>
      <w:r w:rsidRPr="00625309">
        <w:t>–</w:t>
      </w:r>
      <w:r w:rsidRPr="00625309">
        <w:tab/>
        <w:t>ņemot vērā Eiropas Atomenerģijas kopienas dibināšanas līguma 106.a pantu,</w:t>
      </w:r>
    </w:p>
    <w:p w:rsidR="009B57FD" w:rsidRPr="00625309" w:rsidRDefault="009B57FD" w:rsidP="009B57FD">
      <w:pPr>
        <w:pStyle w:val="NormalHanging12a"/>
      </w:pPr>
      <w:r w:rsidRPr="00625309">
        <w:t>–</w:t>
      </w:r>
      <w:r w:rsidRPr="00625309">
        <w:tab/>
        <w:t xml:space="preserve">ņemot vērā Eiropas Parlamenta un Padomes 2024. gada 23. septembra Regulu (ES, </w:t>
      </w:r>
      <w:r w:rsidRPr="00625309">
        <w:rPr>
          <w:i/>
        </w:rPr>
        <w:t>Euratom</w:t>
      </w:r>
      <w:r w:rsidRPr="00625309">
        <w:t>) 2024/2509 par finanšu noteikumiem, ko piemēro Savienības vispārējam budžetam</w:t>
      </w:r>
      <w:r w:rsidRPr="00625309">
        <w:rPr>
          <w:rStyle w:val="FootnoteReference"/>
        </w:rPr>
        <w:footnoteReference w:id="1"/>
      </w:r>
      <w:r w:rsidRPr="00625309">
        <w:t>, un jo īpaši tās 44. pantu,</w:t>
      </w:r>
    </w:p>
    <w:p w:rsidR="009B57FD" w:rsidRPr="00625309" w:rsidRDefault="009B57FD" w:rsidP="009B57FD">
      <w:pPr>
        <w:pStyle w:val="NormalHanging12a"/>
      </w:pPr>
      <w:r w:rsidRPr="00625309">
        <w:t>–</w:t>
      </w:r>
      <w:r w:rsidRPr="00625309">
        <w:tab/>
        <w:t>ņemot vērā Eiropas Savienības 2024. finanšu gada vispārējo budžetu, ko galīgajā variantā pieņēma 2023. gada 22. novembrī</w:t>
      </w:r>
      <w:r w:rsidRPr="00625309">
        <w:rPr>
          <w:rStyle w:val="FootnoteReference"/>
        </w:rPr>
        <w:footnoteReference w:id="2"/>
      </w:r>
      <w:r w:rsidRPr="00625309">
        <w:t>,</w:t>
      </w:r>
    </w:p>
    <w:p w:rsidR="009B57FD" w:rsidRPr="00625309" w:rsidRDefault="009B57FD" w:rsidP="009B57FD">
      <w:pPr>
        <w:pStyle w:val="NormalHanging12a"/>
      </w:pPr>
      <w:r w:rsidRPr="00625309">
        <w:t>–</w:t>
      </w:r>
      <w:r w:rsidRPr="00625309">
        <w:tab/>
        <w:t xml:space="preserve">ņemot vērā Padomes 2020. gada 17. decembra Regulu (ES, </w:t>
      </w:r>
      <w:r w:rsidRPr="00625309">
        <w:rPr>
          <w:i/>
        </w:rPr>
        <w:t>Euratom</w:t>
      </w:r>
      <w:r w:rsidRPr="00625309">
        <w:t>) 2020/2093, ar ko nosaka daudzgadu finanšu shēmu 2021.–2027. gadam</w:t>
      </w:r>
      <w:r w:rsidRPr="00625309">
        <w:rPr>
          <w:rStyle w:val="FootnoteReference"/>
        </w:rPr>
        <w:footnoteReference w:id="3"/>
      </w:r>
      <w:r w:rsidRPr="00625309">
        <w:t>,</w:t>
      </w:r>
    </w:p>
    <w:p w:rsidR="009B57FD" w:rsidRPr="00625309" w:rsidRDefault="009B57FD" w:rsidP="009B57FD">
      <w:pPr>
        <w:pStyle w:val="NormalHanging12a"/>
      </w:pPr>
      <w:r w:rsidRPr="00625309">
        <w:t>–</w:t>
      </w:r>
      <w:r w:rsidRPr="00625309">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625309">
        <w:rPr>
          <w:rStyle w:val="FootnoteReference"/>
        </w:rPr>
        <w:footnoteReference w:id="4"/>
      </w:r>
      <w:r w:rsidRPr="00625309">
        <w:t>,</w:t>
      </w:r>
    </w:p>
    <w:p w:rsidR="009B57FD" w:rsidRPr="00625309" w:rsidRDefault="009B57FD" w:rsidP="009B57FD">
      <w:pPr>
        <w:pStyle w:val="NormalHanging12a"/>
      </w:pPr>
      <w:r w:rsidRPr="00625309">
        <w:t>–</w:t>
      </w:r>
      <w:r w:rsidRPr="00625309">
        <w:tab/>
        <w:t xml:space="preserve">ņemot vērā Padomes 2020. gada 14. decembra Lēmumu (ES, </w:t>
      </w:r>
      <w:r w:rsidRPr="00625309">
        <w:rPr>
          <w:i/>
        </w:rPr>
        <w:t>Euratom</w:t>
      </w:r>
      <w:r w:rsidRPr="00625309">
        <w:t xml:space="preserve">) 2020/2053 par Eiropas Savienības pašu resursu sistēmu un ar ko atceļ Lēmumu 2014/335/ES, </w:t>
      </w:r>
      <w:r w:rsidRPr="00625309">
        <w:rPr>
          <w:i/>
        </w:rPr>
        <w:t>Euratom</w:t>
      </w:r>
      <w:r w:rsidRPr="00625309">
        <w:rPr>
          <w:rStyle w:val="FootnoteReference"/>
        </w:rPr>
        <w:footnoteReference w:id="5"/>
      </w:r>
      <w:r w:rsidRPr="00625309">
        <w:t>,</w:t>
      </w:r>
    </w:p>
    <w:p w:rsidR="009B57FD" w:rsidRPr="00625309" w:rsidRDefault="009B57FD" w:rsidP="009B57FD">
      <w:pPr>
        <w:pStyle w:val="NormalHanging12a"/>
      </w:pPr>
      <w:r w:rsidRPr="00625309">
        <w:lastRenderedPageBreak/>
        <w:t>–</w:t>
      </w:r>
      <w:r w:rsidRPr="00625309">
        <w:tab/>
        <w:t>ņemot vērā budžeta grozījuma Nr. 5/2024 projektu, ko Komisija pieņēma 2024. gada 10. oktobrī (COM(2024)0650),</w:t>
      </w:r>
    </w:p>
    <w:p w:rsidR="009B57FD" w:rsidRPr="00625309" w:rsidRDefault="009B57FD" w:rsidP="009B57FD">
      <w:pPr>
        <w:pStyle w:val="NormalHanging12a"/>
      </w:pPr>
      <w:r w:rsidRPr="00625309">
        <w:t>–</w:t>
      </w:r>
      <w:r w:rsidRPr="00625309">
        <w:tab/>
        <w:t>ņemot vērā nostāju attiecībā uz budžeta grozījuma Nr. 5/2024 projektu, ko Padome pieņēma 2024. gada 5. novembrī un nosūtīja Eiropas Parlamentam 2024. gada 12. novembrī (14477/2024 – C10-0186/2024),</w:t>
      </w:r>
    </w:p>
    <w:p w:rsidR="009B57FD" w:rsidRPr="00625309" w:rsidRDefault="009B57FD" w:rsidP="009B57FD">
      <w:pPr>
        <w:pStyle w:val="NormalHanging12a"/>
      </w:pPr>
      <w:r w:rsidRPr="00625309">
        <w:t>–</w:t>
      </w:r>
      <w:r w:rsidRPr="00625309">
        <w:tab/>
        <w:t>ņemot vērā Reglamenta 96. un 98. pantu,</w:t>
      </w:r>
    </w:p>
    <w:p w:rsidR="009B57FD" w:rsidRPr="00625309" w:rsidRDefault="009B57FD" w:rsidP="009B57FD">
      <w:pPr>
        <w:pStyle w:val="NormalHanging12a"/>
      </w:pPr>
      <w:r w:rsidRPr="00625309">
        <w:t>–</w:t>
      </w:r>
      <w:r w:rsidRPr="00625309">
        <w:tab/>
        <w:t>ņemot vērā Budžeta komitejas ziņojumu (A10-0017/2024),</w:t>
      </w:r>
    </w:p>
    <w:p w:rsidR="009B57FD" w:rsidRPr="00625309" w:rsidRDefault="009B57FD" w:rsidP="009B57FD">
      <w:pPr>
        <w:pStyle w:val="NormalHanging12a"/>
      </w:pPr>
      <w:r w:rsidRPr="00625309">
        <w:t>A.</w:t>
      </w:r>
      <w:r w:rsidRPr="00625309">
        <w:tab/>
        <w:t>tā kā budžeta grozījuma Nr. 5/2024 projekta mērķis ir veikt izdevumu korekcijas, īpaši attiecībā uz maksājumu apropriācijām, un atjaunināt Savienības budžeta ieņēmumus;</w:t>
      </w:r>
    </w:p>
    <w:p w:rsidR="009B57FD" w:rsidRPr="00625309" w:rsidRDefault="009B57FD" w:rsidP="009B57FD">
      <w:pPr>
        <w:pStyle w:val="NormalHanging12a"/>
      </w:pPr>
      <w:r w:rsidRPr="00625309">
        <w:t>B.</w:t>
      </w:r>
      <w:r w:rsidRPr="00625309">
        <w:tab/>
        <w:t>tā kā attiecībā uz izdevumiem budžeta grozījuma Nr. 5/2024 projekts paredz neto palielinājumu 44,5 miljonu EUR apmērā saistību apropriācijās un 2,95 miljardu EUR apmērā maksājumu apropriācijās; tā kā, ņemot vērā to, ka daudzgadu finanšu shēmas (DFS) 2.b, 5. un 7. izdevumu kategorijā nav pieejamas rezerves, tiek ierosināts izmantot vēl 7,2 miljonus EUR no elastības instrumenta un papildu 68,5 miljonus EUR no vienotā rezerves instrumenta a) sadaļas;</w:t>
      </w:r>
    </w:p>
    <w:p w:rsidR="009B57FD" w:rsidRPr="00625309" w:rsidRDefault="009B57FD" w:rsidP="009B57FD">
      <w:pPr>
        <w:pStyle w:val="NormalHanging12a"/>
      </w:pPr>
      <w:r w:rsidRPr="00625309">
        <w:t>C.</w:t>
      </w:r>
      <w:r w:rsidRPr="00625309">
        <w:tab/>
        <w:t>tā kā ieņēmumu daļā ar budžeta grozījuma Nr. 5/2024 projektu 2024. gada budžetā tiek iekļauti galīgie naudas sodi un soda maksājumi, kuri samaksāti līdz 2024. gada oktobrim un kuru kopējā summa ir 2,82 miljardi EUR, kas nozīmē, ka maksājumu vajadzību apmierināšanai ir nepieciešamas papildu NKI iemaksas 139,9 miljonu EUR apmērā;</w:t>
      </w:r>
    </w:p>
    <w:p w:rsidR="009B57FD" w:rsidRPr="00625309" w:rsidRDefault="009B57FD" w:rsidP="009B57FD">
      <w:pPr>
        <w:pStyle w:val="NormalHanging12a"/>
      </w:pPr>
      <w:r w:rsidRPr="00625309">
        <w:t>D.</w:t>
      </w:r>
      <w:r w:rsidRPr="00625309">
        <w:tab/>
        <w:t>tā kā ar budžeta grozījuma Nr. 5/2024 projektu tiek ieviestas arī jaunas ieņēmumu un izdevumu budžeta pozīcijas Ukrainas aizdevumu sadarbības mehānismam, caur kuru tiks sniegts atbalsts tādu aizdevumu veidā, ko apkalpos un atmaksās no turpmākajām ieņēmumu plūsmām no imobilizētiem Krievijas valsts aktīviem,</w:t>
      </w:r>
    </w:p>
    <w:p w:rsidR="009B57FD" w:rsidRPr="00625309" w:rsidRDefault="009B57FD" w:rsidP="009B57FD">
      <w:pPr>
        <w:pStyle w:val="NormalHanging12a"/>
      </w:pPr>
      <w:r w:rsidRPr="00625309">
        <w:t>1.</w:t>
      </w:r>
      <w:r w:rsidRPr="00625309">
        <w:tab/>
        <w:t>pieņem zināšanai Komisijas iesniegto budžeta grozījuma Nr. 5/2024 projektu;</w:t>
      </w:r>
    </w:p>
    <w:p w:rsidR="009B57FD" w:rsidRPr="00625309" w:rsidRDefault="009B57FD" w:rsidP="009B57FD">
      <w:pPr>
        <w:pStyle w:val="NormalHanging12a"/>
      </w:pPr>
      <w:r w:rsidRPr="00625309">
        <w:t>2.</w:t>
      </w:r>
      <w:r w:rsidRPr="00625309">
        <w:tab/>
        <w:t>atzinīgi vērtē palielinātās maksājumu vajadzības Eiropas Reģionālās attīstības fondam (ERAF) apvienojumā ar kopējās lauksaimniecības politikas vajadzībām, kas iekļautas vispārējā pārvietojumā (DEC 11/24) un liecina par to, ka programmu īstenošana paātrinās pēc satraucoši lēnā sākuma 2021.–2027. gada periodā;</w:t>
      </w:r>
    </w:p>
    <w:p w:rsidR="009B57FD" w:rsidRPr="00625309" w:rsidRDefault="009B57FD" w:rsidP="009B57FD">
      <w:pPr>
        <w:pStyle w:val="NormalHanging12a"/>
      </w:pPr>
      <w:r w:rsidRPr="00625309">
        <w:t>3.</w:t>
      </w:r>
      <w:r w:rsidRPr="00625309">
        <w:tab/>
        <w:t>ar gandarījumu norāda, ka izmaiņas noteikumos, kas ieviesti ar Eiropas stratēģisko tehnoloģiju platformu (</w:t>
      </w:r>
      <w:r w:rsidRPr="00625309">
        <w:rPr>
          <w:i/>
        </w:rPr>
        <w:t>STEP</w:t>
      </w:r>
      <w:r w:rsidRPr="00625309">
        <w:t xml:space="preserve">), paredzot ārkārtas </w:t>
      </w:r>
      <w:proofErr w:type="spellStart"/>
      <w:r w:rsidRPr="00625309">
        <w:t>priekšfinansējumu</w:t>
      </w:r>
      <w:proofErr w:type="spellEnd"/>
      <w:r w:rsidRPr="00625309">
        <w:t xml:space="preserve"> un brīvprātīgu 100 % līdzfinansējumu, ir pozitīvi ietekmējušas ERAF īstenošanu, proti, dalībvalstis velta līdzekļus </w:t>
      </w:r>
      <w:r w:rsidRPr="00625309">
        <w:rPr>
          <w:i/>
        </w:rPr>
        <w:t>STEP</w:t>
      </w:r>
      <w:r w:rsidRPr="00625309">
        <w:t xml:space="preserve"> mērķiem; turklāt uzskata, ka maksājumu pieaugumam 2024. gadā būtu jāpalīdz mazināt spiedienu uz maksājumiem laikposmā no 2025. līdz 2027. gadam;</w:t>
      </w:r>
    </w:p>
    <w:p w:rsidR="009B57FD" w:rsidRPr="00625309" w:rsidRDefault="009B57FD" w:rsidP="009B57FD">
      <w:pPr>
        <w:pStyle w:val="NormalHanging12a"/>
      </w:pPr>
      <w:r w:rsidRPr="00625309">
        <w:t>4.</w:t>
      </w:r>
      <w:r w:rsidRPr="00625309">
        <w:tab/>
        <w:t xml:space="preserve">norāda, ka pieaugošās maksājumu vajadzības gandrīz pilnībā tiek segtas no ieņēmumiem no naudas sodiem un soda maksājumiem, īpaši no naudas soda konkurences jomā 2,4 miljardu EUR apmērā, kas piemērots </w:t>
      </w:r>
      <w:r w:rsidRPr="00625309">
        <w:rPr>
          <w:i/>
        </w:rPr>
        <w:t>Google</w:t>
      </w:r>
      <w:r w:rsidRPr="00625309">
        <w:t xml:space="preserve"> par pretmonopola pārkāpumiem;</w:t>
      </w:r>
    </w:p>
    <w:p w:rsidR="009B57FD" w:rsidRPr="00625309" w:rsidRDefault="009B57FD" w:rsidP="009B57FD">
      <w:pPr>
        <w:pStyle w:val="NormalHanging12a"/>
      </w:pPr>
      <w:r w:rsidRPr="00625309">
        <w:t>5.</w:t>
      </w:r>
      <w:r w:rsidRPr="00625309">
        <w:tab/>
        <w:t xml:space="preserve">atkārtoti norāda, ka Savienības budžetam ir vajadzīgi ilgtermiņā noturīgi ieņēmumi, jo budžets pēdējos gados ir ticis ļoti noslogots, reaģējot uz dažādām krīzēm; tāpēc pauž </w:t>
      </w:r>
      <w:r w:rsidRPr="00625309">
        <w:lastRenderedPageBreak/>
        <w:t>nožēlu par to, ka Padomē nav panākts progress attiecībā uz pašu resursu sistēmas reformu saskaņā ar Iestāžu nolīgumā paredzēto ceļvedi; atgādina savu nostāju par atbalstu grozītajiem Komisijas priekšlikumiem un mudina Padomi ātri pieņemt šos priekšlikumus, lai palielinātu Savienības budžetā pieejamos pašu resursus; atgādina savu jau sen pausto nostāju, ka naudas sodi un soda maksājumi būtu jāizmanto kā papildu ieņēmumi Savienības budžetā;</w:t>
      </w:r>
    </w:p>
    <w:p w:rsidR="009B57FD" w:rsidRPr="00625309" w:rsidRDefault="009B57FD" w:rsidP="009B57FD">
      <w:pPr>
        <w:pStyle w:val="NormalHanging12a"/>
      </w:pPr>
      <w:r w:rsidRPr="00625309">
        <w:t>6.</w:t>
      </w:r>
      <w:r w:rsidRPr="00625309">
        <w:tab/>
        <w:t xml:space="preserve">atzinīgi vērtē to, ka ir iekļautas ieņēmumu un izdevumu budžeta pozīcijas Ukrainas aizdevumu sadarbības mehānismam; uzsver, cik svarīgs ir pastāvīgs finansiāls atbalsts Ukrainai situācijā, kad Ukrainas mehānisma finansējums un pašreizējie </w:t>
      </w:r>
      <w:proofErr w:type="spellStart"/>
      <w:r w:rsidRPr="00625309">
        <w:t>makrofinansiālās</w:t>
      </w:r>
      <w:proofErr w:type="spellEnd"/>
      <w:r w:rsidRPr="00625309">
        <w:t xml:space="preserve"> palīdzības (MFP) pasākumi nesedz vajadzības;</w:t>
      </w:r>
    </w:p>
    <w:p w:rsidR="009B57FD" w:rsidRPr="00625309" w:rsidRDefault="009B57FD" w:rsidP="009B57FD">
      <w:pPr>
        <w:pStyle w:val="NormalHanging12a"/>
      </w:pPr>
      <w:r w:rsidRPr="00625309">
        <w:t>7.</w:t>
      </w:r>
      <w:r w:rsidRPr="00625309">
        <w:tab/>
        <w:t xml:space="preserve">atgādina, ka papildu MFP aizdevumi tiks piešķirti no budžeta manevrēšanas telpas, un atkārtoti aicina Komisiju sniegt budžeta lēmējinstitūcijai sīkāku informāciju par saistību uzkrāšanos attiecībā uz manevrēšanas telpu, ko nosaka aizņēmumu un aizdevumu operācijas; sagaida, ka Komisija sniegs Parlamentam un Padomei visu nepieciešamo informāciju, kā norādīts tās paziņojumā, kas pievienots Eiropas Parlamenta un Padomes Regulai </w:t>
      </w:r>
      <w:r w:rsidR="00A25B08">
        <w:t xml:space="preserve">(ES) </w:t>
      </w:r>
      <w:r w:rsidRPr="00625309">
        <w:t>2024/2773</w:t>
      </w:r>
      <w:r w:rsidRPr="00625309">
        <w:rPr>
          <w:rStyle w:val="FootnoteReference"/>
          <w:bCs/>
          <w:color w:val="333333"/>
          <w:shd w:val="clear" w:color="auto" w:fill="FFFFFF"/>
        </w:rPr>
        <w:footnoteReference w:id="6"/>
      </w:r>
      <w:r w:rsidRPr="00625309">
        <w:t>;</w:t>
      </w:r>
    </w:p>
    <w:p w:rsidR="009B57FD" w:rsidRPr="00625309" w:rsidRDefault="009B57FD" w:rsidP="009B57FD">
      <w:pPr>
        <w:pStyle w:val="NormalHanging12a"/>
      </w:pPr>
      <w:r w:rsidRPr="00625309">
        <w:t>8.</w:t>
      </w:r>
      <w:r w:rsidRPr="00625309">
        <w:tab/>
        <w:t xml:space="preserve">pieņem zināšanai algu korekciju, kas 2024. gadam ir lielāka, nekā paredzēts budžetā, un ietekmē gan atalgojumu, gan </w:t>
      </w:r>
      <w:bookmarkStart w:id="7" w:name="_GoBack"/>
      <w:bookmarkEnd w:id="7"/>
      <w:r w:rsidRPr="00625309">
        <w:t>pensijas, un jaunu pensionāru skaitu, kas 2024. gadā pārsniedz prognozēto un vēl vairāk palielina pensiju izmaksas; atzinīgi vērtē to, ka gandrīz visas papildu izmaksas iestādēs ir segtas, veicot iekšēju pārdali, un līdz ar to vienotais rezerves instruments tiek izmantots ierobežotā apmērā;</w:t>
      </w:r>
    </w:p>
    <w:p w:rsidR="009B57FD" w:rsidRPr="00625309" w:rsidRDefault="009B57FD" w:rsidP="009B57FD">
      <w:pPr>
        <w:pStyle w:val="NormalHanging12a"/>
      </w:pPr>
      <w:r w:rsidRPr="00625309">
        <w:t>9.</w:t>
      </w:r>
      <w:r w:rsidRPr="00625309">
        <w:tab/>
        <w:t xml:space="preserve">uzsver, ka algu korekcija ietekmē arī decentralizētās aģentūras, kurām grūtības rada inflācija, kas pārsniedz 2 % </w:t>
      </w:r>
      <w:proofErr w:type="spellStart"/>
      <w:r w:rsidRPr="00625309">
        <w:t>deflatoru</w:t>
      </w:r>
      <w:proofErr w:type="spellEnd"/>
      <w:r w:rsidRPr="00625309">
        <w:t>, par kuru tiek palielināts to gada budžets, un jo īpaši tāpēc, ka personāla un darbības izmaksas veido lielu daļu no to izdevumiem; atzinīgi vērtē to, ka aģentūrām, kuras nespēja atrast resursus, veicot pārdali, Savienības iemaksa ir palielināta par 1,7 %; atkārtoti norāda, ka pašreizējā pieeja decentralizēto aģentūru budžetiem ir jāizvērtē dziļāk, Komisijai gatavojoties DFS laikposmam pēc 2027. gada;</w:t>
      </w:r>
    </w:p>
    <w:p w:rsidR="009B57FD" w:rsidRPr="00625309" w:rsidRDefault="009B57FD" w:rsidP="009B57FD">
      <w:pPr>
        <w:pStyle w:val="NormalHanging12a"/>
      </w:pPr>
      <w:r w:rsidRPr="00625309">
        <w:t>10.</w:t>
      </w:r>
      <w:r w:rsidRPr="00625309">
        <w:tab/>
        <w:t xml:space="preserve">ņem vērā, ka apropriācijas Eiropas Savienības Aģentūrai </w:t>
      </w:r>
      <w:proofErr w:type="spellStart"/>
      <w:r w:rsidRPr="00625309">
        <w:t>lielapjoma</w:t>
      </w:r>
      <w:proofErr w:type="spellEnd"/>
      <w:r w:rsidRPr="00625309">
        <w:t xml:space="preserve"> IT sistēmu darbības pārvaldībai brīvības, drošības un tiesiskuma telpā (</w:t>
      </w:r>
      <w:proofErr w:type="spellStart"/>
      <w:r w:rsidRPr="00625309">
        <w:rPr>
          <w:i/>
          <w:iCs/>
        </w:rPr>
        <w:t>eu</w:t>
      </w:r>
      <w:proofErr w:type="spellEnd"/>
      <w:r w:rsidRPr="00625309">
        <w:rPr>
          <w:i/>
          <w:iCs/>
        </w:rPr>
        <w:t>-LISA</w:t>
      </w:r>
      <w:r w:rsidRPr="00625309">
        <w:t>) ir palielinātas, lai segtu pieaugošās izmaksas, tomēr pauž bažas par to, ka Eiropas Savienības Patvēruma aģentūrai (</w:t>
      </w:r>
      <w:r w:rsidRPr="00625309">
        <w:rPr>
          <w:i/>
          <w:iCs/>
        </w:rPr>
        <w:t>EUAA</w:t>
      </w:r>
      <w:r w:rsidRPr="00625309">
        <w:t xml:space="preserve">) apropriācijas ir attiecīgi samazinātas; atzinīgi vērtē to, ka </w:t>
      </w:r>
      <w:r w:rsidRPr="00625309">
        <w:rPr>
          <w:i/>
          <w:iCs/>
        </w:rPr>
        <w:t>EUAA</w:t>
      </w:r>
      <w:r w:rsidRPr="00625309">
        <w:t xml:space="preserve"> tika stiprināta, veicot DFS </w:t>
      </w:r>
      <w:proofErr w:type="spellStart"/>
      <w:r w:rsidRPr="00625309">
        <w:t>vidusposma</w:t>
      </w:r>
      <w:proofErr w:type="spellEnd"/>
      <w:r w:rsidRPr="00625309">
        <w:t xml:space="preserve"> pārskatīšanu, lai tā varētu veikt jaunus uzdevumus saistībā ar jaunā Migrācijas un patvēruma </w:t>
      </w:r>
      <w:proofErr w:type="spellStart"/>
      <w:r w:rsidRPr="00625309">
        <w:t>pakta</w:t>
      </w:r>
      <w:proofErr w:type="spellEnd"/>
      <w:r w:rsidRPr="00625309">
        <w:t xml:space="preserve"> īstenošanu; aicina Komisiju cieši sadarboties ar abām aģentūrām, lai nodrošinātu, ka tās ir gatavas pilnībā veikt savus uzdevumus un apgūt tām piešķirtās papildu apropriācijas;</w:t>
      </w:r>
    </w:p>
    <w:p w:rsidR="009B57FD" w:rsidRPr="00625309" w:rsidRDefault="009B57FD" w:rsidP="009B57FD">
      <w:pPr>
        <w:pStyle w:val="NormalHanging12a"/>
      </w:pPr>
      <w:r w:rsidRPr="00625309">
        <w:t>11.</w:t>
      </w:r>
      <w:r w:rsidRPr="00625309">
        <w:tab/>
        <w:t>atzinīgi vērtē papildu apropriācijas ES Tiesībaizsardzības apmācības aģentūrai (</w:t>
      </w:r>
      <w:r w:rsidRPr="00625309">
        <w:rPr>
          <w:i/>
        </w:rPr>
        <w:t>CEPOL</w:t>
      </w:r>
      <w:r w:rsidRPr="00625309">
        <w:t xml:space="preserve">) 2024. gadā, ņemot vērā 2024. gada jūnija kiberuzbrukumu šai aģentūrai; uzstāj, ka, ņemot vērā augsto </w:t>
      </w:r>
      <w:proofErr w:type="spellStart"/>
      <w:r w:rsidRPr="00625309">
        <w:t>kiberdrošības</w:t>
      </w:r>
      <w:proofErr w:type="spellEnd"/>
      <w:r w:rsidRPr="00625309">
        <w:t xml:space="preserve"> apdraudējumu un lai nodrošinātu, ka citi uzbrukumi neapdraud nevienu Savienības aģentūru vai iestādi, ir jāmācās no pieredzes </w:t>
      </w:r>
      <w:r w:rsidRPr="00625309">
        <w:lastRenderedPageBreak/>
        <w:t xml:space="preserve">un Savienības iestāžu, struktūru, biroju un aģentūru </w:t>
      </w:r>
      <w:proofErr w:type="spellStart"/>
      <w:r w:rsidRPr="00625309">
        <w:t>kiberdrošības</w:t>
      </w:r>
      <w:proofErr w:type="spellEnd"/>
      <w:r w:rsidRPr="00625309">
        <w:t xml:space="preserve"> dienestam (</w:t>
      </w:r>
      <w:r w:rsidRPr="00625309">
        <w:rPr>
          <w:i/>
          <w:iCs/>
        </w:rPr>
        <w:t>CERT-EU</w:t>
      </w:r>
      <w:r w:rsidRPr="00625309">
        <w:t>) ir jāsniedz papildu tehniskais atbalsts citām aģentūrām un iestādēm;</w:t>
      </w:r>
    </w:p>
    <w:p w:rsidR="009B57FD" w:rsidRPr="00625309" w:rsidRDefault="009B57FD" w:rsidP="009B57FD">
      <w:pPr>
        <w:pStyle w:val="NormalHanging12a"/>
      </w:pPr>
      <w:r w:rsidRPr="00625309">
        <w:t>12.</w:t>
      </w:r>
      <w:r w:rsidRPr="00625309">
        <w:tab/>
        <w:t xml:space="preserve">uzsver </w:t>
      </w:r>
      <w:proofErr w:type="spellStart"/>
      <w:r w:rsidRPr="00625309">
        <w:t>jaunizveidotās</w:t>
      </w:r>
      <w:proofErr w:type="spellEnd"/>
      <w:r w:rsidRPr="00625309">
        <w:t xml:space="preserve"> Iestādes nelikumīgi iegūtu līdzekļu legalizēšanas novēršanai nozīmi pārskatītajā Savienības līmeņa regulējumā, kas attiecas uz nelikumīgi iegūtu līdzekļu legalizācijas novēršanu; tāpēc pauž dziļas bažas par kavēšanos izveides posmā, īpaši saistībā ar pieņemšanu darbā;</w:t>
      </w:r>
    </w:p>
    <w:p w:rsidR="009B57FD" w:rsidRPr="00625309" w:rsidRDefault="009B57FD" w:rsidP="009B57FD">
      <w:pPr>
        <w:pStyle w:val="NormalHanging12a"/>
      </w:pPr>
      <w:r w:rsidRPr="00625309">
        <w:t>13.</w:t>
      </w:r>
      <w:r w:rsidRPr="00625309">
        <w:tab/>
        <w:t>atzinīgi vērtē to, ka, ņemot vērā tagad spēkā esošo pārstrādāto Finanšu regulu, ir iespējams iekļaut budžetā negatīvus ieņēmumus kompensācijas procentu maksājumiem zaudētu tiesas prāvu gadījumā; norāda, ka Komisija pašlaik nosaka precīzu šādu procentu summu, un aicina Komisiju 2025. gadā pēc iespējas drīzāk sniegt šo informāciju budžeta lēmējinstitūcijai;</w:t>
      </w:r>
    </w:p>
    <w:p w:rsidR="009B57FD" w:rsidRPr="00625309" w:rsidRDefault="009B57FD" w:rsidP="009B57FD">
      <w:pPr>
        <w:pStyle w:val="NormalHanging12a"/>
      </w:pPr>
      <w:r w:rsidRPr="00625309">
        <w:t>14.</w:t>
      </w:r>
      <w:r w:rsidRPr="00625309">
        <w:tab/>
        <w:t>apstiprina Padomes nostāju attiecībā uz budžeta grozījuma Nr. 5/2024 projektu;</w:t>
      </w:r>
    </w:p>
    <w:p w:rsidR="009B57FD" w:rsidRPr="00625309" w:rsidRDefault="009B57FD" w:rsidP="009B57FD">
      <w:pPr>
        <w:pStyle w:val="NormalHanging12a"/>
      </w:pPr>
      <w:r w:rsidRPr="00625309">
        <w:t>15.</w:t>
      </w:r>
      <w:r w:rsidRPr="00625309">
        <w:tab/>
        <w:t xml:space="preserve">uzdod priekšsēdētājai paziņot, ka budžeta grozījums Nr. 5/2024 ir pieņemts galīgajā variantā, kā arī nodrošināt tā publicēšanu </w:t>
      </w:r>
      <w:r w:rsidRPr="00625309">
        <w:rPr>
          <w:i/>
        </w:rPr>
        <w:t>Eiropas Savienības Oficiālajā Vēstnesī</w:t>
      </w:r>
      <w:r w:rsidRPr="00625309">
        <w:t>;</w:t>
      </w:r>
    </w:p>
    <w:p w:rsidR="00FC1876" w:rsidRPr="00625309" w:rsidRDefault="009B57FD" w:rsidP="00FC1876">
      <w:pPr>
        <w:pStyle w:val="NormalHanging12a"/>
      </w:pPr>
      <w:r w:rsidRPr="00625309">
        <w:t>16.</w:t>
      </w:r>
      <w:r w:rsidRPr="00625309">
        <w:tab/>
        <w:t>uzdod priekšsēdētājai šo rezolūciju nosūtīt Padomei, Komisijai un dalībvalstu parlamentiem.</w:t>
      </w:r>
    </w:p>
    <w:p w:rsidR="00E365E1" w:rsidRPr="00625309" w:rsidRDefault="00E365E1" w:rsidP="00E01966"/>
    <w:sectPr w:rsidR="00E365E1" w:rsidRPr="00625309" w:rsidSect="00FC18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966" w:rsidRPr="00FC1876" w:rsidRDefault="00E01966">
      <w:r w:rsidRPr="00FC1876">
        <w:separator/>
      </w:r>
    </w:p>
  </w:endnote>
  <w:endnote w:type="continuationSeparator" w:id="0">
    <w:p w:rsidR="00E01966" w:rsidRPr="00FC1876" w:rsidRDefault="00E01966">
      <w:r w:rsidRPr="00FC18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966" w:rsidRPr="00FC1876" w:rsidRDefault="00E01966">
      <w:r w:rsidRPr="00FC1876">
        <w:separator/>
      </w:r>
    </w:p>
  </w:footnote>
  <w:footnote w:type="continuationSeparator" w:id="0">
    <w:p w:rsidR="00E01966" w:rsidRPr="00FC1876" w:rsidRDefault="00E01966">
      <w:r w:rsidRPr="00FC1876">
        <w:continuationSeparator/>
      </w:r>
    </w:p>
  </w:footnote>
  <w:footnote w:id="1">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OV L, 2024/2509, 26.9.2024.,</w:t>
      </w:r>
      <w:r w:rsidR="004218AA">
        <w:rPr>
          <w:sz w:val="24"/>
          <w:lang w:val="lv-LV"/>
        </w:rPr>
        <w:t xml:space="preserve"> ELI:</w:t>
      </w:r>
      <w:r w:rsidRPr="00FC1876">
        <w:rPr>
          <w:sz w:val="24"/>
          <w:lang w:val="lv-LV"/>
        </w:rPr>
        <w:t xml:space="preserve"> </w:t>
      </w:r>
      <w:r w:rsidR="00A25B08">
        <w:fldChar w:fldCharType="begin"/>
      </w:r>
      <w:r w:rsidR="00A25B08" w:rsidRPr="00A25B08">
        <w:rPr>
          <w:lang w:val="fi-FI"/>
        </w:rPr>
        <w:instrText xml:space="preserve"> HYPERLINK "http://data.europa.eu/eli/reg/2024/2509/oj" </w:instrText>
      </w:r>
      <w:r w:rsidR="00A25B08">
        <w:fldChar w:fldCharType="separate"/>
      </w:r>
      <w:r w:rsidRPr="00FC1876">
        <w:rPr>
          <w:rStyle w:val="Hyperlink"/>
          <w:sz w:val="24"/>
          <w:lang w:val="lv-LV"/>
        </w:rPr>
        <w:t>http://data.europa.eu/eli/reg/2024/2509/oj</w:t>
      </w:r>
      <w:r w:rsidR="00A25B08">
        <w:rPr>
          <w:rStyle w:val="Hyperlink"/>
          <w:sz w:val="24"/>
          <w:lang w:val="lv-LV"/>
        </w:rPr>
        <w:fldChar w:fldCharType="end"/>
      </w:r>
      <w:r w:rsidRPr="00FC1876">
        <w:rPr>
          <w:sz w:val="24"/>
          <w:lang w:val="lv-LV"/>
        </w:rPr>
        <w:t>.</w:t>
      </w:r>
    </w:p>
  </w:footnote>
  <w:footnote w:id="2">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 xml:space="preserve">OV L, 2024/207, 22.2.2024., ELI: </w:t>
      </w:r>
      <w:hyperlink r:id="rId1" w:history="1">
        <w:r w:rsidRPr="00FC1876">
          <w:rPr>
            <w:rStyle w:val="Hyperlink"/>
            <w:sz w:val="24"/>
            <w:lang w:val="lv-LV"/>
          </w:rPr>
          <w:t>http://data.europa.eu/eli/budget/2024/207/oj</w:t>
        </w:r>
      </w:hyperlink>
      <w:r w:rsidRPr="00FC1876">
        <w:rPr>
          <w:sz w:val="24"/>
          <w:lang w:val="lv-LV"/>
        </w:rPr>
        <w:t>.</w:t>
      </w:r>
    </w:p>
  </w:footnote>
  <w:footnote w:id="3">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 xml:space="preserve">OV L 433 I, 22.12.2020., 11. </w:t>
      </w:r>
      <w:r w:rsidRPr="00FC1876">
        <w:rPr>
          <w:sz w:val="24"/>
          <w:lang w:val="lv-LV"/>
        </w:rPr>
        <w:t xml:space="preserve">lpp., ELI: </w:t>
      </w:r>
      <w:hyperlink r:id="rId2" w:history="1">
        <w:r w:rsidRPr="00FC1876">
          <w:rPr>
            <w:rStyle w:val="Hyperlink"/>
            <w:sz w:val="24"/>
            <w:lang w:val="lv-LV"/>
          </w:rPr>
          <w:t>http://data.europa.eu/eli/reg/2020/2093/oj</w:t>
        </w:r>
      </w:hyperlink>
      <w:r w:rsidRPr="00FC1876">
        <w:rPr>
          <w:sz w:val="24"/>
          <w:lang w:val="lv-LV"/>
        </w:rPr>
        <w:t>.</w:t>
      </w:r>
    </w:p>
  </w:footnote>
  <w:footnote w:id="4">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 xml:space="preserve">OV L 433 I, 22.12.2020., 28. </w:t>
      </w:r>
      <w:r w:rsidRPr="00FC1876">
        <w:rPr>
          <w:sz w:val="24"/>
          <w:lang w:val="lv-LV"/>
        </w:rPr>
        <w:t xml:space="preserve">lpp., ELI: </w:t>
      </w:r>
      <w:hyperlink r:id="rId3" w:history="1">
        <w:r w:rsidRPr="00FC1876">
          <w:rPr>
            <w:rStyle w:val="Hyperlink"/>
            <w:sz w:val="24"/>
            <w:lang w:val="lv-LV"/>
          </w:rPr>
          <w:t>http://data.europa.eu/eli/agree_interinstit/2020/1222/oj</w:t>
        </w:r>
      </w:hyperlink>
      <w:r w:rsidRPr="00FC1876">
        <w:rPr>
          <w:sz w:val="24"/>
          <w:lang w:val="lv-LV"/>
        </w:rPr>
        <w:t>.</w:t>
      </w:r>
    </w:p>
  </w:footnote>
  <w:footnote w:id="5">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 xml:space="preserve">OV L 424, 15.12.2020., 1. </w:t>
      </w:r>
      <w:r w:rsidRPr="00FC1876">
        <w:rPr>
          <w:sz w:val="24"/>
          <w:lang w:val="lv-LV"/>
        </w:rPr>
        <w:t xml:space="preserve">lpp., ELI: </w:t>
      </w:r>
      <w:hyperlink r:id="rId4" w:history="1">
        <w:r w:rsidRPr="00FC1876">
          <w:rPr>
            <w:rStyle w:val="Hyperlink"/>
            <w:sz w:val="24"/>
            <w:lang w:val="lv-LV"/>
          </w:rPr>
          <w:t>http://data.europa.eu/eli/dec/2020/2053/oj</w:t>
        </w:r>
      </w:hyperlink>
      <w:r w:rsidRPr="00FC1876">
        <w:rPr>
          <w:sz w:val="24"/>
          <w:lang w:val="lv-LV"/>
        </w:rPr>
        <w:t>.</w:t>
      </w:r>
    </w:p>
  </w:footnote>
  <w:footnote w:id="6">
    <w:p w:rsidR="009B57FD" w:rsidRPr="00FC1876" w:rsidRDefault="009B57FD" w:rsidP="00FC1876">
      <w:pPr>
        <w:pStyle w:val="FootnoteText"/>
        <w:ind w:left="567" w:hanging="567"/>
        <w:rPr>
          <w:sz w:val="24"/>
          <w:lang w:val="lv-LV"/>
        </w:rPr>
      </w:pPr>
      <w:r w:rsidRPr="00FC1876">
        <w:rPr>
          <w:rStyle w:val="FootnoteReference"/>
          <w:sz w:val="24"/>
          <w:lang w:val="lv-LV"/>
        </w:rPr>
        <w:footnoteRef/>
      </w:r>
      <w:r w:rsidR="00FC1876" w:rsidRPr="00FC1876">
        <w:rPr>
          <w:sz w:val="24"/>
          <w:lang w:val="lv-LV"/>
        </w:rPr>
        <w:t xml:space="preserve"> </w:t>
      </w:r>
      <w:r w:rsidR="00FC1876" w:rsidRPr="00FC1876">
        <w:rPr>
          <w:sz w:val="24"/>
          <w:lang w:val="lv-LV"/>
        </w:rPr>
        <w:tab/>
      </w:r>
      <w:r w:rsidRPr="00FC1876">
        <w:rPr>
          <w:sz w:val="24"/>
          <w:lang w:val="lv-LV"/>
        </w:rPr>
        <w:t>Eiropas Parlamenta un Padomes Regula (ES) 2024/2773 (2024. gada 24. </w:t>
      </w:r>
      <w:r w:rsidRPr="00FC1876">
        <w:rPr>
          <w:sz w:val="24"/>
          <w:lang w:val="lv-LV"/>
        </w:rPr>
        <w:t xml:space="preserve">oktobris), ar ko izveido Ukrainas aizdevumu sadarbības mehānismu un sniedz ārkārtas </w:t>
      </w:r>
      <w:proofErr w:type="spellStart"/>
      <w:r w:rsidRPr="00FC1876">
        <w:rPr>
          <w:sz w:val="24"/>
          <w:lang w:val="lv-LV"/>
        </w:rPr>
        <w:t>makrofinansiālu</w:t>
      </w:r>
      <w:proofErr w:type="spellEnd"/>
      <w:r w:rsidRPr="00FC1876">
        <w:rPr>
          <w:sz w:val="24"/>
          <w:lang w:val="lv-LV"/>
        </w:rPr>
        <w:t xml:space="preserve"> palīdzību Ukrainai (OV L, 2024/2773, 28.10.2024., ELI: </w:t>
      </w:r>
      <w:hyperlink r:id="rId5" w:history="1">
        <w:r w:rsidRPr="00FC1876">
          <w:rPr>
            <w:rStyle w:val="Hyperlink"/>
            <w:sz w:val="24"/>
            <w:lang w:val="lv-LV"/>
          </w:rPr>
          <w:t>http://data.europa.eu/eli/reg/2024/2773/oj</w:t>
        </w:r>
      </w:hyperlink>
      <w:r w:rsidRPr="00FC187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8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LV"/>
    <w:docVar w:name="dvnumam" w:val="0"/>
    <w:docVar w:name="dvpe" w:val="765.136"/>
    <w:docVar w:name="dvrapporteur" w:val="Referents: "/>
    <w:docVar w:name="dvtitre" w:val="Eiropas Parlamenta 2024. gada XX. XXX  rezolūcija par Padomes nostāju attiecībā uz Eiropas Savienības 2024. finanšu gada budžeta grozījuma Nr. 5/2024 projektu: korekcijas maksājumu apropriācijās, ieņēmumu atjaunināšana un citi tehniski atjauninājumi(14477/2024 – C10-0186/2024 – 2024/0252(BUD))"/>
  </w:docVars>
  <w:rsids>
    <w:rsidRoot w:val="00E01966"/>
    <w:rsid w:val="00002272"/>
    <w:rsid w:val="00064002"/>
    <w:rsid w:val="000677B9"/>
    <w:rsid w:val="000831BA"/>
    <w:rsid w:val="000A42CC"/>
    <w:rsid w:val="000E7DD9"/>
    <w:rsid w:val="0010095E"/>
    <w:rsid w:val="00125B37"/>
    <w:rsid w:val="00187494"/>
    <w:rsid w:val="001C0A4F"/>
    <w:rsid w:val="001F32AE"/>
    <w:rsid w:val="002767FF"/>
    <w:rsid w:val="002B18FE"/>
    <w:rsid w:val="002B5493"/>
    <w:rsid w:val="00343214"/>
    <w:rsid w:val="00361C00"/>
    <w:rsid w:val="00395FA1"/>
    <w:rsid w:val="003E15D4"/>
    <w:rsid w:val="00411CCE"/>
    <w:rsid w:val="0041666E"/>
    <w:rsid w:val="00421060"/>
    <w:rsid w:val="004218AA"/>
    <w:rsid w:val="00471C19"/>
    <w:rsid w:val="004809A3"/>
    <w:rsid w:val="004867E3"/>
    <w:rsid w:val="00494A28"/>
    <w:rsid w:val="004C0004"/>
    <w:rsid w:val="004C5D52"/>
    <w:rsid w:val="0050519A"/>
    <w:rsid w:val="005072A1"/>
    <w:rsid w:val="00514517"/>
    <w:rsid w:val="00545827"/>
    <w:rsid w:val="00560270"/>
    <w:rsid w:val="005C2568"/>
    <w:rsid w:val="005F1B17"/>
    <w:rsid w:val="006037C0"/>
    <w:rsid w:val="0062530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7FD"/>
    <w:rsid w:val="00A1687D"/>
    <w:rsid w:val="00A25B0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966"/>
    <w:rsid w:val="00E365E1"/>
    <w:rsid w:val="00E820A4"/>
    <w:rsid w:val="00EB006A"/>
    <w:rsid w:val="00EB4772"/>
    <w:rsid w:val="00EC2653"/>
    <w:rsid w:val="00ED169E"/>
    <w:rsid w:val="00ED4235"/>
    <w:rsid w:val="00F04346"/>
    <w:rsid w:val="00F075DC"/>
    <w:rsid w:val="00F149E9"/>
    <w:rsid w:val="00F5134D"/>
    <w:rsid w:val="00F74202"/>
    <w:rsid w:val="00F87713"/>
    <w:rsid w:val="00FB4360"/>
    <w:rsid w:val="00FC187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F2728"/>
  <w15:chartTrackingRefBased/>
  <w15:docId w15:val="{2BA20371-386A-456F-9C94-060757D2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57FD"/>
    <w:pPr>
      <w:spacing w:before="480" w:after="240"/>
    </w:pPr>
  </w:style>
  <w:style w:type="paragraph" w:customStyle="1" w:styleId="NormalBold">
    <w:name w:val="NormalBold"/>
    <w:basedOn w:val="Normal"/>
    <w:rsid w:val="009B57FD"/>
    <w:rPr>
      <w:b/>
    </w:rPr>
  </w:style>
  <w:style w:type="paragraph" w:customStyle="1" w:styleId="NormalHanging12a">
    <w:name w:val="NormalHanging12a"/>
    <w:basedOn w:val="Normal"/>
    <w:rsid w:val="009B57FD"/>
    <w:pPr>
      <w:spacing w:after="240"/>
      <w:ind w:left="567" w:hanging="567"/>
    </w:pPr>
  </w:style>
  <w:style w:type="character" w:styleId="Hyperlink">
    <w:name w:val="Hyperlink"/>
    <w:basedOn w:val="DefaultParagraphFont"/>
    <w:uiPriority w:val="99"/>
    <w:rsid w:val="009B57FD"/>
    <w:rPr>
      <w:color w:val="0563C1" w:themeColor="hyperlink"/>
      <w:u w:val="single"/>
    </w:rPr>
  </w:style>
  <w:style w:type="paragraph" w:styleId="BalloonText">
    <w:name w:val="Balloon Text"/>
    <w:basedOn w:val="Normal"/>
    <w:link w:val="BalloonTextChar"/>
    <w:rsid w:val="004218AA"/>
    <w:rPr>
      <w:rFonts w:ascii="Segoe UI" w:hAnsi="Segoe UI" w:cs="Segoe UI"/>
      <w:sz w:val="18"/>
      <w:szCs w:val="18"/>
    </w:rPr>
  </w:style>
  <w:style w:type="character" w:customStyle="1" w:styleId="BalloonTextChar">
    <w:name w:val="Balloon Text Char"/>
    <w:basedOn w:val="DefaultParagraphFont"/>
    <w:link w:val="BalloonText"/>
    <w:rsid w:val="004218A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budget/2024/207/oj" TargetMode="External"/><Relationship Id="rId5" Type="http://schemas.openxmlformats.org/officeDocument/2006/relationships/hyperlink" Target="http://data.europa.eu/eli/reg/2024/2773/oj" TargetMode="External"/><Relationship Id="rId4" Type="http://schemas.openxmlformats.org/officeDocument/2006/relationships/hyperlink" Target="http://data.europa.eu/eli/dec/2020/20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697AE-78EA-49A2-9644-B77AF6BB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7698</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2025-02-11T14:13:00Z</dcterms:created>
  <dcterms:modified xsi:type="dcterms:W3CDTF">2025-02-11T14:13:00Z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P10_TA(2024)0049_</vt:lpwstr>
  </property>
  <property fmtid="{D5CDD505-2E9C-101B-9397-08002B2CF9AE}" pid="4" name="&lt;Type&gt;">
    <vt:lpwstr>RR</vt:lpwstr>
  </property>
</Properties>
</file>