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30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3034" w:rsidRDefault="00152DAD" w:rsidP="0010095E">
            <w:pPr>
              <w:pStyle w:val="EPName"/>
            </w:pPr>
            <w:r w:rsidRPr="00C33034">
              <w:t>Parlament Ewropew</w:t>
            </w:r>
          </w:p>
          <w:p w:rsidR="00751A4A" w:rsidRPr="00C330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3034">
              <w:t>2024</w:t>
            </w:r>
            <w:r w:rsidR="00817416" w:rsidRPr="00C33034">
              <w:t>-202</w:t>
            </w:r>
            <w:r w:rsidRPr="00C3303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33034" w:rsidRDefault="00187494" w:rsidP="0010095E">
            <w:pPr>
              <w:pStyle w:val="EPLogo"/>
            </w:pPr>
            <w:r w:rsidRPr="00C330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3034" w:rsidRDefault="00D058B8" w:rsidP="004C5D52">
      <w:pPr>
        <w:pStyle w:val="LineTop"/>
      </w:pPr>
    </w:p>
    <w:p w:rsidR="00680577" w:rsidRPr="00C33034" w:rsidRDefault="00152DAD" w:rsidP="00680577">
      <w:pPr>
        <w:pStyle w:val="EPBodyTA1"/>
      </w:pPr>
      <w:r w:rsidRPr="00C33034">
        <w:t>TESTI ADOTTATI</w:t>
      </w:r>
    </w:p>
    <w:p w:rsidR="00D058B8" w:rsidRPr="00C33034" w:rsidRDefault="00D058B8" w:rsidP="00D058B8">
      <w:pPr>
        <w:pStyle w:val="LineBottom"/>
      </w:pPr>
    </w:p>
    <w:p w:rsidR="00152DAD" w:rsidRPr="00C33034" w:rsidRDefault="00152DAD" w:rsidP="00152DAD">
      <w:pPr>
        <w:pStyle w:val="ATHeading1"/>
      </w:pPr>
      <w:bookmarkStart w:id="0" w:name="TANumber"/>
      <w:r w:rsidRPr="00C33034">
        <w:t>P10_TA(2024)00</w:t>
      </w:r>
      <w:r w:rsidR="00595C18">
        <w:t>49</w:t>
      </w:r>
      <w:bookmarkEnd w:id="0"/>
    </w:p>
    <w:p w:rsidR="00152DAD" w:rsidRPr="00C33034" w:rsidRDefault="00152DAD" w:rsidP="00152DAD">
      <w:pPr>
        <w:pStyle w:val="ATHeading2"/>
      </w:pPr>
      <w:bookmarkStart w:id="1" w:name="title"/>
      <w:r w:rsidRPr="00C33034">
        <w:t xml:space="preserve">Abbozz ta’ baġit </w:t>
      </w:r>
      <w:proofErr w:type="spellStart"/>
      <w:r w:rsidRPr="00C33034">
        <w:t>emendatorju</w:t>
      </w:r>
      <w:proofErr w:type="spellEnd"/>
      <w:r w:rsidRPr="00C33034">
        <w:t xml:space="preserve"> Nru 5/2024: aġġustament </w:t>
      </w:r>
      <w:proofErr w:type="spellStart"/>
      <w:r w:rsidRPr="00C33034">
        <w:t>fl-approprjazzjonijiet</w:t>
      </w:r>
      <w:proofErr w:type="spellEnd"/>
      <w:r w:rsidRPr="00C33034">
        <w:t xml:space="preserve"> ta’ pagament, aġġornament tad-dħul u aġġornamenti tekniċi oħra</w:t>
      </w:r>
      <w:bookmarkEnd w:id="1"/>
    </w:p>
    <w:p w:rsidR="00152DAD" w:rsidRPr="00C33034" w:rsidRDefault="00152DAD" w:rsidP="00152DAD">
      <w:pPr>
        <w:rPr>
          <w:i/>
          <w:vanish/>
        </w:rPr>
      </w:pPr>
      <w:r w:rsidRPr="00C33034">
        <w:rPr>
          <w:i/>
        </w:rPr>
        <w:fldChar w:fldCharType="begin"/>
      </w:r>
      <w:r w:rsidRPr="00C33034">
        <w:rPr>
          <w:i/>
        </w:rPr>
        <w:instrText xml:space="preserve"> TC"(</w:instrText>
      </w:r>
      <w:bookmarkStart w:id="2" w:name="DocNumber"/>
      <w:r w:rsidRPr="00C33034">
        <w:rPr>
          <w:i/>
        </w:rPr>
        <w:instrText>A10-0017/2024</w:instrText>
      </w:r>
      <w:bookmarkEnd w:id="2"/>
      <w:r w:rsidRPr="00C33034">
        <w:rPr>
          <w:i/>
        </w:rPr>
        <w:instrText xml:space="preserve"> - Rapporteur: Siegfried Mureşan)"\l3 \n&gt; \* MERGEFORMAT </w:instrText>
      </w:r>
      <w:r w:rsidRPr="00C33034">
        <w:rPr>
          <w:i/>
        </w:rPr>
        <w:fldChar w:fldCharType="end"/>
      </w:r>
    </w:p>
    <w:p w:rsidR="00152DAD" w:rsidRPr="00C33034" w:rsidRDefault="00152DAD" w:rsidP="00152DAD">
      <w:pPr>
        <w:rPr>
          <w:vanish/>
        </w:rPr>
      </w:pPr>
      <w:bookmarkStart w:id="3" w:name="Commission"/>
      <w:r w:rsidRPr="00C33034">
        <w:rPr>
          <w:vanish/>
        </w:rPr>
        <w:t>Kumitat għall-Baġits</w:t>
      </w:r>
      <w:bookmarkEnd w:id="3"/>
    </w:p>
    <w:p w:rsidR="00152DAD" w:rsidRPr="00C33034" w:rsidRDefault="00152DAD" w:rsidP="00152DAD">
      <w:pPr>
        <w:rPr>
          <w:vanish/>
        </w:rPr>
      </w:pPr>
      <w:bookmarkStart w:id="4" w:name="PE"/>
      <w:r w:rsidRPr="00C33034">
        <w:rPr>
          <w:vanish/>
        </w:rPr>
        <w:t>PE765.136</w:t>
      </w:r>
      <w:bookmarkEnd w:id="4"/>
    </w:p>
    <w:p w:rsidR="00152DAD" w:rsidRPr="00C33034" w:rsidRDefault="00152DAD" w:rsidP="00801458">
      <w:pPr>
        <w:pStyle w:val="ATHeading3"/>
      </w:pPr>
      <w:bookmarkStart w:id="5" w:name="Sujet"/>
      <w:r w:rsidRPr="00C33034">
        <w:t xml:space="preserve">Riżoluzzjoni tal-Parlament Ewropew tas-27 ta' Novembru 2024 dwar il-pożizzjoni tal-Kunsill dwar l-Abbozz ta’ baġit </w:t>
      </w:r>
      <w:proofErr w:type="spellStart"/>
      <w:r w:rsidRPr="00C33034">
        <w:t>emendatorju</w:t>
      </w:r>
      <w:proofErr w:type="spellEnd"/>
      <w:r w:rsidRPr="00C33034">
        <w:t xml:space="preserve"> Nru 5/2024 tal-Unjoni Ewropea għas-sena finanzjarja 2024 - aġġustament </w:t>
      </w:r>
      <w:proofErr w:type="spellStart"/>
      <w:r w:rsidRPr="00C33034">
        <w:t>fl-approprjazzjonijiet</w:t>
      </w:r>
      <w:proofErr w:type="spellEnd"/>
      <w:r w:rsidRPr="00C33034">
        <w:t xml:space="preserve"> ta’ pagament, aġġornament tad-dħul u aġġornamenti tekniċi oħra</w:t>
      </w:r>
      <w:bookmarkEnd w:id="5"/>
      <w:r w:rsidRPr="00C33034">
        <w:t xml:space="preserve"> </w:t>
      </w:r>
      <w:bookmarkStart w:id="6" w:name="References"/>
      <w:r w:rsidRPr="00C33034">
        <w:t>(14477/2024 – C10-0186/2024 – 2024/0252(BUD))</w:t>
      </w:r>
      <w:bookmarkEnd w:id="6"/>
    </w:p>
    <w:p w:rsidR="001D3B7A" w:rsidRPr="00C33034" w:rsidRDefault="001D3B7A" w:rsidP="001D3B7A">
      <w:pPr>
        <w:pStyle w:val="EPComma"/>
      </w:pPr>
      <w:bookmarkStart w:id="7" w:name="TextBodyBegin"/>
      <w:bookmarkEnd w:id="7"/>
      <w:r w:rsidRPr="00C33034">
        <w:rPr>
          <w:i/>
        </w:rPr>
        <w:t>Il-Parlament Ewropew</w:t>
      </w:r>
      <w:r w:rsidRPr="00C33034">
        <w:t>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l-Artikolu 314 tat-Trattat dwar il-Funzjonament tal-Unjoni Ewropea,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l-Artikolu 106a tat-Trattat li jistabbilixxi l-Komunità Ewropea tal-Enerġija Atomika,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r-Regolament (UE, </w:t>
      </w:r>
      <w:proofErr w:type="spellStart"/>
      <w:r w:rsidRPr="00C33034">
        <w:t>Euratom</w:t>
      </w:r>
      <w:proofErr w:type="spellEnd"/>
      <w:r w:rsidRPr="00C33034">
        <w:t>) 2024/2509 tal-Parlament Ewropew u tal-Kunsill tat-23 ta’ Settembru 2024 dwar ir-regoli finanzjarji applikabbli għall-baġit ġenerali tal-Unjoni</w:t>
      </w:r>
      <w:r w:rsidRPr="00C33034">
        <w:rPr>
          <w:rStyle w:val="FootnoteReference"/>
        </w:rPr>
        <w:footnoteReference w:id="1"/>
      </w:r>
      <w:r w:rsidRPr="00C33034">
        <w:t>, u b’mod partikolari l-Artikolu 44 tiegħu,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l-baġit ġenerali tal-Unjoni Ewropea għas-sena finanzjarja 2024, adottat b’mod definittiv fit-22 ta’ Novembru 2023</w:t>
      </w:r>
      <w:r w:rsidRPr="00C33034">
        <w:rPr>
          <w:rStyle w:val="FootnoteReference"/>
        </w:rPr>
        <w:footnoteReference w:id="2"/>
      </w:r>
      <w:r w:rsidRPr="00C33034">
        <w:t>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r-Regolament tal-Kunsill (UE, </w:t>
      </w:r>
      <w:proofErr w:type="spellStart"/>
      <w:r w:rsidRPr="00C33034">
        <w:t>Euratom</w:t>
      </w:r>
      <w:proofErr w:type="spellEnd"/>
      <w:r w:rsidRPr="00C33034">
        <w:t xml:space="preserve">) 2020/2093 tas-17 ta’ Diċembru 2020 li jistabbilixxi l-qafas finanzjarju </w:t>
      </w:r>
      <w:proofErr w:type="spellStart"/>
      <w:r w:rsidRPr="00C33034">
        <w:t>pluriennali</w:t>
      </w:r>
      <w:proofErr w:type="spellEnd"/>
      <w:r w:rsidRPr="00C33034">
        <w:t xml:space="preserve"> għas-snin mill-2021 sal-2027</w:t>
      </w:r>
      <w:r w:rsidRPr="00C33034">
        <w:rPr>
          <w:rStyle w:val="FootnoteReference"/>
        </w:rPr>
        <w:footnoteReference w:id="3"/>
      </w:r>
      <w:r w:rsidRPr="00C33034">
        <w:t>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l-Ftehim </w:t>
      </w:r>
      <w:proofErr w:type="spellStart"/>
      <w:r w:rsidRPr="00C33034">
        <w:t>Interistituzzjonali</w:t>
      </w:r>
      <w:proofErr w:type="spellEnd"/>
      <w:r w:rsidRPr="00C33034">
        <w:t xml:space="preserve"> tas-16 ta’ Diċembru 2020 bejn il-Parlament Ewropew, il-Kunsill tal-Unjoni Ewropea u l-Kummissjoni Ewropea dwar </w:t>
      </w:r>
      <w:r w:rsidRPr="00C33034">
        <w:lastRenderedPageBreak/>
        <w:t xml:space="preserve">dixxiplina </w:t>
      </w:r>
      <w:proofErr w:type="spellStart"/>
      <w:r w:rsidRPr="00C33034">
        <w:t>baġitarja</w:t>
      </w:r>
      <w:proofErr w:type="spellEnd"/>
      <w:r w:rsidRPr="00C33034">
        <w:t xml:space="preserve">, dwar kooperazzjoni f’materji </w:t>
      </w:r>
      <w:proofErr w:type="spellStart"/>
      <w:r w:rsidRPr="00C33034">
        <w:t>baġitarji</w:t>
      </w:r>
      <w:proofErr w:type="spellEnd"/>
      <w:r w:rsidRPr="00C33034">
        <w:t xml:space="preserve"> u dwar </w:t>
      </w:r>
      <w:proofErr w:type="spellStart"/>
      <w:r w:rsidRPr="00C33034">
        <w:t>ġestjoni</w:t>
      </w:r>
      <w:proofErr w:type="spellEnd"/>
      <w:r w:rsidRPr="00C33034">
        <w:t xml:space="preserve"> finanzjarja tajba, kif ukoll dwar riżorsi proprji ġodda, inkluż pjan direzzjonali lejn l-introduzzjoni ta’ riżorsi proprji ġodda</w:t>
      </w:r>
      <w:r w:rsidRPr="00C33034">
        <w:rPr>
          <w:rStyle w:val="FootnoteReference"/>
        </w:rPr>
        <w:footnoteReference w:id="4"/>
      </w:r>
      <w:r w:rsidRPr="00C33034">
        <w:t>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d-Deċiżjoni tal-Kunsill (UE, </w:t>
      </w:r>
      <w:proofErr w:type="spellStart"/>
      <w:r w:rsidRPr="00C33034">
        <w:t>Euratom</w:t>
      </w:r>
      <w:proofErr w:type="spellEnd"/>
      <w:r w:rsidRPr="00C33034">
        <w:t xml:space="preserve">) 2020/2053 tal-14 ta’ Diċembru 2020 dwar is-sistema tar-riżorsi proprji tal-Unjoni Ewropea u li tħassar id-Deċiżjoni 2014/335/UE, </w:t>
      </w:r>
      <w:proofErr w:type="spellStart"/>
      <w:r w:rsidRPr="00C33034">
        <w:t>Euratom</w:t>
      </w:r>
      <w:proofErr w:type="spellEnd"/>
      <w:r w:rsidRPr="00C33034">
        <w:rPr>
          <w:rStyle w:val="FootnoteReference"/>
        </w:rPr>
        <w:footnoteReference w:id="5"/>
      </w:r>
      <w:r w:rsidRPr="00C33034">
        <w:t>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l-Abbozz ta’ baġit </w:t>
      </w:r>
      <w:proofErr w:type="spellStart"/>
      <w:r w:rsidRPr="00C33034">
        <w:t>emendatorju</w:t>
      </w:r>
      <w:proofErr w:type="spellEnd"/>
      <w:r w:rsidRPr="00C33034">
        <w:t xml:space="preserve"> Nru 5/2024, adottat mill-Kummissjoni fl-10 ta’ Ottubru 2024 (COM(2024)0650),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l-pożizzjoni dwar l-Abbozz ta’ baġit </w:t>
      </w:r>
      <w:proofErr w:type="spellStart"/>
      <w:r w:rsidRPr="00C33034">
        <w:t>emendatorju</w:t>
      </w:r>
      <w:proofErr w:type="spellEnd"/>
      <w:r w:rsidRPr="00C33034">
        <w:t xml:space="preserve"> Nru 5/2024, adottata mill-Kunsill fil-5 ta’ Novembru 2024 u mibgħuta lill-Parlament fit-12 ta’ Novembru 2024 (14477/2024 – C10-0186/</w:t>
      </w:r>
      <w:r w:rsidR="00425FB7" w:rsidRPr="00595C18">
        <w:t>2024),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l-Artikoli 96 u 98 tar-Regoli ta’ Proċedura tiegħu,</w:t>
      </w:r>
    </w:p>
    <w:p w:rsidR="001D3B7A" w:rsidRPr="00C33034" w:rsidRDefault="001D3B7A" w:rsidP="001D3B7A">
      <w:pPr>
        <w:pStyle w:val="NormalHanging12a"/>
      </w:pPr>
      <w:r w:rsidRPr="00C33034">
        <w:t>–</w:t>
      </w:r>
      <w:r w:rsidRPr="00C33034">
        <w:tab/>
        <w:t xml:space="preserve">wara li </w:t>
      </w:r>
      <w:proofErr w:type="spellStart"/>
      <w:r w:rsidRPr="00C33034">
        <w:t>kkunsidra</w:t>
      </w:r>
      <w:proofErr w:type="spellEnd"/>
      <w:r w:rsidRPr="00C33034">
        <w:t xml:space="preserve"> r-rapport tal-Kumitat għall-Baġits (A10-0017/2024),</w:t>
      </w:r>
    </w:p>
    <w:p w:rsidR="001D3B7A" w:rsidRPr="00C33034" w:rsidRDefault="001D3B7A" w:rsidP="001D3B7A">
      <w:pPr>
        <w:pStyle w:val="NormalHanging12a"/>
      </w:pPr>
      <w:r w:rsidRPr="00C33034">
        <w:t>A.</w:t>
      </w:r>
      <w:r w:rsidRPr="00C33034">
        <w:tab/>
        <w:t xml:space="preserve">billi l-għan tal-Abbozz ta’ baġit </w:t>
      </w:r>
      <w:proofErr w:type="spellStart"/>
      <w:r w:rsidRPr="00C33034">
        <w:t>emendatorju</w:t>
      </w:r>
      <w:proofErr w:type="spellEnd"/>
      <w:r w:rsidRPr="00C33034">
        <w:t xml:space="preserve"> Nru 5/2024 huwa li jsiru aġġustamenti fl-infiq, b’mod partikolari fir-rigward tal-</w:t>
      </w:r>
      <w:proofErr w:type="spellStart"/>
      <w:r w:rsidRPr="00C33034">
        <w:t>approprjazzjonijiet</w:t>
      </w:r>
      <w:proofErr w:type="spellEnd"/>
      <w:r w:rsidRPr="00C33034">
        <w:t xml:space="preserve"> ta’ pagament, u li jiġi aġġornat id-dħul għall-baġit tal-Unjoni;</w:t>
      </w:r>
    </w:p>
    <w:p w:rsidR="001D3B7A" w:rsidRPr="00C33034" w:rsidRDefault="001D3B7A" w:rsidP="001D3B7A">
      <w:pPr>
        <w:pStyle w:val="NormalHanging12a"/>
      </w:pPr>
      <w:r w:rsidRPr="00C33034">
        <w:t>B.</w:t>
      </w:r>
      <w:r w:rsidRPr="00C33034">
        <w:tab/>
        <w:t xml:space="preserve">billi, b’rabta mal-infiq, l-Abbozz ta’ baġit </w:t>
      </w:r>
      <w:proofErr w:type="spellStart"/>
      <w:r w:rsidRPr="00C33034">
        <w:t>emendatorju</w:t>
      </w:r>
      <w:proofErr w:type="spellEnd"/>
      <w:r w:rsidRPr="00C33034">
        <w:t xml:space="preserve"> Nru 5/2024 jimplika żieda netta ta’ EUR 44,5 miljun f’</w:t>
      </w:r>
      <w:proofErr w:type="spellStart"/>
      <w:r w:rsidRPr="00C33034">
        <w:t>approprjazzjonijiet</w:t>
      </w:r>
      <w:proofErr w:type="spellEnd"/>
      <w:r w:rsidRPr="00C33034">
        <w:t xml:space="preserve"> ta’ impenn u EUR 2,95 </w:t>
      </w:r>
      <w:r w:rsidR="00425FB7" w:rsidRPr="00595C18">
        <w:t>b</w:t>
      </w:r>
      <w:r w:rsidRPr="00C33034">
        <w:t>iljun f’</w:t>
      </w:r>
      <w:proofErr w:type="spellStart"/>
      <w:r w:rsidRPr="00C33034">
        <w:t>approprjazzjonijiet</w:t>
      </w:r>
      <w:proofErr w:type="spellEnd"/>
      <w:r w:rsidRPr="00C33034">
        <w:t xml:space="preserve"> ta’ pagament; billi, minħabba n-nuqqas ta’ kwalunkwe marġni disponibbli taħt l-</w:t>
      </w:r>
      <w:proofErr w:type="spellStart"/>
      <w:r w:rsidRPr="00C33034">
        <w:t>Intestaturi</w:t>
      </w:r>
      <w:proofErr w:type="spellEnd"/>
      <w:r w:rsidRPr="00C33034">
        <w:t xml:space="preserve"> 2b, 5 u 7 tal-qafas finanzjarju </w:t>
      </w:r>
      <w:proofErr w:type="spellStart"/>
      <w:r w:rsidRPr="00C33034">
        <w:t>pluriennali</w:t>
      </w:r>
      <w:proofErr w:type="spellEnd"/>
      <w:r w:rsidRPr="00C33034">
        <w:t xml:space="preserve"> (QFP), huwa propost li jiġu </w:t>
      </w:r>
      <w:proofErr w:type="spellStart"/>
      <w:r w:rsidRPr="00C33034">
        <w:t>mobilizzati</w:t>
      </w:r>
      <w:proofErr w:type="spellEnd"/>
      <w:r w:rsidRPr="00C33034">
        <w:t xml:space="preserve"> EUR 7,2 miljun oħra mill-Istrument ta’ </w:t>
      </w:r>
      <w:proofErr w:type="spellStart"/>
      <w:r w:rsidRPr="00C33034">
        <w:t>Flessibbiltà</w:t>
      </w:r>
      <w:proofErr w:type="spellEnd"/>
      <w:r w:rsidRPr="00C33034">
        <w:t xml:space="preserve"> u EUR 68,5 miljun addizzjonali li għandhom jintużaw mill-</w:t>
      </w:r>
      <w:proofErr w:type="spellStart"/>
      <w:r w:rsidRPr="00C33034">
        <w:t>kompartiment</w:t>
      </w:r>
      <w:proofErr w:type="spellEnd"/>
      <w:r w:rsidRPr="00C33034">
        <w:t xml:space="preserve"> (a) tal-Istrument ta’ Marġini Uniku;</w:t>
      </w:r>
    </w:p>
    <w:p w:rsidR="001D3B7A" w:rsidRPr="00C33034" w:rsidRDefault="001D3B7A" w:rsidP="001D3B7A">
      <w:pPr>
        <w:pStyle w:val="NormalHanging12a"/>
      </w:pPr>
      <w:r w:rsidRPr="00C33034">
        <w:t>C.</w:t>
      </w:r>
      <w:r w:rsidRPr="00C33034">
        <w:tab/>
        <w:t xml:space="preserve">billi, fuq in-naħa tad-dħul, l-Abbozz ta’ baġit </w:t>
      </w:r>
      <w:proofErr w:type="spellStart"/>
      <w:r w:rsidRPr="00C33034">
        <w:t>emendatorju</w:t>
      </w:r>
      <w:proofErr w:type="spellEnd"/>
      <w:r w:rsidRPr="00C33034">
        <w:t xml:space="preserve"> Nru 5/2024 idaħħal fil-baġit tal-2024 multi u penali definittivi mħallsa sa Ottubru 2024, li jammontaw għal EUR 2,82 biljun, li jfisser li huma meħtieġa kontribuzzjonijiet addizzjonali tal-ING ta’ EUR 139,9 miljun biex jiġu </w:t>
      </w:r>
      <w:proofErr w:type="spellStart"/>
      <w:r w:rsidRPr="00C33034">
        <w:t>ssodisfati</w:t>
      </w:r>
      <w:proofErr w:type="spellEnd"/>
      <w:r w:rsidRPr="00C33034">
        <w:t xml:space="preserve"> l-ħtiġijiet ta’ pagament;</w:t>
      </w:r>
    </w:p>
    <w:p w:rsidR="001D3B7A" w:rsidRPr="00C33034" w:rsidRDefault="001D3B7A" w:rsidP="001D3B7A">
      <w:pPr>
        <w:pStyle w:val="NormalHanging12a"/>
      </w:pPr>
      <w:r w:rsidRPr="00C33034">
        <w:t>D.</w:t>
      </w:r>
      <w:r w:rsidRPr="00C33034">
        <w:tab/>
        <w:t xml:space="preserve">billi l-Abbozz ta’ baġit </w:t>
      </w:r>
      <w:proofErr w:type="spellStart"/>
      <w:r w:rsidRPr="00C33034">
        <w:t>emendatorju</w:t>
      </w:r>
      <w:proofErr w:type="spellEnd"/>
      <w:r w:rsidRPr="00C33034">
        <w:t xml:space="preserve"> Nru 5/2024 jintroduċi wkoll linji </w:t>
      </w:r>
      <w:proofErr w:type="spellStart"/>
      <w:r w:rsidRPr="00C33034">
        <w:t>baġitarji</w:t>
      </w:r>
      <w:proofErr w:type="spellEnd"/>
      <w:r w:rsidRPr="00C33034">
        <w:t xml:space="preserve"> ġodda ta’ dħul u nfiq għall-Mekkaniżmu ta’ Kooperazzjoni ta’ Self għall-Ukrajna, li </w:t>
      </w:r>
      <w:proofErr w:type="spellStart"/>
      <w:r w:rsidRPr="00C33034">
        <w:t>skontu</w:t>
      </w:r>
      <w:proofErr w:type="spellEnd"/>
      <w:r w:rsidRPr="00C33034">
        <w:t xml:space="preserve"> l-appoġġ se jiġi pprovdut permezz ta’ self </w:t>
      </w:r>
      <w:proofErr w:type="spellStart"/>
      <w:r w:rsidRPr="00C33034">
        <w:t>isservizzjat</w:t>
      </w:r>
      <w:proofErr w:type="spellEnd"/>
      <w:r w:rsidRPr="00C33034">
        <w:t xml:space="preserve"> u mħallas lura minn </w:t>
      </w:r>
      <w:proofErr w:type="spellStart"/>
      <w:r w:rsidRPr="00C33034">
        <w:t>flussi</w:t>
      </w:r>
      <w:proofErr w:type="spellEnd"/>
      <w:r w:rsidRPr="00C33034">
        <w:t xml:space="preserve"> futuri ta’ dħul minn assi sovrani Russi </w:t>
      </w:r>
      <w:proofErr w:type="spellStart"/>
      <w:r w:rsidRPr="00C33034">
        <w:t>immobilizzati</w:t>
      </w:r>
      <w:proofErr w:type="spellEnd"/>
      <w:r w:rsidRPr="00C33034">
        <w:t>;</w:t>
      </w:r>
    </w:p>
    <w:p w:rsidR="001D3B7A" w:rsidRPr="00C33034" w:rsidRDefault="001D3B7A" w:rsidP="001D3B7A">
      <w:pPr>
        <w:pStyle w:val="NormalHanging12a"/>
      </w:pPr>
      <w:r w:rsidRPr="00C33034">
        <w:t>1.</w:t>
      </w:r>
      <w:r w:rsidRPr="00C33034">
        <w:tab/>
        <w:t xml:space="preserve">Jieħu nota tal-Abbozz ta’ baġit </w:t>
      </w:r>
      <w:proofErr w:type="spellStart"/>
      <w:r w:rsidRPr="00C33034">
        <w:t>emendatorju</w:t>
      </w:r>
      <w:proofErr w:type="spellEnd"/>
      <w:r w:rsidRPr="00C33034">
        <w:t xml:space="preserve"> </w:t>
      </w:r>
      <w:r w:rsidR="003957A0">
        <w:t xml:space="preserve">Nru </w:t>
      </w:r>
      <w:r w:rsidRPr="00C33034">
        <w:t>5/2024, kif imressaq mill-Kummissjoni;</w:t>
      </w:r>
    </w:p>
    <w:p w:rsidR="001D3B7A" w:rsidRPr="00C33034" w:rsidRDefault="001D3B7A" w:rsidP="001D3B7A">
      <w:pPr>
        <w:pStyle w:val="NormalHanging12a"/>
      </w:pPr>
      <w:r w:rsidRPr="00C33034">
        <w:t>2.</w:t>
      </w:r>
      <w:r w:rsidRPr="00C33034">
        <w:tab/>
        <w:t xml:space="preserve">Jilqa’ ż-żieda fil-ħtiġijiet ta’ pagament għall-Fond Ewropew għall-Iżvilupp Reġjonali </w:t>
      </w:r>
      <w:r w:rsidRPr="00C33034">
        <w:lastRenderedPageBreak/>
        <w:t xml:space="preserve">(FEŻR), flimkien ma’ dawk għall-Politika Agrikola Komuni fit-Trasferiment Globali (DEC 11/24), bħala sinjal li l-implimentazzjoni tal-programm qed taqbad ir-ritmu wara bidu kajman </w:t>
      </w:r>
      <w:proofErr w:type="spellStart"/>
      <w:r w:rsidRPr="00C33034">
        <w:t>inkwetanti</w:t>
      </w:r>
      <w:proofErr w:type="spellEnd"/>
      <w:r w:rsidRPr="00C33034">
        <w:t xml:space="preserve"> fil-perjodu 2021-2027; </w:t>
      </w:r>
    </w:p>
    <w:p w:rsidR="001D3B7A" w:rsidRPr="00C33034" w:rsidRDefault="001D3B7A" w:rsidP="001D3B7A">
      <w:pPr>
        <w:pStyle w:val="NormalHanging12a"/>
      </w:pPr>
      <w:r w:rsidRPr="00C33034">
        <w:t>3.</w:t>
      </w:r>
      <w:r w:rsidRPr="00C33034">
        <w:tab/>
        <w:t xml:space="preserve">Jinnota bi pjaċir li l-bidliet fir-regoli introdotti mill-Pjattaforma tat-Teknoloġiji Strateġiċi għall-Ewropa (STEP) – bi </w:t>
      </w:r>
      <w:proofErr w:type="spellStart"/>
      <w:r w:rsidRPr="00C33034">
        <w:t>prefinanzjament</w:t>
      </w:r>
      <w:proofErr w:type="spellEnd"/>
      <w:r w:rsidRPr="00C33034">
        <w:t xml:space="preserve"> eċċezzjonali u </w:t>
      </w:r>
      <w:proofErr w:type="spellStart"/>
      <w:r w:rsidRPr="00C33034">
        <w:t>kofinanzjament</w:t>
      </w:r>
      <w:proofErr w:type="spellEnd"/>
      <w:r w:rsidRPr="00C33034">
        <w:t xml:space="preserve"> volontarju ta’ 100 % – kellhom impatt pożittiv fuq l-implimentazzjoni tal-FEŻR, li jfisser li l-Istati Membri qed jonfqu flus favur l-objettivi ta’ STEP; iqis, barra minn hekk, li ż-żieda fil-pagamenti fl-2024 għandha tgħin biex tittaffa l-pressjoni fuq il-pagamenti bejn l-2025 u l-2027;</w:t>
      </w:r>
    </w:p>
    <w:p w:rsidR="001D3B7A" w:rsidRPr="00C33034" w:rsidRDefault="001D3B7A" w:rsidP="001D3B7A">
      <w:pPr>
        <w:pStyle w:val="NormalHanging12a"/>
      </w:pPr>
      <w:r w:rsidRPr="00C33034">
        <w:t>4.</w:t>
      </w:r>
      <w:r w:rsidRPr="00C33034">
        <w:tab/>
        <w:t>Jinnota li ż-żieda fil-ħtiġijiet ta’ pagament hija kważi kompletament koperta permezz tad-dħul mill-multi u l-penali, b’mod partikolari l-multa tal-kompetizzjoni ta’ EUR 2,4 biljun imposta fuq Google għal ksur tal-</w:t>
      </w:r>
      <w:proofErr w:type="spellStart"/>
      <w:r w:rsidRPr="00C33034">
        <w:t>antitrust</w:t>
      </w:r>
      <w:proofErr w:type="spellEnd"/>
      <w:r w:rsidRPr="00C33034">
        <w:t>;</w:t>
      </w:r>
    </w:p>
    <w:p w:rsidR="001D3B7A" w:rsidRPr="00C33034" w:rsidRDefault="001D3B7A" w:rsidP="001D3B7A">
      <w:pPr>
        <w:pStyle w:val="NormalHanging12a"/>
      </w:pPr>
      <w:r w:rsidRPr="00C33034">
        <w:t>5.</w:t>
      </w:r>
      <w:r w:rsidRPr="00C33034">
        <w:tab/>
        <w:t xml:space="preserve">Itenni l-ħtieġa ta’ dħul sostenibbli fit-tul għall-baġit tal-Unjoni, li ġie mġebbed ħafna biex </w:t>
      </w:r>
      <w:proofErr w:type="spellStart"/>
      <w:r w:rsidRPr="00C33034">
        <w:t>jirreaġixxi</w:t>
      </w:r>
      <w:proofErr w:type="spellEnd"/>
      <w:r w:rsidRPr="00C33034">
        <w:t xml:space="preserve"> għal diversi kriżijiet f’dawn l-aħħar snin; </w:t>
      </w:r>
      <w:proofErr w:type="spellStart"/>
      <w:r w:rsidRPr="00C33034">
        <w:t>jiddeplora</w:t>
      </w:r>
      <w:proofErr w:type="spellEnd"/>
      <w:r w:rsidRPr="00C33034">
        <w:t>, għalhekk, in-nuqqas ta’ progress fil-Kunsill dwar ir-riforma tas-sistema tar-riżorsi proprji f’</w:t>
      </w:r>
      <w:proofErr w:type="spellStart"/>
      <w:r w:rsidRPr="00C33034">
        <w:t>konformità</w:t>
      </w:r>
      <w:proofErr w:type="spellEnd"/>
      <w:r w:rsidRPr="00C33034">
        <w:t xml:space="preserve"> mal-pjan direzzjonali fil-Ftehim </w:t>
      </w:r>
      <w:proofErr w:type="spellStart"/>
      <w:r w:rsidRPr="00C33034">
        <w:t>Interistituzzjonali</w:t>
      </w:r>
      <w:proofErr w:type="spellEnd"/>
      <w:r w:rsidRPr="00C33034">
        <w:t>; ifakkar fil-pożizzjoni tiegħu b’appoġġ għall-proposti emendati tal-Kummissjoni u jħeġġeġ lill-Kunsill u l-Istati Membri jadottaw dawk il-proposti malajr sabiex jiżdiedu r-riżorsi proprji disponibbli għall-baġit tal-Unjoni; ifakkar fil-pożizzjoni tiegħu li ilu jħaddan li l-multi u l-imposti għandhom jintużaw bħala dħul supplimentari għall-baġit tal-Unjoni;</w:t>
      </w:r>
    </w:p>
    <w:p w:rsidR="001D3B7A" w:rsidRPr="00C33034" w:rsidRDefault="001D3B7A" w:rsidP="001D3B7A">
      <w:pPr>
        <w:pStyle w:val="NormalHanging12a"/>
      </w:pPr>
      <w:r w:rsidRPr="00C33034">
        <w:t>6.</w:t>
      </w:r>
      <w:r w:rsidRPr="00C33034">
        <w:tab/>
        <w:t xml:space="preserve">Jilqa’ l-inklużjoni ta’ linji </w:t>
      </w:r>
      <w:proofErr w:type="spellStart"/>
      <w:r w:rsidRPr="00C33034">
        <w:t>baġitarji</w:t>
      </w:r>
      <w:proofErr w:type="spellEnd"/>
      <w:r w:rsidRPr="00C33034">
        <w:t xml:space="preserve"> ta’ dħul u nfiq għall-Mekkaniżmu ta’ Kooperazzjoni ta’ Self għall-Ukrajna; </w:t>
      </w:r>
      <w:proofErr w:type="spellStart"/>
      <w:r w:rsidRPr="00C33034">
        <w:t>jissottolinja</w:t>
      </w:r>
      <w:proofErr w:type="spellEnd"/>
      <w:r w:rsidRPr="00C33034">
        <w:t xml:space="preserve"> l-importanza ta’ appoġġ finanzjarju sostnut lill-Ukrajna f’kuntest fejn il-finanzjament fl-ambitu tal-</w:t>
      </w:r>
      <w:proofErr w:type="spellStart"/>
      <w:r w:rsidRPr="00C33034">
        <w:t>Faċilità</w:t>
      </w:r>
      <w:proofErr w:type="spellEnd"/>
      <w:r w:rsidRPr="00C33034">
        <w:t xml:space="preserve"> għall-Ukrajna u l-arranġamenti eżistenti ta’ assistenza </w:t>
      </w:r>
      <w:proofErr w:type="spellStart"/>
      <w:r w:rsidRPr="00C33034">
        <w:t>makrofinanzjarja</w:t>
      </w:r>
      <w:proofErr w:type="spellEnd"/>
      <w:r w:rsidRPr="00C33034">
        <w:t xml:space="preserve"> (AMF) ma jilħqux il-ħtiġijiet; </w:t>
      </w:r>
    </w:p>
    <w:p w:rsidR="001D3B7A" w:rsidRPr="00C33034" w:rsidRDefault="001D3B7A" w:rsidP="001D3B7A">
      <w:pPr>
        <w:pStyle w:val="NormalHanging12a"/>
      </w:pPr>
      <w:r w:rsidRPr="00C33034">
        <w:t>7.</w:t>
      </w:r>
      <w:r w:rsidRPr="00C33034">
        <w:tab/>
        <w:t xml:space="preserve">Ifakkar li s-self addizzjonali tal-AMF se jiġi sottoskritt mill-marġni ta’ manuvra tal-baġit u jtenni t-talba tiegħu lill-Kummissjoni biex tipprovdi lill-awtorità </w:t>
      </w:r>
      <w:proofErr w:type="spellStart"/>
      <w:r w:rsidRPr="00C33034">
        <w:t>baġitarja</w:t>
      </w:r>
      <w:proofErr w:type="spellEnd"/>
      <w:r w:rsidRPr="00C33034">
        <w:t xml:space="preserve"> d-dettalji dwar l-</w:t>
      </w:r>
      <w:proofErr w:type="spellStart"/>
      <w:r w:rsidRPr="00C33034">
        <w:t>aggregazzjoni</w:t>
      </w:r>
      <w:proofErr w:type="spellEnd"/>
      <w:r w:rsidRPr="00C33034">
        <w:t xml:space="preserve"> tal-obbligazzjonijiet għall-marġni ta’ manuvra kontinġenti fuq l-operazzjonijiet ta’ għoti u ta’ teħid b’self; jistenna li l-Kummissjoni tipprovdi lill-Parlament u lill-Kunsill l-informazzjoni kollha meħtieġa skont id-dikjarazzjoni tagħha annessa mar-Regolament (UE) 2024/2773 tal-</w:t>
      </w:r>
      <w:r w:rsidRPr="00C33034">
        <w:rPr>
          <w:color w:val="333333"/>
          <w:shd w:val="clear" w:color="auto" w:fill="FFFFFF"/>
        </w:rPr>
        <w:t>Parlament Ewropew u tal-Kunsill</w:t>
      </w:r>
      <w:r w:rsidRPr="00C33034">
        <w:rPr>
          <w:rStyle w:val="FootnoteReference"/>
          <w:bCs/>
          <w:color w:val="333333"/>
          <w:shd w:val="clear" w:color="auto" w:fill="FFFFFF"/>
        </w:rPr>
        <w:footnoteReference w:id="6"/>
      </w:r>
      <w:r w:rsidRPr="00C33034">
        <w:t>;</w:t>
      </w:r>
    </w:p>
    <w:p w:rsidR="001D3B7A" w:rsidRPr="00C33034" w:rsidRDefault="001D3B7A" w:rsidP="001D3B7A">
      <w:pPr>
        <w:pStyle w:val="NormalHanging12a"/>
      </w:pPr>
      <w:r w:rsidRPr="00C33034">
        <w:t>8.</w:t>
      </w:r>
      <w:r w:rsidRPr="00C33034">
        <w:tab/>
        <w:t xml:space="preserve">Jieħu nota tal-aġġustament tas-salarji ogħla milli kien </w:t>
      </w:r>
      <w:proofErr w:type="spellStart"/>
      <w:r w:rsidRPr="00C33034">
        <w:t>ibbaġitjat</w:t>
      </w:r>
      <w:proofErr w:type="spellEnd"/>
      <w:r w:rsidRPr="00C33034">
        <w:t xml:space="preserve"> għall-2024, li għandu impatt kemm fuq ir-remunerazzjoni kif ukoll fuq il-pensjonijiet, b’numru ogħla milli previst ta’ pensjonanti ġodda fl-2024 li jkompli jżid l-ispejjeż tal-pensjonijiet; jilqa’ l-fatt li kważi l-ispejjeż addizzjonali kollha fl-istituzzjonijiet ġew koperti permezz ta’ </w:t>
      </w:r>
      <w:proofErr w:type="spellStart"/>
      <w:r w:rsidRPr="00C33034">
        <w:t>riallokazzjonijiet</w:t>
      </w:r>
      <w:proofErr w:type="spellEnd"/>
      <w:r w:rsidRPr="00C33034">
        <w:t xml:space="preserve"> interni u li għalhekk ir-rikors għall-Istrument ta’ Marġini Uniku huwa </w:t>
      </w:r>
      <w:proofErr w:type="spellStart"/>
      <w:r w:rsidRPr="00C33034">
        <w:t>kkontrollat</w:t>
      </w:r>
      <w:proofErr w:type="spellEnd"/>
      <w:r w:rsidRPr="00C33034">
        <w:t>;</w:t>
      </w:r>
    </w:p>
    <w:p w:rsidR="001D3B7A" w:rsidRPr="00C33034" w:rsidRDefault="001D3B7A" w:rsidP="001D3B7A">
      <w:pPr>
        <w:pStyle w:val="NormalHanging12a"/>
      </w:pPr>
      <w:r w:rsidRPr="00C33034">
        <w:t>9.</w:t>
      </w:r>
      <w:r w:rsidRPr="00C33034">
        <w:tab/>
      </w:r>
      <w:proofErr w:type="spellStart"/>
      <w:r w:rsidRPr="00C33034">
        <w:t>Jissottolinja</w:t>
      </w:r>
      <w:proofErr w:type="spellEnd"/>
      <w:r w:rsidRPr="00C33034">
        <w:t xml:space="preserve"> li l-aġġustament tas-salarji jaffettwa wkoll lill-aġenziji </w:t>
      </w:r>
      <w:proofErr w:type="spellStart"/>
      <w:r w:rsidRPr="00C33034">
        <w:t>deċentralizzati</w:t>
      </w:r>
      <w:proofErr w:type="spellEnd"/>
      <w:r w:rsidRPr="00C33034">
        <w:t xml:space="preserve">, li ilhom </w:t>
      </w:r>
      <w:proofErr w:type="spellStart"/>
      <w:r w:rsidRPr="00C33034">
        <w:t>jitħabtu</w:t>
      </w:r>
      <w:proofErr w:type="spellEnd"/>
      <w:r w:rsidRPr="00C33034">
        <w:t xml:space="preserve"> ma’ inflazzjoni ogħla </w:t>
      </w:r>
      <w:proofErr w:type="spellStart"/>
      <w:r w:rsidRPr="00C33034">
        <w:t>mid-deflatur</w:t>
      </w:r>
      <w:proofErr w:type="spellEnd"/>
      <w:r w:rsidRPr="00C33034">
        <w:t xml:space="preserve"> ta’ 2 % li bih żiedu l-baġits annwali tagħhom u huma partikolari peress li l-</w:t>
      </w:r>
      <w:proofErr w:type="spellStart"/>
      <w:r w:rsidRPr="00C33034">
        <w:t>kostijiet</w:t>
      </w:r>
      <w:proofErr w:type="spellEnd"/>
      <w:r w:rsidRPr="00C33034">
        <w:t xml:space="preserve"> tal-persunal u operattivi jirrappreżentaw </w:t>
      </w:r>
      <w:r w:rsidRPr="00C33034">
        <w:lastRenderedPageBreak/>
        <w:t xml:space="preserve">porzjon kbir tan-nefqa tagħhom; jilqa’ l-fatt li l-aġenziji li ma setgħux isibu r-riżorsi permezz ta’ </w:t>
      </w:r>
      <w:proofErr w:type="spellStart"/>
      <w:r w:rsidRPr="00C33034">
        <w:t>riallokazzjonijiet</w:t>
      </w:r>
      <w:proofErr w:type="spellEnd"/>
      <w:r w:rsidRPr="00C33034">
        <w:t xml:space="preserve"> jaraw żieda ta’ 1,7 % fil-kontribuzzjoni tal-Unjoni; itenni li t-trattament attwali tal-baġits tal-aġenziji </w:t>
      </w:r>
      <w:proofErr w:type="spellStart"/>
      <w:r w:rsidRPr="00C33034">
        <w:t>deċentralizzati</w:t>
      </w:r>
      <w:proofErr w:type="spellEnd"/>
      <w:r w:rsidRPr="00C33034">
        <w:t xml:space="preserve"> jirrikjedi aktar riflessjoni bħala parti mit-tħejjijiet tal-Kummissjoni </w:t>
      </w:r>
      <w:proofErr w:type="spellStart"/>
      <w:r w:rsidRPr="00C33034">
        <w:t>għall</w:t>
      </w:r>
      <w:proofErr w:type="spellEnd"/>
      <w:r w:rsidRPr="00C33034">
        <w:t>-QFP ta’ wara l-2027;</w:t>
      </w:r>
    </w:p>
    <w:p w:rsidR="001D3B7A" w:rsidRPr="00C33034" w:rsidRDefault="001D3B7A" w:rsidP="001D3B7A">
      <w:pPr>
        <w:pStyle w:val="NormalHanging12a"/>
      </w:pPr>
      <w:r w:rsidRPr="00C33034">
        <w:t>10.</w:t>
      </w:r>
      <w:r w:rsidRPr="00C33034">
        <w:tab/>
        <w:t xml:space="preserve">Jinnota ż-żieda </w:t>
      </w:r>
      <w:proofErr w:type="spellStart"/>
      <w:r w:rsidRPr="00C33034">
        <w:t>fl-approprjazzjonijiet</w:t>
      </w:r>
      <w:proofErr w:type="spellEnd"/>
      <w:r w:rsidRPr="00C33034">
        <w:t xml:space="preserve"> għall-Aġenzija tal-Unjoni Ewropea għat-Tmexxija Operattiva ta’ Sistemi tal-IT fuq Skala Kbira fl-Ispazju ta’ Libertà, Sigurtà u Ġustizzja (</w:t>
      </w:r>
      <w:proofErr w:type="spellStart"/>
      <w:r w:rsidRPr="00C33034">
        <w:t>eu</w:t>
      </w:r>
      <w:proofErr w:type="spellEnd"/>
      <w:r w:rsidRPr="00C33034">
        <w:t xml:space="preserve">-LISA) biex tkopri ż-żieda fl-ispejjeż għalkemm jinsab imħasseb dwar it-tnaqqis korrispondenti </w:t>
      </w:r>
      <w:proofErr w:type="spellStart"/>
      <w:r w:rsidRPr="00C33034">
        <w:t>fl-approprjazzjonijiet</w:t>
      </w:r>
      <w:proofErr w:type="spellEnd"/>
      <w:r w:rsidRPr="00C33034">
        <w:t xml:space="preserve"> għall-Aġenzija tal-Unjoni Ewropea </w:t>
      </w:r>
      <w:proofErr w:type="spellStart"/>
      <w:r w:rsidRPr="00C33034">
        <w:t>għall-Ażil</w:t>
      </w:r>
      <w:proofErr w:type="spellEnd"/>
      <w:r w:rsidRPr="00C33034">
        <w:t xml:space="preserve"> (EUAA); jilqa’ l-fatt li l-EUAA ġiet imsaħħa bħala parti mir-reviżjoni ta’ nofs it-terminu tal-QFP sabiex tkun tista’ twettaq </w:t>
      </w:r>
      <w:proofErr w:type="spellStart"/>
      <w:r w:rsidRPr="00C33034">
        <w:t>kompiti</w:t>
      </w:r>
      <w:proofErr w:type="spellEnd"/>
      <w:r w:rsidRPr="00C33034">
        <w:t xml:space="preserve"> ġodda f’</w:t>
      </w:r>
      <w:proofErr w:type="spellStart"/>
      <w:r w:rsidRPr="00C33034">
        <w:t>konformità</w:t>
      </w:r>
      <w:proofErr w:type="spellEnd"/>
      <w:r w:rsidRPr="00C33034">
        <w:t xml:space="preserve"> mal-implimentazzjoni tal-Patt dwar il-</w:t>
      </w:r>
      <w:proofErr w:type="spellStart"/>
      <w:r w:rsidRPr="00C33034">
        <w:t>Migrazzjoni</w:t>
      </w:r>
      <w:proofErr w:type="spellEnd"/>
      <w:r w:rsidRPr="00C33034">
        <w:t xml:space="preserve"> u l-</w:t>
      </w:r>
      <w:proofErr w:type="spellStart"/>
      <w:r w:rsidRPr="00C33034">
        <w:t>Ażil</w:t>
      </w:r>
      <w:proofErr w:type="spellEnd"/>
      <w:r w:rsidRPr="00C33034">
        <w:t>; jistieden lill-Kummissjoni taħdem mill-qrib maż-żewġ aġenziji biex tiżgura li huma mgħammra biex iwettqu l-</w:t>
      </w:r>
      <w:proofErr w:type="spellStart"/>
      <w:r w:rsidRPr="00C33034">
        <w:t>kompiti</w:t>
      </w:r>
      <w:proofErr w:type="spellEnd"/>
      <w:r w:rsidRPr="00C33034">
        <w:t xml:space="preserve"> tagħhom bis-sħiħ u jassorbu l-</w:t>
      </w:r>
      <w:proofErr w:type="spellStart"/>
      <w:r w:rsidRPr="00C33034">
        <w:t>approprjazzjonijiet</w:t>
      </w:r>
      <w:proofErr w:type="spellEnd"/>
      <w:r w:rsidRPr="00C33034">
        <w:t xml:space="preserve"> assenjati lilhom;</w:t>
      </w:r>
    </w:p>
    <w:p w:rsidR="001D3B7A" w:rsidRPr="00C33034" w:rsidRDefault="001D3B7A" w:rsidP="001D3B7A">
      <w:pPr>
        <w:pStyle w:val="NormalHanging12a"/>
      </w:pPr>
      <w:r w:rsidRPr="00C33034">
        <w:t>11.</w:t>
      </w:r>
      <w:r w:rsidRPr="00C33034">
        <w:tab/>
        <w:t>Jilqa’ l-</w:t>
      </w:r>
      <w:proofErr w:type="spellStart"/>
      <w:r w:rsidRPr="00C33034">
        <w:t>approprjazzjonijiet</w:t>
      </w:r>
      <w:proofErr w:type="spellEnd"/>
      <w:r w:rsidRPr="00C33034">
        <w:t xml:space="preserve"> addizzjonali għall-Aġenzija tal-UE għat-Taħriġ fl-Infurzar tal-Liġi (CEPOL) fl-2024 wara l-attakk </w:t>
      </w:r>
      <w:proofErr w:type="spellStart"/>
      <w:r w:rsidRPr="00C33034">
        <w:t>ċibernetiku</w:t>
      </w:r>
      <w:proofErr w:type="spellEnd"/>
      <w:r w:rsidRPr="00C33034">
        <w:t xml:space="preserve"> ta’ Ġunju 2024 fuq l-aġenzija; </w:t>
      </w:r>
      <w:proofErr w:type="spellStart"/>
      <w:r w:rsidRPr="00C33034">
        <w:t>jinsisti</w:t>
      </w:r>
      <w:proofErr w:type="spellEnd"/>
      <w:r w:rsidRPr="00C33034">
        <w:t xml:space="preserve"> fuq il-ħtieġa li </w:t>
      </w:r>
      <w:proofErr w:type="spellStart"/>
      <w:r w:rsidRPr="00C33034">
        <w:t>jinsiltu</w:t>
      </w:r>
      <w:proofErr w:type="spellEnd"/>
      <w:r w:rsidRPr="00C33034">
        <w:t xml:space="preserve"> </w:t>
      </w:r>
      <w:proofErr w:type="spellStart"/>
      <w:r w:rsidRPr="00C33034">
        <w:t>tagħlimiet</w:t>
      </w:r>
      <w:proofErr w:type="spellEnd"/>
      <w:r w:rsidRPr="00C33034">
        <w:t xml:space="preserve"> u li jiġi pprovdut aktar appoġġ tekniku lil aġenziji u istituzzjonijiet oħra mis-Servizz </w:t>
      </w:r>
      <w:proofErr w:type="spellStart"/>
      <w:r w:rsidRPr="00C33034">
        <w:t>taċ-Ċibersigurtà</w:t>
      </w:r>
      <w:proofErr w:type="spellEnd"/>
      <w:r w:rsidRPr="00C33034">
        <w:t xml:space="preserve"> għall-entitajiet tal-Unjoni (CERT-UE), fid-dawl tat-theddida għolja </w:t>
      </w:r>
      <w:proofErr w:type="spellStart"/>
      <w:r w:rsidRPr="00C33034">
        <w:t>taċ-ċibersigurtà</w:t>
      </w:r>
      <w:proofErr w:type="spellEnd"/>
      <w:r w:rsidRPr="00C33034">
        <w:t xml:space="preserve"> u sabiex jiġi żgurat li attakk ieħor ma </w:t>
      </w:r>
      <w:proofErr w:type="spellStart"/>
      <w:r w:rsidRPr="00C33034">
        <w:t>jikkomprometti</w:t>
      </w:r>
      <w:proofErr w:type="spellEnd"/>
      <w:r w:rsidRPr="00C33034">
        <w:t xml:space="preserve"> l-ebda aġenzija jew istituzzjoni tal-Unjoni; </w:t>
      </w:r>
    </w:p>
    <w:p w:rsidR="001D3B7A" w:rsidRPr="00C33034" w:rsidRDefault="001D3B7A" w:rsidP="001D3B7A">
      <w:pPr>
        <w:pStyle w:val="NormalHanging12a"/>
      </w:pPr>
      <w:r w:rsidRPr="00C33034">
        <w:t>12.</w:t>
      </w:r>
      <w:r w:rsidRPr="00C33034">
        <w:tab/>
      </w:r>
      <w:proofErr w:type="spellStart"/>
      <w:r w:rsidRPr="00C33034">
        <w:t>Jissottolinja</w:t>
      </w:r>
      <w:proofErr w:type="spellEnd"/>
      <w:r w:rsidRPr="00C33034">
        <w:t xml:space="preserve"> l-importanza tal-Awtorità għall-Ġlieda Kontra l-Ħasil tal-Flus li għadha kif ġiet stabbilita fil-qafas rivedut kontra l-ħasil tal-flus fil-livell tal-Unjoni; huwa għalhekk imħasseb ħafna dwar id-dewmien fil-fażi tal-istabbiliment, b’mod partikolari fir-rigward tar-reklutaġġ; </w:t>
      </w:r>
    </w:p>
    <w:p w:rsidR="001D3B7A" w:rsidRPr="00C33034" w:rsidRDefault="001D3B7A" w:rsidP="001D3B7A">
      <w:pPr>
        <w:pStyle w:val="NormalHanging12a"/>
      </w:pPr>
      <w:r w:rsidRPr="00C33034">
        <w:t>13.</w:t>
      </w:r>
      <w:r w:rsidRPr="00C33034">
        <w:tab/>
        <w:t>Jilqa’ l-fatt li, bir-</w:t>
      </w:r>
      <w:proofErr w:type="spellStart"/>
      <w:r w:rsidRPr="00C33034">
        <w:t>riformulazzjoni</w:t>
      </w:r>
      <w:proofErr w:type="spellEnd"/>
      <w:r w:rsidRPr="00C33034">
        <w:t xml:space="preserve"> tar-Regolament Finanzjarju issa fis-seħħ, huwa possibbli li jiġi inkluż dħul negattiv fil-baġit għall-pagament ta’ imgħax </w:t>
      </w:r>
      <w:proofErr w:type="spellStart"/>
      <w:r w:rsidRPr="00C33034">
        <w:t>kumpensatorju</w:t>
      </w:r>
      <w:proofErr w:type="spellEnd"/>
      <w:r w:rsidRPr="00C33034">
        <w:t xml:space="preserve"> f’kawżi tal-qorti mitlufa; jinnota li l-Kummissjoni bħalissa qed tistabbilixxi l-ammont preċiż ta’ tali </w:t>
      </w:r>
      <w:proofErr w:type="spellStart"/>
      <w:r w:rsidRPr="00C33034">
        <w:t>mgħax</w:t>
      </w:r>
      <w:proofErr w:type="spellEnd"/>
      <w:r w:rsidRPr="00C33034">
        <w:t xml:space="preserve"> u jistieden lill-Kummissjoni tipprovdi din l-informazzjoni lill-awtorità </w:t>
      </w:r>
      <w:proofErr w:type="spellStart"/>
      <w:r w:rsidRPr="00C33034">
        <w:t>baġitarja</w:t>
      </w:r>
      <w:proofErr w:type="spellEnd"/>
      <w:r w:rsidRPr="00C33034">
        <w:t xml:space="preserve"> malajr kemm jista’ jkun fl-2025; </w:t>
      </w:r>
    </w:p>
    <w:p w:rsidR="001D3B7A" w:rsidRPr="00C33034" w:rsidRDefault="001D3B7A" w:rsidP="001D3B7A">
      <w:pPr>
        <w:pStyle w:val="NormalHanging12a"/>
      </w:pPr>
      <w:r w:rsidRPr="00C33034">
        <w:t>14.</w:t>
      </w:r>
      <w:r w:rsidRPr="00C33034">
        <w:tab/>
        <w:t xml:space="preserve">Japprova l-pożizzjoni tal-Kunsill dwar l-abbozz ta’ baġit </w:t>
      </w:r>
      <w:proofErr w:type="spellStart"/>
      <w:r w:rsidRPr="00C33034">
        <w:t>emendatorju</w:t>
      </w:r>
      <w:proofErr w:type="spellEnd"/>
      <w:r w:rsidRPr="00C33034">
        <w:t xml:space="preserve"> Nru 5/2024;</w:t>
      </w:r>
    </w:p>
    <w:p w:rsidR="001D3B7A" w:rsidRPr="00C33034" w:rsidRDefault="001D3B7A" w:rsidP="001D3B7A">
      <w:pPr>
        <w:pStyle w:val="NormalHanging12a"/>
      </w:pPr>
      <w:r w:rsidRPr="00C33034">
        <w:t>15.</w:t>
      </w:r>
      <w:r w:rsidRPr="00C33034">
        <w:tab/>
        <w:t xml:space="preserve">Jagħti istruzzjonijiet lill-President tiegħu biex tiddikjara li l-baġit </w:t>
      </w:r>
      <w:proofErr w:type="spellStart"/>
      <w:r w:rsidRPr="00C33034">
        <w:t>emendatorju</w:t>
      </w:r>
      <w:proofErr w:type="spellEnd"/>
      <w:r w:rsidRPr="00C33034">
        <w:t xml:space="preserve"> Nru 5/2024 ġie adottat b’mod definittiv u biex tiżgura li jiġi ppubblikat f’</w:t>
      </w:r>
      <w:r w:rsidRPr="00C33034">
        <w:rPr>
          <w:i/>
        </w:rPr>
        <w:t>Il-Ġurnal Uffiċjali tal-Unjoni Ewropea</w:t>
      </w:r>
      <w:r w:rsidRPr="00C33034">
        <w:t>;</w:t>
      </w:r>
    </w:p>
    <w:p w:rsidR="00E365E1" w:rsidRPr="00C33034" w:rsidRDefault="001D3B7A" w:rsidP="00801458">
      <w:pPr>
        <w:pStyle w:val="NormalHanging12a"/>
      </w:pPr>
      <w:r w:rsidRPr="00C33034">
        <w:t>16.</w:t>
      </w:r>
      <w:r w:rsidRPr="00C33034">
        <w:tab/>
        <w:t>Jagħti istruzzjonijiet lill-President tiegħu biex tgħaddi din ir-riżoluzzjoni lill-Kunsill u lill-Kummissjoni, kif ukoll lill-parlamenti nazzjonali.</w:t>
      </w:r>
    </w:p>
    <w:sectPr w:rsidR="00E365E1" w:rsidRPr="00C33034" w:rsidSect="00C330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DAD" w:rsidRPr="00C33034" w:rsidRDefault="00152DAD">
      <w:r w:rsidRPr="00C33034">
        <w:separator/>
      </w:r>
    </w:p>
  </w:endnote>
  <w:endnote w:type="continuationSeparator" w:id="0">
    <w:p w:rsidR="00152DAD" w:rsidRPr="00C33034" w:rsidRDefault="00152DAD">
      <w:r w:rsidRPr="00C330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30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30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30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DAD" w:rsidRPr="00C33034" w:rsidRDefault="00152DAD">
      <w:r w:rsidRPr="00C33034">
        <w:separator/>
      </w:r>
    </w:p>
  </w:footnote>
  <w:footnote w:type="continuationSeparator" w:id="0">
    <w:p w:rsidR="00152DAD" w:rsidRPr="00C33034" w:rsidRDefault="00152DAD">
      <w:r w:rsidRPr="00C33034">
        <w:continuationSeparator/>
      </w:r>
    </w:p>
  </w:footnote>
  <w:footnote w:id="1">
    <w:p w:rsidR="001D3B7A" w:rsidRPr="00C33034" w:rsidRDefault="001D3B7A" w:rsidP="00C33034">
      <w:pPr>
        <w:pStyle w:val="FootnoteText"/>
        <w:ind w:left="567" w:hanging="567"/>
        <w:rPr>
          <w:sz w:val="24"/>
          <w:lang w:val="mt-MT"/>
        </w:rPr>
      </w:pPr>
      <w:r w:rsidRPr="00C33034">
        <w:rPr>
          <w:rStyle w:val="FootnoteReference"/>
          <w:sz w:val="24"/>
          <w:lang w:val="mt-MT"/>
        </w:rPr>
        <w:footnoteRef/>
      </w:r>
      <w:r w:rsidR="00C33034" w:rsidRPr="00C33034">
        <w:rPr>
          <w:sz w:val="24"/>
          <w:lang w:val="mt-MT"/>
        </w:rPr>
        <w:t xml:space="preserve"> </w:t>
      </w:r>
      <w:r w:rsidR="00C33034" w:rsidRPr="00C33034">
        <w:rPr>
          <w:sz w:val="24"/>
          <w:lang w:val="mt-MT"/>
        </w:rPr>
        <w:tab/>
      </w:r>
      <w:r w:rsidRPr="00C33034">
        <w:rPr>
          <w:sz w:val="24"/>
          <w:lang w:val="mt-MT"/>
        </w:rPr>
        <w:t>ĠU L, 2024/2509, 26.9.202</w:t>
      </w:r>
      <w:r w:rsidR="004A09CB">
        <w:rPr>
          <w:sz w:val="24"/>
          <w:lang w:val="mt-MT"/>
        </w:rPr>
        <w:t>4</w:t>
      </w:r>
      <w:r w:rsidR="003957A0" w:rsidRPr="008159E4">
        <w:rPr>
          <w:sz w:val="24"/>
          <w:lang w:val="fi-FI"/>
        </w:rPr>
        <w:t>, ELI</w:t>
      </w:r>
      <w:r w:rsidR="003957A0">
        <w:rPr>
          <w:sz w:val="24"/>
          <w:lang w:val="fi-FI"/>
        </w:rPr>
        <w:t>:</w:t>
      </w:r>
      <w:r w:rsidR="003957A0" w:rsidRPr="008159E4">
        <w:rPr>
          <w:sz w:val="24"/>
          <w:lang w:val="fi-FI"/>
        </w:rPr>
        <w:t xml:space="preserve"> </w:t>
      </w:r>
      <w:r w:rsidRPr="00C33034">
        <w:rPr>
          <w:sz w:val="24"/>
          <w:lang w:val="mt-MT"/>
        </w:rPr>
        <w:t xml:space="preserve"> </w:t>
      </w:r>
      <w:hyperlink r:id="rId1" w:history="1">
        <w:r w:rsidRPr="00C33034">
          <w:rPr>
            <w:rStyle w:val="Hyperlink"/>
            <w:sz w:val="24"/>
            <w:lang w:val="mt-MT"/>
          </w:rPr>
          <w:t>http://data.europa.eu/eli/reg/2024/2509/oj?locale=mt</w:t>
        </w:r>
      </w:hyperlink>
      <w:r w:rsidR="00425FB7">
        <w:rPr>
          <w:rStyle w:val="Hyperlink"/>
          <w:sz w:val="24"/>
          <w:lang w:val="mt-MT"/>
        </w:rPr>
        <w:t>.</w:t>
      </w:r>
    </w:p>
  </w:footnote>
  <w:footnote w:id="2">
    <w:p w:rsidR="001D3B7A" w:rsidRPr="00C33034" w:rsidRDefault="001D3B7A" w:rsidP="00C33034">
      <w:pPr>
        <w:pStyle w:val="FootnoteText"/>
        <w:ind w:left="567" w:hanging="567"/>
        <w:rPr>
          <w:sz w:val="24"/>
          <w:lang w:val="mt-MT"/>
        </w:rPr>
      </w:pPr>
      <w:r w:rsidRPr="00C33034">
        <w:rPr>
          <w:rStyle w:val="FootnoteReference"/>
          <w:sz w:val="24"/>
          <w:lang w:val="mt-MT"/>
        </w:rPr>
        <w:footnoteRef/>
      </w:r>
      <w:r w:rsidR="00C33034" w:rsidRPr="00C33034">
        <w:rPr>
          <w:sz w:val="24"/>
          <w:lang w:val="mt-MT"/>
        </w:rPr>
        <w:t xml:space="preserve"> </w:t>
      </w:r>
      <w:r w:rsidR="00C33034" w:rsidRPr="00C33034">
        <w:rPr>
          <w:sz w:val="24"/>
          <w:lang w:val="mt-MT"/>
        </w:rPr>
        <w:tab/>
      </w:r>
      <w:r w:rsidRPr="00C33034">
        <w:rPr>
          <w:sz w:val="24"/>
          <w:lang w:val="mt-MT"/>
        </w:rPr>
        <w:t xml:space="preserve">ĠU L, 2024/207, 22.2.2024, ELI: </w:t>
      </w:r>
      <w:hyperlink r:id="rId2" w:history="1">
        <w:r w:rsidRPr="00C33034">
          <w:rPr>
            <w:rStyle w:val="Hyperlink"/>
            <w:sz w:val="24"/>
            <w:lang w:val="mt-MT"/>
          </w:rPr>
          <w:t>http://data.europa.eu/eli/budget/2024/207/oj</w:t>
        </w:r>
      </w:hyperlink>
      <w:r w:rsidRPr="00C33034">
        <w:rPr>
          <w:sz w:val="24"/>
          <w:lang w:val="mt-MT"/>
        </w:rPr>
        <w:t>.</w:t>
      </w:r>
    </w:p>
  </w:footnote>
  <w:footnote w:id="3">
    <w:p w:rsidR="001D3B7A" w:rsidRPr="00C33034" w:rsidRDefault="001D3B7A" w:rsidP="00C33034">
      <w:pPr>
        <w:pStyle w:val="FootnoteText"/>
        <w:ind w:left="567" w:hanging="567"/>
        <w:rPr>
          <w:sz w:val="24"/>
          <w:lang w:val="mt-MT"/>
        </w:rPr>
      </w:pPr>
      <w:r w:rsidRPr="00C33034">
        <w:rPr>
          <w:rStyle w:val="FootnoteReference"/>
          <w:sz w:val="24"/>
          <w:lang w:val="mt-MT"/>
        </w:rPr>
        <w:footnoteRef/>
      </w:r>
      <w:r w:rsidR="00C33034" w:rsidRPr="00C33034">
        <w:rPr>
          <w:sz w:val="24"/>
          <w:lang w:val="mt-MT"/>
        </w:rPr>
        <w:t xml:space="preserve"> </w:t>
      </w:r>
      <w:r w:rsidR="00C33034" w:rsidRPr="00C33034">
        <w:rPr>
          <w:sz w:val="24"/>
          <w:lang w:val="mt-MT"/>
        </w:rPr>
        <w:tab/>
      </w:r>
      <w:r w:rsidRPr="00C33034">
        <w:rPr>
          <w:sz w:val="24"/>
          <w:lang w:val="mt-MT"/>
        </w:rPr>
        <w:t xml:space="preserve">ĠU L 433 I, 22.12.2020, p. </w:t>
      </w:r>
      <w:r w:rsidRPr="00C33034">
        <w:rPr>
          <w:sz w:val="24"/>
          <w:lang w:val="mt-MT"/>
        </w:rPr>
        <w:t xml:space="preserve">11, ELI: </w:t>
      </w:r>
      <w:hyperlink r:id="rId3" w:history="1">
        <w:r w:rsidRPr="00C33034">
          <w:rPr>
            <w:rStyle w:val="Hyperlink"/>
            <w:sz w:val="24"/>
            <w:lang w:val="mt-MT"/>
          </w:rPr>
          <w:t>https://eur-lex.europa.eu/eli/reg/2020/2093/oj?eliuri=eli%3Areg%3A2020%3A2093%3Aoj&amp;locale=mt</w:t>
        </w:r>
      </w:hyperlink>
      <w:r w:rsidRPr="00C33034">
        <w:rPr>
          <w:sz w:val="24"/>
          <w:lang w:val="mt-MT"/>
        </w:rPr>
        <w:t>.</w:t>
      </w:r>
    </w:p>
  </w:footnote>
  <w:footnote w:id="4">
    <w:p w:rsidR="001D3B7A" w:rsidRPr="00C33034" w:rsidRDefault="001D3B7A" w:rsidP="00C33034">
      <w:pPr>
        <w:pStyle w:val="FootnoteText"/>
        <w:ind w:left="567" w:hanging="567"/>
        <w:rPr>
          <w:sz w:val="24"/>
          <w:lang w:val="mt-MT"/>
        </w:rPr>
      </w:pPr>
      <w:r w:rsidRPr="00C33034">
        <w:rPr>
          <w:rStyle w:val="FootnoteReference"/>
          <w:sz w:val="24"/>
          <w:lang w:val="mt-MT"/>
        </w:rPr>
        <w:footnoteRef/>
      </w:r>
      <w:r w:rsidR="00C33034" w:rsidRPr="00C33034">
        <w:rPr>
          <w:sz w:val="24"/>
          <w:lang w:val="mt-MT"/>
        </w:rPr>
        <w:t xml:space="preserve"> </w:t>
      </w:r>
      <w:r w:rsidR="00C33034" w:rsidRPr="00C33034">
        <w:rPr>
          <w:sz w:val="24"/>
          <w:lang w:val="mt-MT"/>
        </w:rPr>
        <w:tab/>
      </w:r>
      <w:r w:rsidRPr="00C33034">
        <w:rPr>
          <w:sz w:val="24"/>
          <w:lang w:val="mt-MT"/>
        </w:rPr>
        <w:t xml:space="preserve">ĠU L 433 I, 22.12.2020, p. </w:t>
      </w:r>
      <w:r w:rsidRPr="00C33034">
        <w:rPr>
          <w:sz w:val="24"/>
          <w:lang w:val="mt-MT"/>
        </w:rPr>
        <w:t xml:space="preserve">28, ELI: </w:t>
      </w:r>
      <w:hyperlink r:id="rId4" w:history="1">
        <w:r w:rsidRPr="00C33034">
          <w:rPr>
            <w:rStyle w:val="Hyperlink"/>
            <w:sz w:val="24"/>
            <w:lang w:val="mt-MT"/>
          </w:rPr>
          <w:t>https://eur-lex.europa.eu/eli/agree_interinstit/2020/1222/oj?eliuri=eli%3Aagree_interinstit%3A2020%3A1222%3Aoj&amp;locale=mt</w:t>
        </w:r>
      </w:hyperlink>
      <w:r w:rsidR="00425FB7">
        <w:rPr>
          <w:rStyle w:val="Hyperlink"/>
          <w:sz w:val="24"/>
          <w:lang w:val="mt-MT"/>
        </w:rPr>
        <w:t>.</w:t>
      </w:r>
    </w:p>
  </w:footnote>
  <w:footnote w:id="5">
    <w:p w:rsidR="001D3B7A" w:rsidRPr="00C33034" w:rsidRDefault="001D3B7A" w:rsidP="00C33034">
      <w:pPr>
        <w:pStyle w:val="FootnoteText"/>
        <w:ind w:left="567" w:hanging="567"/>
        <w:rPr>
          <w:sz w:val="24"/>
          <w:lang w:val="mt-MT"/>
        </w:rPr>
      </w:pPr>
      <w:r w:rsidRPr="00C33034">
        <w:rPr>
          <w:rStyle w:val="FootnoteReference"/>
          <w:sz w:val="24"/>
          <w:lang w:val="mt-MT"/>
        </w:rPr>
        <w:footnoteRef/>
      </w:r>
      <w:r w:rsidR="00C33034" w:rsidRPr="00C33034">
        <w:rPr>
          <w:sz w:val="24"/>
          <w:lang w:val="mt-MT"/>
        </w:rPr>
        <w:t xml:space="preserve"> </w:t>
      </w:r>
      <w:r w:rsidR="00C33034" w:rsidRPr="00C33034">
        <w:rPr>
          <w:sz w:val="24"/>
          <w:lang w:val="mt-MT"/>
        </w:rPr>
        <w:tab/>
      </w:r>
      <w:r w:rsidRPr="00C33034">
        <w:rPr>
          <w:sz w:val="24"/>
          <w:lang w:val="mt-MT"/>
        </w:rPr>
        <w:t xml:space="preserve">ĠU L 424, 15.12.2020, p. </w:t>
      </w:r>
      <w:r w:rsidRPr="00C33034">
        <w:rPr>
          <w:sz w:val="24"/>
          <w:lang w:val="mt-MT"/>
        </w:rPr>
        <w:t xml:space="preserve">1, ELI: </w:t>
      </w:r>
      <w:hyperlink r:id="rId5" w:history="1">
        <w:r w:rsidRPr="00C33034">
          <w:rPr>
            <w:rStyle w:val="Hyperlink"/>
            <w:sz w:val="24"/>
            <w:lang w:val="mt-MT"/>
          </w:rPr>
          <w:t>https://eur-lex.europa.eu/eli/dec/2020/2053/oj?eliuri=eli%3Adec%3A2020%3A2053%3Aoj&amp;locale=mt</w:t>
        </w:r>
      </w:hyperlink>
      <w:r w:rsidRPr="00C33034">
        <w:rPr>
          <w:sz w:val="24"/>
          <w:lang w:val="mt-MT"/>
        </w:rPr>
        <w:t>.</w:t>
      </w:r>
    </w:p>
  </w:footnote>
  <w:footnote w:id="6">
    <w:p w:rsidR="001D3B7A" w:rsidRPr="00C33034" w:rsidRDefault="001D3B7A" w:rsidP="00C33034">
      <w:pPr>
        <w:pStyle w:val="FootnoteText"/>
        <w:ind w:left="567" w:hanging="567"/>
        <w:rPr>
          <w:sz w:val="24"/>
          <w:lang w:val="mt-MT"/>
        </w:rPr>
      </w:pPr>
      <w:r w:rsidRPr="00C33034">
        <w:rPr>
          <w:rStyle w:val="FootnoteReference"/>
          <w:sz w:val="24"/>
          <w:lang w:val="mt-MT"/>
        </w:rPr>
        <w:footnoteRef/>
      </w:r>
      <w:r w:rsidR="00C33034" w:rsidRPr="00C33034">
        <w:rPr>
          <w:sz w:val="24"/>
          <w:lang w:val="mt-MT"/>
        </w:rPr>
        <w:t xml:space="preserve"> </w:t>
      </w:r>
      <w:r w:rsidR="00C33034" w:rsidRPr="00C33034">
        <w:rPr>
          <w:sz w:val="24"/>
          <w:lang w:val="mt-MT"/>
        </w:rPr>
        <w:tab/>
      </w:r>
      <w:r w:rsidRPr="00C33034">
        <w:rPr>
          <w:sz w:val="24"/>
          <w:lang w:val="mt-MT"/>
        </w:rPr>
        <w:t>Ir-Regolament (UE) 2024/2773 tal-Parlament Ewropew u tal-Kunsill tal-24 ta’ Ottubru 2024 li jistabbilixxi l-Mekka</w:t>
      </w:r>
      <w:bookmarkStart w:id="8" w:name="_GoBack"/>
      <w:bookmarkEnd w:id="8"/>
      <w:r w:rsidRPr="00C33034">
        <w:rPr>
          <w:sz w:val="24"/>
          <w:lang w:val="mt-MT"/>
        </w:rPr>
        <w:t xml:space="preserve">niżmu ta’ Kooperazzjoni ta’ Self għall-Ukrajna u li jipprovdi assistenza </w:t>
      </w:r>
      <w:proofErr w:type="spellStart"/>
      <w:r w:rsidRPr="00C33034">
        <w:rPr>
          <w:sz w:val="24"/>
          <w:lang w:val="mt-MT"/>
        </w:rPr>
        <w:t>makrofinanzjarja</w:t>
      </w:r>
      <w:proofErr w:type="spellEnd"/>
      <w:r w:rsidRPr="00C33034">
        <w:rPr>
          <w:sz w:val="24"/>
          <w:lang w:val="mt-MT"/>
        </w:rPr>
        <w:t xml:space="preserve"> eċċezzjonali lill-Ukrajna (ĠU L, 2024/2773, 28.10.202</w:t>
      </w:r>
      <w:r w:rsidR="004A09CB">
        <w:rPr>
          <w:sz w:val="24"/>
          <w:lang w:val="mt-MT"/>
        </w:rPr>
        <w:t>4</w:t>
      </w:r>
      <w:r w:rsidRPr="00C33034">
        <w:rPr>
          <w:sz w:val="24"/>
          <w:lang w:val="mt-MT"/>
        </w:rPr>
        <w:t xml:space="preserve">, ELI: </w:t>
      </w:r>
      <w:hyperlink r:id="rId6" w:history="1">
        <w:r w:rsidRPr="00C33034">
          <w:rPr>
            <w:rStyle w:val="Hyperlink"/>
            <w:sz w:val="24"/>
            <w:lang w:val="mt-MT"/>
          </w:rPr>
          <w:t>http://data.europa.eu/eli/reg/2024/2773/oj</w:t>
        </w:r>
      </w:hyperlink>
      <w:r w:rsidRPr="00C33034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30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30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30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MT"/>
    <w:docVar w:name="dvnumam" w:val="0"/>
    <w:docVar w:name="dvpe" w:val="765.136"/>
    <w:docVar w:name="dvrapporteur" w:val="Rapporteur: "/>
    <w:docVar w:name="dvtitre" w:val="Riżoluzzjoni leġiżlattiva tal-Parlament Ewropew tas-27 ta' Novembru 2024 dwar il-pożizzjoni tal-Kunsill dwar l-Abbozz ta’ baġit emendatorju Nru 5/2024 tal-Unjoni Ewropea għas-sena finanzjarja 2024 - aġġustament fl-approprjazzjonijiet ta’ pagament, aġġornament tad-dħul u aġġornamenti tekniċi oħra(14477/2024 – C10-0186/2024 – 2024/0252(BUD))"/>
  </w:docVars>
  <w:rsids>
    <w:rsidRoot w:val="00152DAD"/>
    <w:rsid w:val="00002272"/>
    <w:rsid w:val="00064002"/>
    <w:rsid w:val="000677B9"/>
    <w:rsid w:val="000831BA"/>
    <w:rsid w:val="000A42CC"/>
    <w:rsid w:val="000E7DD9"/>
    <w:rsid w:val="0010095E"/>
    <w:rsid w:val="00125B37"/>
    <w:rsid w:val="00152DAD"/>
    <w:rsid w:val="00187494"/>
    <w:rsid w:val="001D3B7A"/>
    <w:rsid w:val="001F32AE"/>
    <w:rsid w:val="002767FF"/>
    <w:rsid w:val="002B18FE"/>
    <w:rsid w:val="002B5493"/>
    <w:rsid w:val="00343214"/>
    <w:rsid w:val="00361C00"/>
    <w:rsid w:val="003957A0"/>
    <w:rsid w:val="00395FA1"/>
    <w:rsid w:val="003E15D4"/>
    <w:rsid w:val="00411CCE"/>
    <w:rsid w:val="0041666E"/>
    <w:rsid w:val="00421060"/>
    <w:rsid w:val="00425FB7"/>
    <w:rsid w:val="00471C19"/>
    <w:rsid w:val="004867E3"/>
    <w:rsid w:val="00494A28"/>
    <w:rsid w:val="004A09CB"/>
    <w:rsid w:val="004C0004"/>
    <w:rsid w:val="004C5D52"/>
    <w:rsid w:val="0050519A"/>
    <w:rsid w:val="005072A1"/>
    <w:rsid w:val="00514517"/>
    <w:rsid w:val="00545827"/>
    <w:rsid w:val="00560270"/>
    <w:rsid w:val="00595C1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45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03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7247E"/>
  <w15:chartTrackingRefBased/>
  <w15:docId w15:val="{89E6D525-EAF7-46A3-8B9F-75A517B1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D3B7A"/>
    <w:pPr>
      <w:spacing w:before="480" w:after="240"/>
    </w:pPr>
  </w:style>
  <w:style w:type="paragraph" w:customStyle="1" w:styleId="NormalHanging12a">
    <w:name w:val="NormalHanging12a"/>
    <w:basedOn w:val="Normal"/>
    <w:rsid w:val="001D3B7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1D3B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957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57A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0/2093/oj?eliuri=eli%3Areg%3A2020%3A2093%3Aoj&amp;locale=mt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reg/2024/2773/oj" TargetMode="External"/><Relationship Id="rId5" Type="http://schemas.openxmlformats.org/officeDocument/2006/relationships/hyperlink" Target="https://eur-lex.europa.eu/eli/dec/2020/2053/oj?eliuri=eli%3Adec%3A2020%3A2053%3Aoj&amp;locale=mt" TargetMode="External"/><Relationship Id="rId4" Type="http://schemas.openxmlformats.org/officeDocument/2006/relationships/hyperlink" Target="https://eur-lex.europa.eu/eli/agree_interinstit/2020/1222/oj?eliuri=eli%3Aagree_interinstit%3A2020%3A1222%3Aoj&amp;locale=m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08A56-E1A8-4918-8C2E-A2DBD9BF6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1194</Words>
  <Characters>8741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2025-02-10T09:45:00Z</dcterms:created>
  <dcterms:modified xsi:type="dcterms:W3CDTF">2025-02-10T09:45:00Z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P10_TA(2024)0049_</vt:lpwstr>
  </property>
  <property fmtid="{D5CDD505-2E9C-101B-9397-08002B2CF9AE}" pid="4" name="&lt;Type&gt;">
    <vt:lpwstr>RR</vt:lpwstr>
  </property>
</Properties>
</file>