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5715" w:rsidTr="0010095E">
        <w:trPr>
          <w:trHeight w:hRule="exact" w:val="1418"/>
        </w:trPr>
        <w:tc>
          <w:tcPr>
            <w:tcW w:w="6804" w:type="dxa"/>
            <w:shd w:val="clear" w:color="auto" w:fill="auto"/>
            <w:vAlign w:val="center"/>
          </w:tcPr>
          <w:p w:rsidR="00751A4A" w:rsidRPr="009A5715" w:rsidRDefault="00D73021" w:rsidP="0010095E">
            <w:pPr>
              <w:pStyle w:val="EPName"/>
            </w:pPr>
            <w:bookmarkStart w:id="0" w:name="_GoBack"/>
            <w:bookmarkEnd w:id="0"/>
            <w:r w:rsidRPr="009A5715">
              <w:t>Europees Parlement</w:t>
            </w:r>
          </w:p>
          <w:p w:rsidR="00751A4A" w:rsidRPr="009A5715" w:rsidRDefault="005F1B17" w:rsidP="005F1B17">
            <w:pPr>
              <w:pStyle w:val="EPTerm"/>
              <w:rPr>
                <w:rStyle w:val="HideTWBExt"/>
                <w:noProof w:val="0"/>
                <w:vanish w:val="0"/>
                <w:color w:val="auto"/>
              </w:rPr>
            </w:pPr>
            <w:r w:rsidRPr="009A5715">
              <w:t>2024</w:t>
            </w:r>
            <w:r w:rsidR="00817416" w:rsidRPr="009A5715">
              <w:t>-202</w:t>
            </w:r>
            <w:r w:rsidRPr="009A5715">
              <w:t>9</w:t>
            </w:r>
          </w:p>
        </w:tc>
        <w:tc>
          <w:tcPr>
            <w:tcW w:w="2268" w:type="dxa"/>
            <w:shd w:val="clear" w:color="auto" w:fill="auto"/>
          </w:tcPr>
          <w:p w:rsidR="00751A4A" w:rsidRPr="009A5715" w:rsidRDefault="00187494" w:rsidP="0010095E">
            <w:pPr>
              <w:pStyle w:val="EPLogo"/>
            </w:pPr>
            <w:r w:rsidRPr="009A57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5715" w:rsidRDefault="00D058B8" w:rsidP="004C5D52">
      <w:pPr>
        <w:pStyle w:val="LineTop"/>
      </w:pPr>
    </w:p>
    <w:p w:rsidR="00680577" w:rsidRPr="009A5715" w:rsidRDefault="00D73021" w:rsidP="00680577">
      <w:pPr>
        <w:pStyle w:val="EPBodyTA1"/>
      </w:pPr>
      <w:r w:rsidRPr="009A5715">
        <w:t>AANGENOMEN TEKSTEN</w:t>
      </w:r>
    </w:p>
    <w:p w:rsidR="00D058B8" w:rsidRPr="009A5715" w:rsidRDefault="00D058B8" w:rsidP="00D058B8">
      <w:pPr>
        <w:pStyle w:val="LineBottom"/>
      </w:pPr>
    </w:p>
    <w:p w:rsidR="00D73021" w:rsidRPr="009A5715" w:rsidRDefault="00D73021" w:rsidP="00D73021">
      <w:pPr>
        <w:pStyle w:val="ATHeading1"/>
      </w:pPr>
      <w:bookmarkStart w:id="1" w:name="TANumber"/>
      <w:r w:rsidRPr="009A5715">
        <w:t>P10_</w:t>
      </w:r>
      <w:proofErr w:type="gramStart"/>
      <w:r w:rsidRPr="009A5715">
        <w:t>TA(</w:t>
      </w:r>
      <w:proofErr w:type="gramEnd"/>
      <w:r w:rsidRPr="009A5715">
        <w:t>2024)00</w:t>
      </w:r>
      <w:bookmarkEnd w:id="1"/>
      <w:r w:rsidR="00A203F3" w:rsidRPr="009A5715">
        <w:t>49</w:t>
      </w:r>
    </w:p>
    <w:p w:rsidR="00D73021" w:rsidRPr="009A5715" w:rsidRDefault="00D73021" w:rsidP="00D73021">
      <w:pPr>
        <w:pStyle w:val="ATHeading2"/>
      </w:pPr>
      <w:bookmarkStart w:id="2" w:name="title"/>
      <w:r w:rsidRPr="009A5715">
        <w:t>Ontwerp van gewijzigde begroting nr. 5/2024</w:t>
      </w:r>
      <w:r w:rsidR="00C60037" w:rsidRPr="009A5715">
        <w:t>:</w:t>
      </w:r>
      <w:r w:rsidRPr="009A5715">
        <w:t xml:space="preserve"> aanpassing van de betalingskredieten, actualisering van de ontvangsten en andere technische actualiseringen</w:t>
      </w:r>
      <w:bookmarkEnd w:id="2"/>
    </w:p>
    <w:p w:rsidR="00D73021" w:rsidRPr="009A5715" w:rsidRDefault="00D73021" w:rsidP="00D73021">
      <w:pPr>
        <w:rPr>
          <w:i/>
          <w:vanish/>
        </w:rPr>
      </w:pPr>
      <w:r w:rsidRPr="009A5715">
        <w:rPr>
          <w:i/>
        </w:rPr>
        <w:fldChar w:fldCharType="begin"/>
      </w:r>
      <w:r w:rsidRPr="009A5715">
        <w:rPr>
          <w:i/>
        </w:rPr>
        <w:instrText xml:space="preserve"> TC"(</w:instrText>
      </w:r>
      <w:bookmarkStart w:id="3" w:name="DocNumber"/>
      <w:r w:rsidRPr="009A5715">
        <w:rPr>
          <w:i/>
        </w:rPr>
        <w:instrText>A10-0017/2024</w:instrText>
      </w:r>
      <w:bookmarkEnd w:id="3"/>
      <w:r w:rsidRPr="009A5715">
        <w:rPr>
          <w:i/>
        </w:rPr>
        <w:instrText xml:space="preserve"> - Rapporteur: Siegfried Mureşan)"\l3 \n&gt; \* MERGEFORMAT </w:instrText>
      </w:r>
      <w:r w:rsidRPr="009A5715">
        <w:rPr>
          <w:i/>
        </w:rPr>
        <w:fldChar w:fldCharType="end"/>
      </w:r>
    </w:p>
    <w:p w:rsidR="00D73021" w:rsidRPr="009A5715" w:rsidRDefault="00D73021" w:rsidP="00D73021">
      <w:pPr>
        <w:rPr>
          <w:vanish/>
        </w:rPr>
      </w:pPr>
      <w:bookmarkStart w:id="4" w:name="Commission"/>
      <w:r w:rsidRPr="009A5715">
        <w:rPr>
          <w:vanish/>
        </w:rPr>
        <w:t>Begrotingscommissie</w:t>
      </w:r>
      <w:bookmarkEnd w:id="4"/>
    </w:p>
    <w:p w:rsidR="00D73021" w:rsidRPr="009A5715" w:rsidRDefault="00D73021" w:rsidP="00D73021">
      <w:pPr>
        <w:rPr>
          <w:vanish/>
        </w:rPr>
      </w:pPr>
      <w:bookmarkStart w:id="5" w:name="PE"/>
      <w:r w:rsidRPr="009A5715">
        <w:rPr>
          <w:vanish/>
        </w:rPr>
        <w:t>PE765.136</w:t>
      </w:r>
      <w:bookmarkEnd w:id="5"/>
    </w:p>
    <w:p w:rsidR="00D73021" w:rsidRPr="009A5715" w:rsidRDefault="00CD0855" w:rsidP="00D73021">
      <w:pPr>
        <w:pStyle w:val="ATHeading3"/>
      </w:pPr>
      <w:bookmarkStart w:id="6" w:name="Sujet"/>
      <w:r w:rsidRPr="009A5715">
        <w:t>R</w:t>
      </w:r>
      <w:r w:rsidR="00D73021" w:rsidRPr="009A5715">
        <w:t xml:space="preserve">esolutie van het Europees Parlement </w:t>
      </w:r>
      <w:r w:rsidRPr="009A5715">
        <w:t>van 27</w:t>
      </w:r>
      <w:r w:rsidR="0074563E" w:rsidRPr="009A5715">
        <w:t xml:space="preserve"> november 2024 </w:t>
      </w:r>
      <w:r w:rsidR="00D73021" w:rsidRPr="009A5715">
        <w:t>over het standpunt van de Raad inzake het ontwerp van gewijzigde begroting nr. 5/2024 van de Europese Unie voor het begrotingsjaar 2024 - aanpassing van de betalingskredieten, actualisering van de ontvangsten en andere technische actualiseringen</w:t>
      </w:r>
      <w:bookmarkEnd w:id="6"/>
      <w:r w:rsidR="00D73021" w:rsidRPr="009A5715">
        <w:t xml:space="preserve"> </w:t>
      </w:r>
      <w:bookmarkStart w:id="7" w:name="References"/>
      <w:r w:rsidR="00D73021" w:rsidRPr="009A5715">
        <w:t>(14477/2024 – C10-0186/2024 – 2024/0252(BUD))</w:t>
      </w:r>
      <w:bookmarkEnd w:id="7"/>
    </w:p>
    <w:p w:rsidR="002A6E42" w:rsidRPr="009A5715" w:rsidRDefault="002A6E42" w:rsidP="002A6E42">
      <w:pPr>
        <w:pStyle w:val="EPComma"/>
      </w:pPr>
      <w:bookmarkStart w:id="8" w:name="TextBodyBegin"/>
      <w:bookmarkEnd w:id="8"/>
      <w:r w:rsidRPr="009A5715">
        <w:rPr>
          <w:i/>
        </w:rPr>
        <w:t>Het Europees Parlement</w:t>
      </w:r>
      <w:r w:rsidRPr="009A5715">
        <w:t>,</w:t>
      </w:r>
    </w:p>
    <w:p w:rsidR="002A6E42" w:rsidRPr="009A5715" w:rsidRDefault="002A6E42" w:rsidP="002A6E42">
      <w:pPr>
        <w:pStyle w:val="NormalHanging12a"/>
      </w:pPr>
      <w:r w:rsidRPr="009A5715">
        <w:t>–</w:t>
      </w:r>
      <w:r w:rsidRPr="009A5715">
        <w:tab/>
        <w:t>gezien artikel 314 van het Verdrag betreffende de werking van de Europese Unie,</w:t>
      </w:r>
    </w:p>
    <w:p w:rsidR="002A6E42" w:rsidRPr="009A5715" w:rsidRDefault="002A6E42" w:rsidP="002A6E42">
      <w:pPr>
        <w:pStyle w:val="NormalHanging12a"/>
      </w:pPr>
      <w:r w:rsidRPr="009A5715">
        <w:t>–</w:t>
      </w:r>
      <w:r w:rsidRPr="009A5715">
        <w:tab/>
        <w:t>gezien artikel 106 bis van het Verdrag tot oprichting van de Europese Gemeenschap voor Atoomenergie,</w:t>
      </w:r>
    </w:p>
    <w:p w:rsidR="002A6E42" w:rsidRPr="009A5715" w:rsidRDefault="002A6E42" w:rsidP="002A6E42">
      <w:pPr>
        <w:pStyle w:val="NormalHanging12a"/>
      </w:pPr>
      <w:r w:rsidRPr="009A5715">
        <w:t>–</w:t>
      </w:r>
      <w:r w:rsidRPr="009A5715">
        <w:tab/>
        <w:t>gezien Verordening (EU, Euratom) 2024/2509 van het Europees Parlement en de Raad van 23 september 2024 tot vaststelling van de financiële regels van toepassing op de algemene begroting van de Unie</w:t>
      </w:r>
      <w:r w:rsidRPr="009A5715">
        <w:rPr>
          <w:rStyle w:val="FootnoteReference"/>
        </w:rPr>
        <w:footnoteReference w:id="1"/>
      </w:r>
      <w:r w:rsidRPr="009A5715">
        <w:t>, en met name artikel 44,</w:t>
      </w:r>
    </w:p>
    <w:p w:rsidR="002A6E42" w:rsidRPr="009A5715" w:rsidRDefault="002A6E42" w:rsidP="002A6E42">
      <w:pPr>
        <w:pStyle w:val="NormalHanging12a"/>
      </w:pPr>
      <w:r w:rsidRPr="009A5715">
        <w:t>–</w:t>
      </w:r>
      <w:r w:rsidRPr="009A5715">
        <w:tab/>
        <w:t>gezien de algemene begroting van de Europese Unie voor het begrotingsjaar 2024, definitief vastgesteld op 22 november 2023</w:t>
      </w:r>
      <w:r w:rsidRPr="009A5715">
        <w:rPr>
          <w:rStyle w:val="FootnoteReference"/>
        </w:rPr>
        <w:footnoteReference w:id="2"/>
      </w:r>
      <w:r w:rsidRPr="009A5715">
        <w:t>,</w:t>
      </w:r>
    </w:p>
    <w:p w:rsidR="002A6E42" w:rsidRPr="009A5715" w:rsidRDefault="002A6E42" w:rsidP="002A6E42">
      <w:pPr>
        <w:pStyle w:val="NormalHanging12a"/>
      </w:pPr>
      <w:r w:rsidRPr="009A5715">
        <w:t>–</w:t>
      </w:r>
      <w:r w:rsidRPr="009A5715">
        <w:tab/>
        <w:t>gezien Verordening (EU, Euratom) 2020/2093 van de Raad van 17 december 2020 tot bepaling van het meerjarig financieel kader voor de jaren 2021‐2027</w:t>
      </w:r>
      <w:r w:rsidRPr="009A5715">
        <w:rPr>
          <w:rStyle w:val="FootnoteReference"/>
        </w:rPr>
        <w:footnoteReference w:id="3"/>
      </w:r>
      <w:r w:rsidRPr="009A5715">
        <w:t>,</w:t>
      </w:r>
    </w:p>
    <w:p w:rsidR="002A6E42" w:rsidRPr="009A5715" w:rsidRDefault="002A6E42" w:rsidP="002A6E42">
      <w:pPr>
        <w:pStyle w:val="NormalHanging12a"/>
      </w:pPr>
      <w:r w:rsidRPr="009A5715">
        <w:t>–</w:t>
      </w:r>
      <w:r w:rsidRPr="009A5715">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9A5715">
        <w:lastRenderedPageBreak/>
        <w:t>invoering van nieuwe eigen middelen</w:t>
      </w:r>
      <w:r w:rsidRPr="009A5715">
        <w:rPr>
          <w:rStyle w:val="FootnoteReference"/>
        </w:rPr>
        <w:footnoteReference w:id="4"/>
      </w:r>
      <w:r w:rsidRPr="009A5715">
        <w:t>,</w:t>
      </w:r>
    </w:p>
    <w:p w:rsidR="002A6E42" w:rsidRPr="009A5715" w:rsidRDefault="002A6E42" w:rsidP="002A6E42">
      <w:pPr>
        <w:pStyle w:val="NormalHanging12a"/>
      </w:pPr>
      <w:r w:rsidRPr="009A5715">
        <w:t>–</w:t>
      </w:r>
      <w:r w:rsidRPr="009A5715">
        <w:tab/>
        <w:t>gezien Besluit (EU, Euratom) 2020/2053 van de Raad van 14 december 2020 betreffende het stelsel van eigen middelen van de Europese Unie en tot intrekking van Besluit 2014/335/EU, Euratom</w:t>
      </w:r>
      <w:r w:rsidRPr="009A5715">
        <w:rPr>
          <w:rStyle w:val="FootnoteReference"/>
        </w:rPr>
        <w:footnoteReference w:id="5"/>
      </w:r>
      <w:r w:rsidRPr="009A5715">
        <w:t>,</w:t>
      </w:r>
    </w:p>
    <w:p w:rsidR="002A6E42" w:rsidRPr="009A5715" w:rsidRDefault="002A6E42" w:rsidP="002A6E42">
      <w:pPr>
        <w:pStyle w:val="NormalHanging12a"/>
      </w:pPr>
      <w:r w:rsidRPr="009A5715">
        <w:t>–</w:t>
      </w:r>
      <w:r w:rsidRPr="009A5715">
        <w:tab/>
        <w:t xml:space="preserve">gezien het ontwerp van gewijzigde begroting nr. 5/2024, </w:t>
      </w:r>
      <w:r w:rsidR="00CD0855" w:rsidRPr="009A5715">
        <w:t>goedgekeurd</w:t>
      </w:r>
      <w:r w:rsidRPr="009A5715">
        <w:t xml:space="preserve"> door de Commissie op 10 oktober 2024 (</w:t>
      </w:r>
      <w:proofErr w:type="gramStart"/>
      <w:r w:rsidRPr="009A5715">
        <w:t>COM(</w:t>
      </w:r>
      <w:proofErr w:type="gramEnd"/>
      <w:r w:rsidRPr="009A5715">
        <w:t>2024)065</w:t>
      </w:r>
      <w:r w:rsidR="009A5715" w:rsidRPr="009A5715">
        <w:t>0</w:t>
      </w:r>
      <w:r w:rsidRPr="009A5715">
        <w:t>),</w:t>
      </w:r>
    </w:p>
    <w:p w:rsidR="002A6E42" w:rsidRPr="009A5715" w:rsidRDefault="002A6E42" w:rsidP="002A6E42">
      <w:pPr>
        <w:pStyle w:val="NormalHanging12a"/>
      </w:pPr>
      <w:r w:rsidRPr="009A5715">
        <w:t>–</w:t>
      </w:r>
      <w:r w:rsidRPr="009A5715">
        <w:tab/>
        <w:t xml:space="preserve">gezien het standpunt inzake het ontwerp van gewijzigde begroting nr. 5/2024, </w:t>
      </w:r>
      <w:r w:rsidR="00CD0855" w:rsidRPr="009A5715">
        <w:t xml:space="preserve">op 5 november 2024 </w:t>
      </w:r>
      <w:r w:rsidRPr="009A5715">
        <w:t>vastgesteld door de Raad en op 12 november 2024 toegezonden aan het Europees Parlement (14477/2024 – C10-0186/2024),</w:t>
      </w:r>
    </w:p>
    <w:p w:rsidR="002A6E42" w:rsidRPr="009A5715" w:rsidRDefault="002A6E42" w:rsidP="002A6E42">
      <w:pPr>
        <w:pStyle w:val="NormalHanging12a"/>
      </w:pPr>
      <w:r w:rsidRPr="009A5715">
        <w:t>–</w:t>
      </w:r>
      <w:r w:rsidRPr="009A5715">
        <w:tab/>
        <w:t>gezien de artikelen 96 en 98 van zijn Reglement,</w:t>
      </w:r>
    </w:p>
    <w:p w:rsidR="002A6E42" w:rsidRPr="009A5715" w:rsidRDefault="002A6E42" w:rsidP="002A6E42">
      <w:pPr>
        <w:pStyle w:val="NormalHanging12a"/>
      </w:pPr>
      <w:r w:rsidRPr="009A5715">
        <w:t>–</w:t>
      </w:r>
      <w:r w:rsidRPr="009A5715">
        <w:tab/>
        <w:t>gezien het verslag van de Begrotingscommissie (A10</w:t>
      </w:r>
      <w:r w:rsidRPr="009A5715">
        <w:noBreakHyphen/>
        <w:t>0017/2024),</w:t>
      </w:r>
    </w:p>
    <w:p w:rsidR="002A6E42" w:rsidRPr="009A5715" w:rsidRDefault="002A6E42" w:rsidP="002A6E42">
      <w:pPr>
        <w:pStyle w:val="NormalHanging12a"/>
      </w:pPr>
      <w:r w:rsidRPr="009A5715">
        <w:t>A.</w:t>
      </w:r>
      <w:r w:rsidRPr="009A5715">
        <w:tab/>
        <w:t>overwegende dat het ontwerp van gewijzigde begroting nr. 5/2024 tot doel heeft de uitgaven aan te passen, met name wat de betalingskredieten betreft, en de ontvangsten voor de begroting van de Unie te actualiseren;</w:t>
      </w:r>
    </w:p>
    <w:p w:rsidR="002A6E42" w:rsidRPr="009A5715" w:rsidRDefault="002A6E42" w:rsidP="002A6E42">
      <w:pPr>
        <w:pStyle w:val="NormalHanging12a"/>
      </w:pPr>
      <w:r w:rsidRPr="009A5715">
        <w:t>B.</w:t>
      </w:r>
      <w:r w:rsidRPr="009A5715">
        <w:tab/>
        <w:t>overwegende dat het ontwerp van gewijzigde begroting nr. 5/2024 de uitgaven met 44,5 miljoen EUR aan vastleggingskredieten en 2,95 miljard EUR aan betalingskredieten verhoogt; overwegende dat met het oog op het ontbreken van beschikbare marges in de rubrieken 2b, 5 en 7 van het meerjarig financieel kader (MFK) wordt voorgesteld nog eens 7,2 miljoen EUR beschikbaar te stellen uit het flexibiliteitsinstrument en nog eens 68,5 miljoen EUR te gebruiken uit compartiment a) van het enkelvoudig marge-instrument;</w:t>
      </w:r>
    </w:p>
    <w:p w:rsidR="002A6E42" w:rsidRPr="009A5715" w:rsidRDefault="002A6E42" w:rsidP="002A6E42">
      <w:pPr>
        <w:pStyle w:val="NormalHanging12a"/>
      </w:pPr>
      <w:r w:rsidRPr="009A5715">
        <w:t>C.</w:t>
      </w:r>
      <w:r w:rsidRPr="009A5715">
        <w:tab/>
        <w:t>overwegende dat voor de begroting van 2024 aan de ontvangstenzijde het ontwerp van gewijzigde begroting nr. 5/2024 de tot oktober 2024 betaalde definitieve boeten en dwangsommen omvat voor een totaalbedrag van 2,82 miljard EUR, wat betekent dat aanvullende bni-bijdragen van 139,9 miljoen EUR nodig zijn om aan de betalingsbehoeften te voldoen;</w:t>
      </w:r>
    </w:p>
    <w:p w:rsidR="002A6E42" w:rsidRPr="009A5715" w:rsidRDefault="002A6E42" w:rsidP="002A6E42">
      <w:pPr>
        <w:pStyle w:val="NormalHanging12a"/>
      </w:pPr>
      <w:r w:rsidRPr="009A5715">
        <w:t>D.</w:t>
      </w:r>
      <w:r w:rsidRPr="009A5715">
        <w:tab/>
        <w:t>overwegende dat het ontwerp van gewijzigde begroting nr. 5/2024 ook voorziet in nieuwe begrotingslijnen voor ontvangsten en uitgaven voor het samenwerkingsmechanisme voor leningen aan Oekraïne, in het kader waarvan steun zal worden verleend door middel van leningen waarvan de dekking van kosten en de terugbetaling worden verzekerd door toekomstige stromen van de opbrengsten uit geïmmobiliseerde Russische staatsactiva;</w:t>
      </w:r>
    </w:p>
    <w:p w:rsidR="002A6E42" w:rsidRPr="009A5715" w:rsidRDefault="002A6E42" w:rsidP="002A6E42">
      <w:pPr>
        <w:pStyle w:val="NormalHanging12a"/>
      </w:pPr>
      <w:r w:rsidRPr="009A5715">
        <w:t>1.</w:t>
      </w:r>
      <w:r w:rsidRPr="009A5715">
        <w:tab/>
        <w:t>neemt kennis van het ontwerp van gewijzigde begroting nr. 5/2024 zoals ingediend door de Commissie;</w:t>
      </w:r>
    </w:p>
    <w:p w:rsidR="002A6E42" w:rsidRPr="009A5715" w:rsidRDefault="002A6E42" w:rsidP="002A6E42">
      <w:pPr>
        <w:pStyle w:val="NormalHanging12a"/>
      </w:pPr>
      <w:r w:rsidRPr="009A5715">
        <w:t>2.</w:t>
      </w:r>
      <w:r w:rsidRPr="009A5715">
        <w:tab/>
        <w:t xml:space="preserve">verwelkomt de toegenomen betalingsbehoeften voor het Europees Fonds voor regionale ontwikkeling (EFRO), in combinatie met die voor het gemeenschappelijk landbouwbeleid in het kader van de algemene overschrijving (DEC 11/24), als teken dat </w:t>
      </w:r>
      <w:r w:rsidRPr="009A5715">
        <w:lastRenderedPageBreak/>
        <w:t>de uitvoering van het programma’s na een zorgwekkend trage start in de periode 2021-2027 sneller verloopt;</w:t>
      </w:r>
    </w:p>
    <w:p w:rsidR="002A6E42" w:rsidRPr="009A5715" w:rsidRDefault="002A6E42" w:rsidP="002A6E42">
      <w:pPr>
        <w:pStyle w:val="NormalHanging12a"/>
      </w:pPr>
      <w:r w:rsidRPr="009A5715">
        <w:t>3.</w:t>
      </w:r>
      <w:r w:rsidRPr="009A5715">
        <w:tab/>
        <w:t>is verheugd dat wijzigingen in de regels die zijn ingevoerd met het platform voor strategische technologieën voor Europa (STEP), met uitzonderlijke voorfinanciering en vrijwillige medefinanciering ten belope van 100 %, een positief effect hebben gehad op de uitvoering van het EFRO, wat betekent dat de lidstaten geld besteden aan STEP-doelstellingen; is voorts van mening dat de verhoging van de betalingen in 2024 de druk op de betalingen tussen 2025 en 2027 zou moeten helpen verlichten;</w:t>
      </w:r>
    </w:p>
    <w:p w:rsidR="002A6E42" w:rsidRPr="009A5715" w:rsidRDefault="002A6E42" w:rsidP="002A6E42">
      <w:pPr>
        <w:pStyle w:val="NormalHanging12a"/>
      </w:pPr>
      <w:r w:rsidRPr="009A5715">
        <w:t>4.</w:t>
      </w:r>
      <w:r w:rsidRPr="009A5715">
        <w:tab/>
        <w:t>merkt op dat de toegenomen betalingsbehoeften bijna volledig worden gedekt door inkomsten uit boetes en dwangsommen, met name de mededingingsboete van 2,4 miljard EUR die Google wegens inbreuken op de mededingingsregels is opgelegd;</w:t>
      </w:r>
    </w:p>
    <w:p w:rsidR="002A6E42" w:rsidRPr="009A5715" w:rsidRDefault="002A6E42" w:rsidP="002A6E42">
      <w:pPr>
        <w:pStyle w:val="NormalHanging12a"/>
      </w:pPr>
      <w:r w:rsidRPr="009A5715">
        <w:t>5.</w:t>
      </w:r>
      <w:r w:rsidRPr="009A5715">
        <w:tab/>
        <w:t>wijst erop dat er duurzame ontvangsten op de lange termijn nodig zijn voor de begroting van de Unie, die de afgelopen jaren zwaar onder druk heeft gestaan om diverse crises het hoofd te bieden; betreurt het daarom dat de Raad geen vooruitgang heeft geboekt met de hervorming van het eigenmiddelenstelsel, in overeenstemming met de routekaart in het Interinstitutioneel Akkoord; verwijst naar zijn standpunt ten gunste van de gewijzigde voorstellen van de Commissie en dringt er bij de Raad en de lidstaten op aan die voorstellen snel goed te keuren om de eigen middelen voor de Uniebegroting te verhogen; herinnert aan zijn gevestigde standpunt dat boeten en vergoedingen moeten worden gebruikt als aanvullende ontvangsten voor de begroting van de Unie;</w:t>
      </w:r>
    </w:p>
    <w:p w:rsidR="002A6E42" w:rsidRPr="009A5715" w:rsidRDefault="002A6E42" w:rsidP="002A6E42">
      <w:pPr>
        <w:pStyle w:val="NormalHanging12a"/>
      </w:pPr>
      <w:r w:rsidRPr="009A5715">
        <w:t>6.</w:t>
      </w:r>
      <w:r w:rsidRPr="009A5715">
        <w:tab/>
        <w:t>is ingenomen met de opname van begrotingslijnen voor inkomsten en uitgaven voor het samenwerkingsmechanisme voor leningen aan Oekraïne; benadrukt het belang van duurzame financiële steun aan Oekraïne in een context waarin de financiering in het kader van de faciliteit voor Oekraïne en de bestaande regelingen voor macrofinanciële bijstand (MFB) niet aan de behoeften voldoet;</w:t>
      </w:r>
    </w:p>
    <w:p w:rsidR="002A6E42" w:rsidRPr="009A5715" w:rsidRDefault="002A6E42" w:rsidP="002A6E42">
      <w:pPr>
        <w:pStyle w:val="NormalHanging12a"/>
      </w:pPr>
      <w:r w:rsidRPr="009A5715">
        <w:t>7.</w:t>
      </w:r>
      <w:r w:rsidRPr="009A5715">
        <w:tab/>
        <w:t>wijst erop dat aanvullende MFB-leningen zullen worden gedekt door de marge op de begroting en herhaalt zijn verzoek aan de Commissie om de begrotingsautoriteit nadere gegevens te verstrekken over de samenvoeging van verplichtingen die gedekt moeten worden door de marge, die afhankelijk is van opgenomen en verstrekte leningen; verwacht van de Commissie dat zij het Parlement en de Raad alle nodige informatie verstrekt overeenkomstig haar verklaring bij Verordening (EU) 2024/2773 van het Europees Parlement en de Raad</w:t>
      </w:r>
      <w:r w:rsidRPr="009A5715">
        <w:rPr>
          <w:rStyle w:val="FootnoteReference"/>
          <w:bCs/>
          <w:color w:val="333333"/>
          <w:shd w:val="clear" w:color="auto" w:fill="FFFFFF"/>
        </w:rPr>
        <w:footnoteReference w:id="6"/>
      </w:r>
      <w:r w:rsidRPr="009A5715">
        <w:t>;</w:t>
      </w:r>
    </w:p>
    <w:p w:rsidR="002A6E42" w:rsidRPr="009A5715" w:rsidRDefault="002A6E42" w:rsidP="002A6E42">
      <w:pPr>
        <w:pStyle w:val="NormalHanging12a"/>
      </w:pPr>
      <w:r w:rsidRPr="009A5715">
        <w:t>8.</w:t>
      </w:r>
      <w:r w:rsidRPr="009A5715">
        <w:tab/>
        <w:t>neemt kennis van de hoger dan begrote salarisaanpassing voor 2024, die gevolgen heeft voor zowel de bezoldigingen als de pensioenen, waarbij het aantal nieuwe gepensioneerden in 2024 hoger uitvalt dan verwacht, waardoor de pensioenkosten verder stijgen; is ingenomen met het feit dat bijna alle bijkomende kosten voor alle instellingen zijn gedekt door interne herschikkingen en dat het gebruik van het enkelvoudig marge-instrument daarom beperkt is;</w:t>
      </w:r>
    </w:p>
    <w:p w:rsidR="002A6E42" w:rsidRPr="009A5715" w:rsidRDefault="002A6E42" w:rsidP="002A6E42">
      <w:pPr>
        <w:pStyle w:val="NormalHanging12a"/>
      </w:pPr>
      <w:r w:rsidRPr="009A5715">
        <w:t>9.</w:t>
      </w:r>
      <w:r w:rsidRPr="009A5715">
        <w:tab/>
        <w:t xml:space="preserve">benadrukt dat de salarisaanpassing ook gevolgen heeft voor gedecentraliseerde </w:t>
      </w:r>
      <w:r w:rsidRPr="009A5715">
        <w:lastRenderedPageBreak/>
        <w:t>agentschappen, die te kampen hebben met inflatie boven de deflator van 2 % waardoor hun jaarlijkse begroting stijgt, en met name voor zover de personeels- en exploitatiekosten een groot deel van hun uitgaven uitmaken; verwelkomt het feit dat de bijdrage van de Unie voor agentschappen die de middelen niet via herschikkingen konden vinden, met 1,7 % is gestegen; wijst er nogmaals op dat de huidige wijze waarop de begrotingen van gedecentraliseerde agentschappen worden behandeld door de Commissie moet worden heroverwogen in het kader van haar voorbereidingen voor het MFK voor de periode na 2027;</w:t>
      </w:r>
    </w:p>
    <w:p w:rsidR="002A6E42" w:rsidRPr="009A5715" w:rsidRDefault="002A6E42" w:rsidP="002A6E42">
      <w:pPr>
        <w:pStyle w:val="NormalHanging12a"/>
      </w:pPr>
      <w:r w:rsidRPr="009A5715">
        <w:t>10.</w:t>
      </w:r>
      <w:r w:rsidRPr="009A5715">
        <w:tab/>
        <w:t>wijst op de verhoging van de kredieten voor het Agentschap van de Europese Unie voor het operationeel beheer van grootschalige IT-systemen op het gebied van vrijheid, veiligheid en recht (eu-LISA) ter dekking van de stijgende kosten, maar maakt ook zich zorgen over de overeenkomstige verlaging van de kredieten voor het Asielagentschap van de Europese Unie (EUAA); is ingenomen met het feit dat het EUAA in het kader van de tussentijdse herziening van het MFK is versterkt om het in staat te stellen nieuwe taken uit te voeren met betrekking tot de uitvoering van het migratie- en asielpact; verzoekt de Commissie nauw samen te werken met beide agentschappen om ervoor te zorgen dat ze zijn toegerust om hun taken volledig uit te voeren en de extra kredieten die hun zijn toegekend te absorberen;</w:t>
      </w:r>
    </w:p>
    <w:p w:rsidR="002A6E42" w:rsidRPr="009A5715" w:rsidRDefault="002A6E42" w:rsidP="002A6E42">
      <w:pPr>
        <w:pStyle w:val="NormalHanging12a"/>
      </w:pPr>
      <w:r w:rsidRPr="009A5715">
        <w:t>11.</w:t>
      </w:r>
      <w:r w:rsidRPr="009A5715">
        <w:tab/>
        <w:t>is ingenomen met de verhoging van de kredieten voor het Agentschap van de Europese Unie voor opleiding op het gebied van rechtshandhaving (Cepol) in 2024, in de nasleep van de cyberaanval op het agentschap in juni 2024; benadrukt dat er lering uit moet worden getrokken en dat de cyberbeveiligingsdienst voor de instellingen, organen en instanties van de Unie (CERT-EU) andere agentschappen en instellingen verdere technische ondersteuning moet bieden gezien de ernstige bedreigingen van de cyberveiligheid, teneinde te voorkomen dat een eventuele volgende aanval de agentschappen of instellingen van de Unie in gevaar brengt;</w:t>
      </w:r>
    </w:p>
    <w:p w:rsidR="002A6E42" w:rsidRPr="009A5715" w:rsidRDefault="002A6E42" w:rsidP="002A6E42">
      <w:pPr>
        <w:pStyle w:val="NormalHanging12a"/>
      </w:pPr>
      <w:r w:rsidRPr="009A5715">
        <w:t>12.</w:t>
      </w:r>
      <w:r w:rsidRPr="009A5715">
        <w:tab/>
        <w:t>benadrukt het belang van de onlangs opgerichte antiwitwasautoriteit binnen het herziene antiwitwaskader op Unieniveau; is daarom ernstig bezorgd over de vertragingen in de opstartfase, met name wat betreft de aanwerving;</w:t>
      </w:r>
    </w:p>
    <w:p w:rsidR="002A6E42" w:rsidRPr="009A5715" w:rsidRDefault="002A6E42" w:rsidP="002A6E42">
      <w:pPr>
        <w:pStyle w:val="NormalHanging12a"/>
      </w:pPr>
      <w:r w:rsidRPr="009A5715">
        <w:t>13.</w:t>
      </w:r>
      <w:r w:rsidRPr="009A5715">
        <w:tab/>
        <w:t>verwelkomt het feit dat het herschikte Financieel Reglement, dat nu van kracht is, de mogelijkheid biedt negatieve inkomsten in de begroting op te nemen voor de betaling van compenserende rente in verloren rechtszaken; merkt op dat de Commissie momenteel het precieze bedrag van deze rente vaststelt en verzoekt de Commissie deze informatie zo spoedig mogelijk in 2025 aan de begrotingsautoriteit te verstrekken;</w:t>
      </w:r>
    </w:p>
    <w:p w:rsidR="002A6E42" w:rsidRPr="009A5715" w:rsidRDefault="002A6E42" w:rsidP="002A6E42">
      <w:pPr>
        <w:pStyle w:val="NormalHanging12a"/>
      </w:pPr>
      <w:r w:rsidRPr="009A5715">
        <w:t>14.</w:t>
      </w:r>
      <w:r w:rsidRPr="009A5715">
        <w:tab/>
        <w:t>keurt het standpunt van de Raad inzake het ontwerp van gewijzigde begroting nr. 5/2024 goed;</w:t>
      </w:r>
    </w:p>
    <w:p w:rsidR="002A6E42" w:rsidRPr="009A5715" w:rsidRDefault="002A6E42" w:rsidP="002A6E42">
      <w:pPr>
        <w:pStyle w:val="NormalHanging12a"/>
      </w:pPr>
      <w:r w:rsidRPr="009A5715">
        <w:t>15.</w:t>
      </w:r>
      <w:r w:rsidRPr="009A5715">
        <w:tab/>
        <w:t xml:space="preserve">verzoekt zijn Voorzitter te constateren dat de gewijzigde begroting nr. 5/2024 definitief is vastgesteld en zorg te dragen voor bekendmaking ervan in het </w:t>
      </w:r>
      <w:r w:rsidRPr="009A5715">
        <w:rPr>
          <w:i/>
        </w:rPr>
        <w:t>Publicatieblad van de Europese Unie</w:t>
      </w:r>
      <w:r w:rsidRPr="009A5715">
        <w:t>;</w:t>
      </w:r>
    </w:p>
    <w:p w:rsidR="00895F2F" w:rsidRPr="009A5715" w:rsidRDefault="002A6E42" w:rsidP="00895F2F">
      <w:pPr>
        <w:pStyle w:val="NormalHanging12a"/>
      </w:pPr>
      <w:r w:rsidRPr="009A5715">
        <w:t>16.</w:t>
      </w:r>
      <w:r w:rsidRPr="009A5715">
        <w:tab/>
        <w:t>verzoekt zijn Voorzitter deze resolutie te doen toekomen aan de Raad en de Commissie, alsmede aan de nationale parlementen.</w:t>
      </w:r>
    </w:p>
    <w:p w:rsidR="00E365E1" w:rsidRPr="009A5715" w:rsidRDefault="00E365E1" w:rsidP="00D73021"/>
    <w:sectPr w:rsidR="00E365E1" w:rsidRPr="009A5715" w:rsidSect="00895F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021" w:rsidRPr="00895F2F" w:rsidRDefault="00D73021">
      <w:r w:rsidRPr="00895F2F">
        <w:separator/>
      </w:r>
    </w:p>
  </w:endnote>
  <w:endnote w:type="continuationSeparator" w:id="0">
    <w:p w:rsidR="00D73021" w:rsidRPr="00895F2F" w:rsidRDefault="00D73021">
      <w:r w:rsidRPr="00895F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5F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5F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5F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021" w:rsidRPr="00895F2F" w:rsidRDefault="00D73021">
      <w:r w:rsidRPr="00895F2F">
        <w:separator/>
      </w:r>
    </w:p>
  </w:footnote>
  <w:footnote w:type="continuationSeparator" w:id="0">
    <w:p w:rsidR="00D73021" w:rsidRPr="00895F2F" w:rsidRDefault="00D73021">
      <w:r w:rsidRPr="00895F2F">
        <w:continuationSeparator/>
      </w:r>
    </w:p>
  </w:footnote>
  <w:footnote w:id="1">
    <w:p w:rsidR="002A6E42" w:rsidRPr="00C60037" w:rsidRDefault="002A6E42" w:rsidP="00895F2F">
      <w:pPr>
        <w:pStyle w:val="FootnoteText"/>
        <w:ind w:left="567" w:hanging="567"/>
        <w:rPr>
          <w:sz w:val="24"/>
          <w:lang w:val="da-DK"/>
        </w:rPr>
      </w:pPr>
      <w:r w:rsidRPr="00895F2F">
        <w:rPr>
          <w:rStyle w:val="FootnoteReference"/>
          <w:sz w:val="24"/>
          <w:lang w:val="nl-NL"/>
        </w:rPr>
        <w:footnoteRef/>
      </w:r>
      <w:r w:rsidR="00895F2F" w:rsidRPr="00C60037">
        <w:rPr>
          <w:sz w:val="24"/>
          <w:lang w:val="da-DK"/>
        </w:rPr>
        <w:tab/>
      </w:r>
      <w:r w:rsidRPr="00C60037">
        <w:rPr>
          <w:sz w:val="24"/>
          <w:lang w:val="da-DK"/>
        </w:rPr>
        <w:t xml:space="preserve">PB L, 2024/2509, 26.9.2024, </w:t>
      </w:r>
      <w:hyperlink r:id="rId1" w:history="1">
        <w:r w:rsidRPr="00C60037">
          <w:rPr>
            <w:rStyle w:val="Hyperlink"/>
            <w:sz w:val="24"/>
            <w:lang w:val="da-DK"/>
          </w:rPr>
          <w:t>http://data.europa.eu/eli/reg/2024/2509/oj</w:t>
        </w:r>
      </w:hyperlink>
      <w:r w:rsidRPr="00C60037">
        <w:rPr>
          <w:sz w:val="24"/>
          <w:lang w:val="da-DK"/>
        </w:rPr>
        <w:t>.</w:t>
      </w:r>
    </w:p>
  </w:footnote>
  <w:footnote w:id="2">
    <w:p w:rsidR="002A6E42" w:rsidRPr="00C60037" w:rsidRDefault="002A6E42" w:rsidP="00895F2F">
      <w:pPr>
        <w:pStyle w:val="FootnoteText"/>
        <w:ind w:left="567" w:hanging="567"/>
        <w:rPr>
          <w:sz w:val="24"/>
          <w:lang w:val="fi-FI"/>
        </w:rPr>
      </w:pPr>
      <w:r w:rsidRPr="00895F2F">
        <w:rPr>
          <w:rStyle w:val="FootnoteReference"/>
          <w:sz w:val="24"/>
          <w:lang w:val="nl-NL"/>
        </w:rPr>
        <w:footnoteRef/>
      </w:r>
      <w:r w:rsidR="00895F2F" w:rsidRPr="00C60037">
        <w:rPr>
          <w:sz w:val="24"/>
          <w:lang w:val="fi-FI"/>
        </w:rPr>
        <w:tab/>
      </w:r>
      <w:r w:rsidRPr="00C60037">
        <w:rPr>
          <w:sz w:val="24"/>
          <w:lang w:val="fi-FI"/>
        </w:rPr>
        <w:t xml:space="preserve">PB L, 2024/207, 22.2.2024, ELI: </w:t>
      </w:r>
      <w:hyperlink r:id="rId2" w:history="1">
        <w:r w:rsidRPr="00C60037">
          <w:rPr>
            <w:rStyle w:val="Hyperlink"/>
            <w:sz w:val="24"/>
            <w:lang w:val="fi-FI"/>
          </w:rPr>
          <w:t>http://data.europa.eu/eli/budget/2024/207/oj</w:t>
        </w:r>
      </w:hyperlink>
      <w:r w:rsidRPr="00C60037">
        <w:rPr>
          <w:sz w:val="24"/>
          <w:lang w:val="fi-FI"/>
        </w:rPr>
        <w:t>.</w:t>
      </w:r>
    </w:p>
  </w:footnote>
  <w:footnote w:id="3">
    <w:p w:rsidR="002A6E42" w:rsidRPr="00C60037" w:rsidRDefault="002A6E42" w:rsidP="00895F2F">
      <w:pPr>
        <w:pStyle w:val="FootnoteText"/>
        <w:ind w:left="567" w:hanging="567"/>
        <w:rPr>
          <w:sz w:val="24"/>
          <w:lang w:val="sv-SE"/>
        </w:rPr>
      </w:pPr>
      <w:r w:rsidRPr="00895F2F">
        <w:rPr>
          <w:rStyle w:val="FootnoteReference"/>
          <w:sz w:val="24"/>
          <w:lang w:val="nl-NL"/>
        </w:rPr>
        <w:footnoteRef/>
      </w:r>
      <w:r w:rsidR="00895F2F" w:rsidRPr="00C60037">
        <w:rPr>
          <w:sz w:val="24"/>
          <w:lang w:val="sv-SE"/>
        </w:rPr>
        <w:tab/>
      </w:r>
      <w:r w:rsidRPr="00C60037">
        <w:rPr>
          <w:sz w:val="24"/>
          <w:lang w:val="sv-SE"/>
        </w:rPr>
        <w:t xml:space="preserve">PB L 433 I van 22.12.2020, blz. 11, ELI: </w:t>
      </w:r>
      <w:hyperlink r:id="rId3" w:history="1">
        <w:r w:rsidRPr="00C60037">
          <w:rPr>
            <w:rStyle w:val="Hyperlink"/>
            <w:sz w:val="24"/>
            <w:lang w:val="sv-SE"/>
          </w:rPr>
          <w:t>http://data.europa.eu/eli/reg/2020/2093/oj</w:t>
        </w:r>
      </w:hyperlink>
      <w:r w:rsidRPr="00C60037">
        <w:rPr>
          <w:sz w:val="24"/>
          <w:lang w:val="sv-SE"/>
        </w:rPr>
        <w:t>.</w:t>
      </w:r>
    </w:p>
  </w:footnote>
  <w:footnote w:id="4">
    <w:p w:rsidR="002A6E42" w:rsidRPr="00C60037" w:rsidRDefault="002A6E42" w:rsidP="00895F2F">
      <w:pPr>
        <w:pStyle w:val="FootnoteText"/>
        <w:ind w:left="567" w:hanging="567"/>
        <w:rPr>
          <w:sz w:val="24"/>
          <w:lang w:val="sv-SE"/>
        </w:rPr>
      </w:pPr>
      <w:r w:rsidRPr="00895F2F">
        <w:rPr>
          <w:rStyle w:val="FootnoteReference"/>
          <w:sz w:val="24"/>
          <w:lang w:val="nl-NL"/>
        </w:rPr>
        <w:footnoteRef/>
      </w:r>
      <w:r w:rsidR="00895F2F" w:rsidRPr="00C60037">
        <w:rPr>
          <w:sz w:val="24"/>
          <w:lang w:val="sv-SE"/>
        </w:rPr>
        <w:tab/>
      </w:r>
      <w:r w:rsidRPr="00C60037">
        <w:rPr>
          <w:sz w:val="24"/>
          <w:lang w:val="sv-SE"/>
        </w:rPr>
        <w:t xml:space="preserve">PB L 433 I van 22.12.2020, blz. 28, ELI: </w:t>
      </w:r>
      <w:hyperlink r:id="rId4" w:history="1">
        <w:r w:rsidRPr="00C60037">
          <w:rPr>
            <w:rStyle w:val="Hyperlink"/>
            <w:sz w:val="24"/>
            <w:lang w:val="sv-SE"/>
          </w:rPr>
          <w:t>http://data.europa.eu/eli/agree_interinstit/2020/1222/oj</w:t>
        </w:r>
      </w:hyperlink>
      <w:r w:rsidR="0074563E" w:rsidRPr="00C60037">
        <w:rPr>
          <w:sz w:val="24"/>
          <w:lang w:val="sv-SE"/>
        </w:rPr>
        <w:t>.</w:t>
      </w:r>
    </w:p>
  </w:footnote>
  <w:footnote w:id="5">
    <w:p w:rsidR="002A6E42" w:rsidRPr="00895F2F" w:rsidRDefault="002A6E42" w:rsidP="00895F2F">
      <w:pPr>
        <w:pStyle w:val="FootnoteText"/>
        <w:ind w:left="567" w:hanging="567"/>
        <w:rPr>
          <w:sz w:val="24"/>
          <w:lang w:val="nl-NL"/>
        </w:rPr>
      </w:pPr>
      <w:r w:rsidRPr="00895F2F">
        <w:rPr>
          <w:rStyle w:val="FootnoteReference"/>
          <w:sz w:val="24"/>
          <w:lang w:val="nl-NL"/>
        </w:rPr>
        <w:footnoteRef/>
      </w:r>
      <w:r w:rsidR="00895F2F" w:rsidRPr="00895F2F">
        <w:rPr>
          <w:sz w:val="24"/>
          <w:lang w:val="nl-NL"/>
        </w:rPr>
        <w:tab/>
      </w:r>
      <w:r w:rsidRPr="00895F2F">
        <w:rPr>
          <w:sz w:val="24"/>
          <w:lang w:val="nl-NL"/>
        </w:rPr>
        <w:t xml:space="preserve">PB L 424 van 15.12.2020, blz. 1, ELI: </w:t>
      </w:r>
      <w:hyperlink r:id="rId5" w:history="1">
        <w:r w:rsidRPr="00895F2F">
          <w:rPr>
            <w:rStyle w:val="Hyperlink"/>
            <w:sz w:val="24"/>
            <w:lang w:val="nl-NL"/>
          </w:rPr>
          <w:t>http://data.europa.eu/eli/dec/2020/2053/oj</w:t>
        </w:r>
      </w:hyperlink>
      <w:r w:rsidRPr="00895F2F">
        <w:rPr>
          <w:sz w:val="24"/>
          <w:lang w:val="nl-NL"/>
        </w:rPr>
        <w:t>.</w:t>
      </w:r>
    </w:p>
  </w:footnote>
  <w:footnote w:id="6">
    <w:p w:rsidR="002A6E42" w:rsidRPr="00895F2F" w:rsidRDefault="002A6E42" w:rsidP="00895F2F">
      <w:pPr>
        <w:pStyle w:val="FootnoteText"/>
        <w:ind w:left="567" w:hanging="567"/>
        <w:rPr>
          <w:sz w:val="24"/>
          <w:lang w:val="nl-NL"/>
        </w:rPr>
      </w:pPr>
      <w:r w:rsidRPr="00895F2F">
        <w:rPr>
          <w:rStyle w:val="FootnoteReference"/>
          <w:sz w:val="24"/>
          <w:lang w:val="nl-NL"/>
        </w:rPr>
        <w:footnoteRef/>
      </w:r>
      <w:r w:rsidR="00895F2F" w:rsidRPr="00895F2F">
        <w:rPr>
          <w:sz w:val="24"/>
          <w:lang w:val="nl-NL"/>
        </w:rPr>
        <w:tab/>
      </w:r>
      <w:r w:rsidRPr="00895F2F">
        <w:rPr>
          <w:sz w:val="24"/>
          <w:lang w:val="nl-NL"/>
        </w:rPr>
        <w:t xml:space="preserve">Verordening (EU) 2024/2773 van het Europees Parlement en de Raad van 24 oktober 2024 tot instelling van het samenwerkingsmechanisme voor leningen aan Oekraïne en tot toekenning van buitengewone macrofinanciële bijstand aan Oekraïne.(PB L, 2024/2773, 28.10.2024, ELI: </w:t>
      </w:r>
      <w:hyperlink r:id="rId6" w:history="1">
        <w:r w:rsidRPr="00895F2F">
          <w:rPr>
            <w:rStyle w:val="Hyperlink"/>
            <w:sz w:val="24"/>
            <w:lang w:val="nl-NL"/>
          </w:rPr>
          <w:t>http://data.europa.eu/eli/reg/2024/2773/oj</w:t>
        </w:r>
      </w:hyperlink>
      <w:r w:rsidRPr="00895F2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5F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5F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5F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NL"/>
    <w:docVar w:name="dvnumam" w:val="0"/>
    <w:docVar w:name="dvpe" w:val="765.136"/>
    <w:docVar w:name="dvrapporteur" w:val="Rapporteur: "/>
    <w:docVar w:name="dvtitre" w:val="Wetgevingsresolutie van het Europees Parlement over het standpunt van de Raad inzake het ontwerp van gewijzigde begroting nr. 5/2024 van de Europese Unie voor het begrotingsjaar 2024 - aanpassing van de betalingskredieten, actualisering van de ontvangsten en andere technische actualiseringen(14477/2024 – C10-0186/2024 – 2024/0252(BUD))"/>
  </w:docVars>
  <w:rsids>
    <w:rsidRoot w:val="00D73021"/>
    <w:rsid w:val="00002272"/>
    <w:rsid w:val="00064002"/>
    <w:rsid w:val="000677B9"/>
    <w:rsid w:val="000831BA"/>
    <w:rsid w:val="000A42CC"/>
    <w:rsid w:val="000E7DD9"/>
    <w:rsid w:val="0010095E"/>
    <w:rsid w:val="00125B37"/>
    <w:rsid w:val="00187494"/>
    <w:rsid w:val="001F32AE"/>
    <w:rsid w:val="002767FF"/>
    <w:rsid w:val="002A6E42"/>
    <w:rsid w:val="002B18FE"/>
    <w:rsid w:val="002B5493"/>
    <w:rsid w:val="00343214"/>
    <w:rsid w:val="00361C00"/>
    <w:rsid w:val="00395FA1"/>
    <w:rsid w:val="003B415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563E"/>
    <w:rsid w:val="00747932"/>
    <w:rsid w:val="00751A4A"/>
    <w:rsid w:val="00756632"/>
    <w:rsid w:val="00762C74"/>
    <w:rsid w:val="007739D6"/>
    <w:rsid w:val="00786EC0"/>
    <w:rsid w:val="007D1690"/>
    <w:rsid w:val="007E22AD"/>
    <w:rsid w:val="00817416"/>
    <w:rsid w:val="00842779"/>
    <w:rsid w:val="00865F67"/>
    <w:rsid w:val="00881A7B"/>
    <w:rsid w:val="008840E5"/>
    <w:rsid w:val="00887B3E"/>
    <w:rsid w:val="00895F2F"/>
    <w:rsid w:val="008C2AC6"/>
    <w:rsid w:val="00930C23"/>
    <w:rsid w:val="0093193B"/>
    <w:rsid w:val="009509D8"/>
    <w:rsid w:val="00950B64"/>
    <w:rsid w:val="00981893"/>
    <w:rsid w:val="009A5715"/>
    <w:rsid w:val="00A1687D"/>
    <w:rsid w:val="00A203F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037"/>
    <w:rsid w:val="00C61C0C"/>
    <w:rsid w:val="00C941CB"/>
    <w:rsid w:val="00CC2357"/>
    <w:rsid w:val="00CD0855"/>
    <w:rsid w:val="00CF071A"/>
    <w:rsid w:val="00D058B8"/>
    <w:rsid w:val="00D56C11"/>
    <w:rsid w:val="00D7302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55499"/>
  <w15:chartTrackingRefBased/>
  <w15:docId w15:val="{713846DE-9544-48E5-8ABD-A6D88A70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6E42"/>
    <w:pPr>
      <w:spacing w:before="480" w:after="240"/>
    </w:pPr>
  </w:style>
  <w:style w:type="paragraph" w:customStyle="1" w:styleId="NormalHanging12a">
    <w:name w:val="NormalHanging12a"/>
    <w:basedOn w:val="Normal"/>
    <w:rsid w:val="002A6E42"/>
    <w:pPr>
      <w:spacing w:after="240"/>
      <w:ind w:left="567" w:hanging="567"/>
    </w:pPr>
  </w:style>
  <w:style w:type="character" w:styleId="Hyperlink">
    <w:name w:val="Hyperlink"/>
    <w:basedOn w:val="DefaultParagraphFont"/>
    <w:uiPriority w:val="99"/>
    <w:rsid w:val="002A6E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057CA-7D4E-4933-98BB-ACBF8A07A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1532</Words>
  <Characters>8849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2025-02-10T13:22:00Z</dcterms:created>
  <dcterms:modified xsi:type="dcterms:W3CDTF">2025-02-10T13:22:00Z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P10_TA(2024)0049_</vt:lpwstr>
  </property>
  <property fmtid="{D5CDD505-2E9C-101B-9397-08002B2CF9AE}" pid="4" name="&lt;Type&gt;">
    <vt:lpwstr>RR</vt:lpwstr>
  </property>
</Properties>
</file>