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3A7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3A71" w:rsidRDefault="00646D15" w:rsidP="0010095E">
            <w:pPr>
              <w:pStyle w:val="EPName"/>
            </w:pPr>
            <w:r w:rsidRPr="000F3A71">
              <w:t>Parlament Europejski</w:t>
            </w:r>
          </w:p>
          <w:p w:rsidR="00751A4A" w:rsidRPr="000F3A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3A71">
              <w:t>2024</w:t>
            </w:r>
            <w:r w:rsidR="00817416" w:rsidRPr="000F3A71">
              <w:t>-202</w:t>
            </w:r>
            <w:r w:rsidRPr="000F3A7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F3A71" w:rsidRDefault="00187494" w:rsidP="0010095E">
            <w:pPr>
              <w:pStyle w:val="EPLogo"/>
            </w:pPr>
            <w:r w:rsidRPr="000F3A7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3A71" w:rsidRDefault="00D058B8" w:rsidP="004C5D52">
      <w:pPr>
        <w:pStyle w:val="LineTop"/>
      </w:pPr>
    </w:p>
    <w:p w:rsidR="00680577" w:rsidRPr="000F3A71" w:rsidRDefault="00646D15" w:rsidP="00680577">
      <w:pPr>
        <w:pStyle w:val="EPBodyTA1"/>
      </w:pPr>
      <w:r w:rsidRPr="000F3A71">
        <w:t>TEKSTY PRZYJĘTE</w:t>
      </w:r>
    </w:p>
    <w:p w:rsidR="00D058B8" w:rsidRPr="000F3A71" w:rsidRDefault="00D058B8" w:rsidP="00D058B8">
      <w:pPr>
        <w:pStyle w:val="LineBottom"/>
      </w:pPr>
    </w:p>
    <w:p w:rsidR="00646D15" w:rsidRPr="000F3A71" w:rsidRDefault="00646D15" w:rsidP="00646D15">
      <w:pPr>
        <w:pStyle w:val="ATHeading1"/>
      </w:pPr>
      <w:bookmarkStart w:id="0" w:name="TANumber"/>
      <w:r w:rsidRPr="000F3A71">
        <w:t>P10_TA(2024)00</w:t>
      </w:r>
      <w:bookmarkEnd w:id="0"/>
      <w:r w:rsidR="00900F12">
        <w:t>49</w:t>
      </w:r>
    </w:p>
    <w:p w:rsidR="00646D15" w:rsidRPr="000F3A71" w:rsidRDefault="00646D15" w:rsidP="00646D15">
      <w:pPr>
        <w:pStyle w:val="ATHeading2"/>
      </w:pPr>
      <w:bookmarkStart w:id="1" w:name="title"/>
      <w:r w:rsidRPr="000F3A71">
        <w:t>Projekt budżetu korygującego nr 5 do budżetu ogólnego na 2024 r.: Dostosowanie środków na płatności,</w:t>
      </w:r>
      <w:r w:rsidR="007A5CD0">
        <w:t xml:space="preserve"> </w:t>
      </w:r>
      <w:r w:rsidRPr="000F3A71">
        <w:t>aktualizacja dochodów i inne aktualizacje techniczne</w:t>
      </w:r>
      <w:bookmarkEnd w:id="1"/>
    </w:p>
    <w:p w:rsidR="00646D15" w:rsidRPr="000F3A71" w:rsidRDefault="00646D15" w:rsidP="00646D15">
      <w:pPr>
        <w:rPr>
          <w:i/>
          <w:vanish/>
        </w:rPr>
      </w:pPr>
      <w:r w:rsidRPr="000F3A71">
        <w:rPr>
          <w:i/>
        </w:rPr>
        <w:fldChar w:fldCharType="begin"/>
      </w:r>
      <w:r w:rsidRPr="000F3A71">
        <w:rPr>
          <w:i/>
        </w:rPr>
        <w:instrText xml:space="preserve"> TC"(</w:instrText>
      </w:r>
      <w:bookmarkStart w:id="2" w:name="DocNumber"/>
      <w:r w:rsidRPr="000F3A71">
        <w:rPr>
          <w:i/>
        </w:rPr>
        <w:instrText>A10-0017/2024</w:instrText>
      </w:r>
      <w:bookmarkEnd w:id="2"/>
      <w:r w:rsidRPr="000F3A71">
        <w:rPr>
          <w:i/>
        </w:rPr>
        <w:instrText xml:space="preserve"> - Sprawozdawca: Siegfried Mureşan)"\l3 \n&gt; \* MERGEFORMAT </w:instrText>
      </w:r>
      <w:r w:rsidRPr="000F3A71">
        <w:rPr>
          <w:i/>
        </w:rPr>
        <w:fldChar w:fldCharType="end"/>
      </w:r>
    </w:p>
    <w:p w:rsidR="00646D15" w:rsidRPr="000F3A71" w:rsidRDefault="00646D15" w:rsidP="00646D15">
      <w:pPr>
        <w:rPr>
          <w:vanish/>
        </w:rPr>
      </w:pPr>
      <w:bookmarkStart w:id="3" w:name="Commission"/>
      <w:r w:rsidRPr="000F3A71">
        <w:rPr>
          <w:vanish/>
        </w:rPr>
        <w:t>Komisja Budżetowa</w:t>
      </w:r>
      <w:bookmarkEnd w:id="3"/>
    </w:p>
    <w:p w:rsidR="00646D15" w:rsidRPr="000F3A71" w:rsidRDefault="00646D15" w:rsidP="00646D15">
      <w:pPr>
        <w:rPr>
          <w:vanish/>
        </w:rPr>
      </w:pPr>
      <w:bookmarkStart w:id="4" w:name="PE"/>
      <w:r w:rsidRPr="000F3A71">
        <w:rPr>
          <w:vanish/>
        </w:rPr>
        <w:t>PE765.136</w:t>
      </w:r>
      <w:bookmarkEnd w:id="4"/>
    </w:p>
    <w:p w:rsidR="00646D15" w:rsidRPr="000F3A71" w:rsidRDefault="00646D15" w:rsidP="00646D15">
      <w:pPr>
        <w:pStyle w:val="ATHeading3"/>
      </w:pPr>
      <w:bookmarkStart w:id="5" w:name="Sujet"/>
      <w:r w:rsidRPr="000F3A71">
        <w:t xml:space="preserve">Rezolucja Parlamentu Europejskiego z dnia </w:t>
      </w:r>
      <w:r w:rsidR="007A5CD0">
        <w:t>27 listopada</w:t>
      </w:r>
      <w:r w:rsidRPr="000F3A71">
        <w:t xml:space="preserve"> 2024 r. w sprawie stanowiska Rady dotyczącego projektu budżetu korygującego Unii Europejskiej nr 5/2024 na rok budżetowy 2024 – dostosowanie środków na płatności, aktualizacja dochodów i inne aktualizacje techniczne</w:t>
      </w:r>
      <w:bookmarkEnd w:id="5"/>
      <w:r w:rsidRPr="000F3A71">
        <w:t xml:space="preserve"> </w:t>
      </w:r>
      <w:bookmarkStart w:id="6" w:name="References"/>
      <w:r w:rsidRPr="000F3A71">
        <w:t>(14477/2024 – C10-0186/2024 – 2024/0252(BUD))</w:t>
      </w:r>
      <w:bookmarkEnd w:id="6"/>
    </w:p>
    <w:p w:rsidR="00E45D55" w:rsidRPr="000F3A71" w:rsidRDefault="00E45D55" w:rsidP="00E45D55">
      <w:pPr>
        <w:pStyle w:val="EPComma"/>
      </w:pPr>
      <w:bookmarkStart w:id="7" w:name="TextBodyBegin"/>
      <w:bookmarkEnd w:id="7"/>
      <w:r w:rsidRPr="000F3A71">
        <w:rPr>
          <w:i/>
        </w:rPr>
        <w:t>Parlament Europejski</w:t>
      </w:r>
      <w:r w:rsidRPr="000F3A71">
        <w:t>,</w:t>
      </w:r>
      <w:bookmarkStart w:id="8" w:name="_GoBack"/>
      <w:bookmarkEnd w:id="8"/>
    </w:p>
    <w:p w:rsidR="00E45D55" w:rsidRPr="000F3A71" w:rsidRDefault="00E45D55" w:rsidP="00E45D55">
      <w:pPr>
        <w:pStyle w:val="NormalHanging12a"/>
      </w:pPr>
      <w:r w:rsidRPr="000F3A71">
        <w:t>–</w:t>
      </w:r>
      <w:r w:rsidRPr="000F3A71">
        <w:tab/>
        <w:t>uwzględniając art. 314 Traktatu o funkcjonowaniu Unii Europejskiej,</w:t>
      </w:r>
    </w:p>
    <w:p w:rsidR="00E45D55" w:rsidRPr="000F3A71" w:rsidRDefault="00E45D55" w:rsidP="00E45D55">
      <w:pPr>
        <w:pStyle w:val="NormalHanging12a"/>
      </w:pPr>
      <w:r w:rsidRPr="000F3A71">
        <w:t>–</w:t>
      </w:r>
      <w:r w:rsidRPr="000F3A71">
        <w:tab/>
        <w:t>uwzględniając art. 106a Traktatu ustanawiającego Europejską Wspólnotę Energii Atomowej,</w:t>
      </w:r>
    </w:p>
    <w:p w:rsidR="00E45D55" w:rsidRPr="000F3A71" w:rsidRDefault="00E45D55" w:rsidP="00E45D55">
      <w:pPr>
        <w:pStyle w:val="NormalHanging12a"/>
      </w:pPr>
      <w:r w:rsidRPr="000F3A71">
        <w:t>–</w:t>
      </w:r>
      <w:r w:rsidRPr="000F3A71">
        <w:tab/>
        <w:t xml:space="preserve">uwzględniając rozporządzenie Parlamentu Europejskiego i Rady (UE, </w:t>
      </w:r>
      <w:proofErr w:type="spellStart"/>
      <w:r w:rsidRPr="000F3A71">
        <w:t>Euratom</w:t>
      </w:r>
      <w:proofErr w:type="spellEnd"/>
      <w:r w:rsidRPr="000F3A71">
        <w:t>) 2024/2509 z dnia 23 września 2024 r. w sprawie zasad finansowych mających zastosowanie do budżetu ogólnego Unii</w:t>
      </w:r>
      <w:r w:rsidRPr="000F3A71">
        <w:rPr>
          <w:rStyle w:val="FootnoteReference"/>
        </w:rPr>
        <w:footnoteReference w:id="1"/>
      </w:r>
      <w:r w:rsidRPr="000F3A71">
        <w:t>, w szczególności jego art. 44,</w:t>
      </w:r>
    </w:p>
    <w:p w:rsidR="00E45D55" w:rsidRPr="000F3A71" w:rsidRDefault="00E45D55" w:rsidP="00E45D55">
      <w:pPr>
        <w:pStyle w:val="NormalHanging12a"/>
      </w:pPr>
      <w:r w:rsidRPr="000F3A71">
        <w:t>–</w:t>
      </w:r>
      <w:r w:rsidRPr="000F3A71">
        <w:tab/>
        <w:t>uwzględniając budżet ogólny Unii Europejskiej na rok budżetowy 2024 w formie przyjętej ostatecznie w dniu 22 listopada 2023 r.</w:t>
      </w:r>
      <w:r w:rsidRPr="000F3A71">
        <w:rPr>
          <w:rStyle w:val="FootnoteReference"/>
        </w:rPr>
        <w:footnoteReference w:id="2"/>
      </w:r>
      <w:r w:rsidRPr="000F3A71">
        <w:t>,</w:t>
      </w:r>
    </w:p>
    <w:p w:rsidR="00E45D55" w:rsidRPr="000F3A71" w:rsidRDefault="00E45D55" w:rsidP="00E45D55">
      <w:pPr>
        <w:pStyle w:val="NormalHanging12a"/>
      </w:pPr>
      <w:r w:rsidRPr="000F3A71">
        <w:t>–</w:t>
      </w:r>
      <w:r w:rsidRPr="000F3A71">
        <w:tab/>
        <w:t xml:space="preserve">uwzględniając rozporządzenie Rady (UE, </w:t>
      </w:r>
      <w:proofErr w:type="spellStart"/>
      <w:r w:rsidRPr="000F3A71">
        <w:t>Euratom</w:t>
      </w:r>
      <w:proofErr w:type="spellEnd"/>
      <w:r w:rsidRPr="000F3A71">
        <w:t>) 2020/2093 z dnia 17 grudnia 2020 r. określające wieloletnie ramy finansowe na lata 2021–2027</w:t>
      </w:r>
      <w:r w:rsidRPr="000F3A71">
        <w:rPr>
          <w:rStyle w:val="FootnoteReference"/>
        </w:rPr>
        <w:footnoteReference w:id="3"/>
      </w:r>
      <w:r w:rsidRPr="000F3A71">
        <w:t>,</w:t>
      </w:r>
    </w:p>
    <w:p w:rsidR="00E45D55" w:rsidRPr="000F3A71" w:rsidRDefault="00E45D55" w:rsidP="00E45D55">
      <w:pPr>
        <w:pStyle w:val="NormalHanging12a"/>
      </w:pPr>
      <w:r w:rsidRPr="000F3A71">
        <w:t>–</w:t>
      </w:r>
      <w:r w:rsidRPr="000F3A71">
        <w:tab/>
        <w:t xml:space="preserve">uwzględniając porozumienie międzyinstytucjonalne z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0F3A71">
        <w:lastRenderedPageBreak/>
        <w:t>wprowadzania nowych zasobów własnych</w:t>
      </w:r>
      <w:r w:rsidRPr="000F3A71">
        <w:rPr>
          <w:rStyle w:val="FootnoteReference"/>
        </w:rPr>
        <w:footnoteReference w:id="4"/>
      </w:r>
      <w:r w:rsidRPr="000F3A71">
        <w:t>,</w:t>
      </w:r>
    </w:p>
    <w:p w:rsidR="00E45D55" w:rsidRPr="000F3A71" w:rsidRDefault="00E45D55" w:rsidP="00E45D55">
      <w:pPr>
        <w:pStyle w:val="NormalHanging12a"/>
      </w:pPr>
      <w:r w:rsidRPr="000F3A71">
        <w:t>–</w:t>
      </w:r>
      <w:r w:rsidRPr="000F3A71">
        <w:tab/>
        <w:t xml:space="preserve">uwzględniając decyzję Rady (UE, </w:t>
      </w:r>
      <w:proofErr w:type="spellStart"/>
      <w:r w:rsidRPr="000F3A71">
        <w:t>Euratom</w:t>
      </w:r>
      <w:proofErr w:type="spellEnd"/>
      <w:r w:rsidRPr="000F3A71">
        <w:t xml:space="preserve">) 2020/2053 z dnia 14 grudnia 2020 r. w sprawie systemu zasobów własnych Unii Europejskiej oraz uchylającą decyzję 2014/335/UE, </w:t>
      </w:r>
      <w:proofErr w:type="spellStart"/>
      <w:r w:rsidRPr="000F3A71">
        <w:t>Euratom</w:t>
      </w:r>
      <w:proofErr w:type="spellEnd"/>
      <w:r w:rsidRPr="000F3A71">
        <w:rPr>
          <w:rStyle w:val="FootnoteReference"/>
        </w:rPr>
        <w:footnoteReference w:id="5"/>
      </w:r>
      <w:r w:rsidRPr="000F3A71">
        <w:t>,</w:t>
      </w:r>
    </w:p>
    <w:p w:rsidR="00E45D55" w:rsidRPr="000F3A71" w:rsidRDefault="00E45D55" w:rsidP="00E45D55">
      <w:pPr>
        <w:pStyle w:val="NormalHanging12a"/>
      </w:pPr>
      <w:r w:rsidRPr="000F3A71">
        <w:t>–</w:t>
      </w:r>
      <w:r w:rsidRPr="000F3A71">
        <w:tab/>
        <w:t>uwzględniając projekt budżetu korygującego nr 5/2024 przyjęty przez Komisję 10 października 2024 r. (COM(2024)0650),</w:t>
      </w:r>
    </w:p>
    <w:p w:rsidR="00E45D55" w:rsidRPr="000F3A71" w:rsidRDefault="00E45D55" w:rsidP="00E45D55">
      <w:pPr>
        <w:pStyle w:val="NormalHanging12a"/>
      </w:pPr>
      <w:r w:rsidRPr="000F3A71">
        <w:t>–</w:t>
      </w:r>
      <w:r w:rsidRPr="000F3A71">
        <w:tab/>
        <w:t>uwzględniając stanowisko dotyczące projektu budżetu korygującego nr 5/2024, przyjęte przez Radę 5 listopada 2024 r. i przekazane Parlamentowi Europejskiemu 12 listopada 2024 r. (14477/2024 – C10-0186/2024),</w:t>
      </w:r>
    </w:p>
    <w:p w:rsidR="00E45D55" w:rsidRPr="000F3A71" w:rsidRDefault="00E45D55" w:rsidP="00E45D55">
      <w:pPr>
        <w:pStyle w:val="NormalHanging12a"/>
      </w:pPr>
      <w:r w:rsidRPr="000F3A71">
        <w:t>–</w:t>
      </w:r>
      <w:r w:rsidRPr="000F3A71">
        <w:tab/>
        <w:t>uwzględniając art. 96 i 98 Regulaminu,</w:t>
      </w:r>
    </w:p>
    <w:p w:rsidR="00E45D55" w:rsidRPr="000F3A71" w:rsidRDefault="00E45D55" w:rsidP="00E45D55">
      <w:pPr>
        <w:pStyle w:val="NormalHanging12a"/>
      </w:pPr>
      <w:r w:rsidRPr="000F3A71">
        <w:t>–</w:t>
      </w:r>
      <w:r w:rsidRPr="000F3A71">
        <w:tab/>
        <w:t>uwzględniając sprawozdanie Komisji Budżetowej (A10-0017/2024),</w:t>
      </w:r>
    </w:p>
    <w:p w:rsidR="00E45D55" w:rsidRPr="000F3A71" w:rsidRDefault="00E45D55" w:rsidP="00E45D55">
      <w:pPr>
        <w:pStyle w:val="NormalHanging12a"/>
      </w:pPr>
      <w:r w:rsidRPr="000F3A71">
        <w:t>A.</w:t>
      </w:r>
      <w:r w:rsidRPr="000F3A71">
        <w:tab/>
      </w:r>
      <w:proofErr w:type="gramStart"/>
      <w:r w:rsidRPr="000F3A71">
        <w:t>mając</w:t>
      </w:r>
      <w:proofErr w:type="gramEnd"/>
      <w:r w:rsidRPr="000F3A71">
        <w:t xml:space="preserve"> na uwadze, że celem projektu budżetu korygującego nr 5/2024 jest dostosowanie wydatków, w szczególności środków na płatności, oraz aktualizacja dochodów w budżecie Unii;</w:t>
      </w:r>
    </w:p>
    <w:p w:rsidR="00E45D55" w:rsidRPr="000F3A71" w:rsidRDefault="00E45D55" w:rsidP="00E45D55">
      <w:pPr>
        <w:pStyle w:val="NormalHanging12a"/>
      </w:pPr>
      <w:r w:rsidRPr="000F3A71">
        <w:t>B.</w:t>
      </w:r>
      <w:r w:rsidRPr="000F3A71">
        <w:tab/>
        <w:t>mając na uwadze, że jeżeli chodzi o wydatki, projekt budżetu korygującego nr 5/2024 skutkuje wzrostem netto w przypadku środków na zobowiązania o 44,5 mln EUR i w przypadku środków na płatności o 2,95 mld EUR; mając na uwadze, że ze względu na brak marginesu w działach 2b, 5 i 7 wieloletnich ram finansowych proponuje się uruchomienie kwoty 7,2 mln EUR w ramach instrumentu elastyczności oraz dodatkowe 68,5 mln EUR do wykorzystania z modułu A jednolitego marginesu;</w:t>
      </w:r>
    </w:p>
    <w:p w:rsidR="00E45D55" w:rsidRPr="000F3A71" w:rsidRDefault="00E45D55" w:rsidP="00E45D55">
      <w:pPr>
        <w:pStyle w:val="NormalHanging12a"/>
      </w:pPr>
      <w:r w:rsidRPr="000F3A71">
        <w:t>C.</w:t>
      </w:r>
      <w:r w:rsidRPr="000F3A71">
        <w:tab/>
      </w:r>
      <w:proofErr w:type="gramStart"/>
      <w:r w:rsidRPr="000F3A71">
        <w:t>mając</w:t>
      </w:r>
      <w:proofErr w:type="gramEnd"/>
      <w:r w:rsidRPr="000F3A71">
        <w:t xml:space="preserve"> na uwadze, że po stronie dochodów projekt budżetu korygującego nr 5/2024 wprowadza do budżetu na 2024 r. ostateczne kwoty grzywien i kar wpłacone do października 2024 r. w łącznej wysokości 2,82 mld EUR, co oznacza, że do zaspokojenia potrzeb w zakresie płatności potrzebne są dodatkowe wkłady oparte na DNB w wysokości 139,9 mln EUR;</w:t>
      </w:r>
    </w:p>
    <w:p w:rsidR="00E45D55" w:rsidRPr="000F3A71" w:rsidRDefault="00E45D55" w:rsidP="00E45D55">
      <w:pPr>
        <w:pStyle w:val="NormalHanging12a"/>
      </w:pPr>
      <w:r w:rsidRPr="000F3A71">
        <w:t>D.</w:t>
      </w:r>
      <w:r w:rsidRPr="000F3A71">
        <w:tab/>
      </w:r>
      <w:proofErr w:type="gramStart"/>
      <w:r w:rsidRPr="000F3A71">
        <w:t>mając</w:t>
      </w:r>
      <w:proofErr w:type="gramEnd"/>
      <w:r w:rsidRPr="000F3A71">
        <w:t xml:space="preserve"> na uwadze, że w projekcie budżetu korygującego nr 5/2024 wprowadzono również nowe linie budżetowe dotyczące dochodów i wydatków mechanizmu współpracy pożyczkowej dla Ukrainy, w ramach którego wsparcie będzie udzielane w postaci pożyczek obsługiwanych i spłacanych z przyszłych dochodów z </w:t>
      </w:r>
      <w:proofErr w:type="spellStart"/>
      <w:r w:rsidRPr="000F3A71">
        <w:t>immobilizowanych</w:t>
      </w:r>
      <w:proofErr w:type="spellEnd"/>
      <w:r w:rsidRPr="000F3A71">
        <w:t xml:space="preserve"> rosyjskich aktywów państwowych;</w:t>
      </w:r>
    </w:p>
    <w:p w:rsidR="00E45D55" w:rsidRPr="000F3A71" w:rsidRDefault="00E45D55" w:rsidP="00E45D55">
      <w:pPr>
        <w:pStyle w:val="NormalHanging12a"/>
      </w:pPr>
      <w:r w:rsidRPr="000F3A71">
        <w:t>1.</w:t>
      </w:r>
      <w:r w:rsidRPr="000F3A71">
        <w:tab/>
      </w:r>
      <w:proofErr w:type="gramStart"/>
      <w:r w:rsidRPr="000F3A71">
        <w:t>przyjmuje</w:t>
      </w:r>
      <w:proofErr w:type="gramEnd"/>
      <w:r w:rsidRPr="000F3A71">
        <w:t xml:space="preserve"> do wiadomości projekt budżetu korygującego nr 5/2024 przedstawiony przez Komisję;</w:t>
      </w:r>
    </w:p>
    <w:p w:rsidR="00E45D55" w:rsidRPr="000F3A71" w:rsidRDefault="00E45D55" w:rsidP="00E45D55">
      <w:pPr>
        <w:pStyle w:val="NormalHanging12a"/>
      </w:pPr>
      <w:r w:rsidRPr="000F3A71">
        <w:t>2.</w:t>
      </w:r>
      <w:r w:rsidRPr="000F3A71">
        <w:tab/>
      </w:r>
      <w:proofErr w:type="gramStart"/>
      <w:r w:rsidRPr="000F3A71">
        <w:t>z</w:t>
      </w:r>
      <w:proofErr w:type="gramEnd"/>
      <w:r w:rsidRPr="000F3A71">
        <w:t xml:space="preserve"> zadowoleniem przyjmuje większe potrzeby w zakresie płatności w ramach Europejskiego Funduszu Rozwoju Regionalnego (EFRR) w połączeniu z potrzebami w zakresie wspólnej polityki rolnej w ramach przesunięcia zbiorczego (DEC 11/24), co świadczy o tym, że wdrażanie programów nabiera tempa po niepokojąco słabym starcie w latach 2021–2027; </w:t>
      </w:r>
    </w:p>
    <w:p w:rsidR="00E45D55" w:rsidRPr="000F3A71" w:rsidRDefault="00E45D55" w:rsidP="00E45D55">
      <w:pPr>
        <w:pStyle w:val="NormalHanging12a"/>
      </w:pPr>
      <w:r w:rsidRPr="000F3A71">
        <w:t>3.</w:t>
      </w:r>
      <w:r w:rsidRPr="000F3A71">
        <w:tab/>
      </w:r>
      <w:proofErr w:type="gramStart"/>
      <w:r w:rsidRPr="000F3A71">
        <w:t>z</w:t>
      </w:r>
      <w:proofErr w:type="gramEnd"/>
      <w:r w:rsidRPr="000F3A71">
        <w:t xml:space="preserve"> zadowoleniem zauważa, że zmiany w przepisach wprowadzonych przez Platformę na rzecz Technologii Strategicznych dla Europy (STEP) – z wyjątkowymi płatnościami zaliczkowymi i dobrowolnym współfinansowaniem w wysokości 100</w:t>
      </w:r>
      <w:r w:rsidR="007A5CD0">
        <w:t xml:space="preserve"> </w:t>
      </w:r>
      <w:r w:rsidRPr="000F3A71">
        <w:t>% – mają pozytywny wpływ na wdrażanie EFRR, co oznacza, że państwa członkowskie wydają pieniądze na cele związane z platformą STEP; uważa ponadto, że większe płatności w 2024 r. powinny zmniejszyć presję w zakresie płatności w latach 2025–2027;</w:t>
      </w:r>
    </w:p>
    <w:p w:rsidR="00E45D55" w:rsidRPr="000F3A71" w:rsidRDefault="00E45D55" w:rsidP="00E45D55">
      <w:pPr>
        <w:pStyle w:val="NormalHanging12a"/>
      </w:pPr>
      <w:r w:rsidRPr="000F3A71">
        <w:t>4.</w:t>
      </w:r>
      <w:r w:rsidRPr="000F3A71">
        <w:tab/>
      </w:r>
      <w:proofErr w:type="gramStart"/>
      <w:r w:rsidRPr="000F3A71">
        <w:t>zauważa</w:t>
      </w:r>
      <w:proofErr w:type="gramEnd"/>
      <w:r w:rsidRPr="000F3A71">
        <w:t>, że większe potrzeby w zakresie płatności są prawie w całości pokrywane z dochodów z tytułu grzywien i kar, w szczególności z grzywny w wysokości 2,4 mld EUR nałożonej na przedsiębiorstwo Google za naruszenie zasad konkurencji;</w:t>
      </w:r>
    </w:p>
    <w:p w:rsidR="00E45D55" w:rsidRPr="000F3A71" w:rsidRDefault="00E45D55" w:rsidP="00E45D55">
      <w:pPr>
        <w:pStyle w:val="NormalHanging12a"/>
      </w:pPr>
      <w:r w:rsidRPr="000F3A71">
        <w:t>5.</w:t>
      </w:r>
      <w:r w:rsidRPr="000F3A71">
        <w:tab/>
      </w:r>
      <w:proofErr w:type="gramStart"/>
      <w:r w:rsidRPr="000F3A71">
        <w:t>podkreśla</w:t>
      </w:r>
      <w:proofErr w:type="gramEnd"/>
      <w:r w:rsidRPr="000F3A71">
        <w:t xml:space="preserve"> potrzebę długoterminowych stabilnych dochodów dla budżetu Unii, który w ostatnich latach był bardzo napięty, aby móc reagować na różne kryzysy; ubolewa zatem z powodu braku postępów w Radzie w zakresie reformy systemu zasobów własnych zgodnie z harmonogramem zawartym w porozumieniu międzyinstytucjonalnym; przypomina o swoim stanowisku, zgodnie z którym popiera zmienione wnioski Komisji, oraz wzywa Radę i państwa członkowskie do szybkiego przyjęcia tych wniosków w celu zwiększenia zasobów własnych dostępnych w budżecie Unii; przypomina o swoim od dawna prezentowanym stanowisku, zgodnie z którym grzywny i opłaty powinny być wykorzystywane jako dodatkowe dochody dla budżetu Unii;</w:t>
      </w:r>
    </w:p>
    <w:p w:rsidR="00E45D55" w:rsidRPr="000F3A71" w:rsidRDefault="00E45D55" w:rsidP="00E45D55">
      <w:pPr>
        <w:pStyle w:val="NormalHanging12a"/>
      </w:pPr>
      <w:r w:rsidRPr="000F3A71">
        <w:t>6.</w:t>
      </w:r>
      <w:r w:rsidRPr="000F3A71">
        <w:tab/>
      </w:r>
      <w:proofErr w:type="gramStart"/>
      <w:r w:rsidRPr="000F3A71">
        <w:t>z</w:t>
      </w:r>
      <w:proofErr w:type="gramEnd"/>
      <w:r w:rsidRPr="000F3A71">
        <w:t xml:space="preserve"> zadowoleniem przyjmuje utworzenie linii budżetowych dotyczących dochodów i wydatków w ramach mechanizmu współpracy pożyczkowej dla Ukrainy; podkreśla znaczenie stałego wsparcia finansowego dla Ukrainy w sytuacji, gdy finansowanie w ramach Instrumentu na rzecz Ukrainy i obowiązujących ustaleń dotyczących pomocy </w:t>
      </w:r>
      <w:proofErr w:type="spellStart"/>
      <w:r w:rsidRPr="000F3A71">
        <w:t>makrofinansowej</w:t>
      </w:r>
      <w:proofErr w:type="spellEnd"/>
      <w:r w:rsidRPr="000F3A71">
        <w:t xml:space="preserve"> nie zaspokaja potrzeb; </w:t>
      </w:r>
    </w:p>
    <w:p w:rsidR="00E45D55" w:rsidRPr="000F3A71" w:rsidRDefault="00E45D55" w:rsidP="00E45D55">
      <w:pPr>
        <w:pStyle w:val="NormalHanging12a"/>
      </w:pPr>
      <w:r w:rsidRPr="000F3A71">
        <w:t>7.</w:t>
      </w:r>
      <w:r w:rsidRPr="000F3A71">
        <w:tab/>
      </w:r>
      <w:proofErr w:type="gramStart"/>
      <w:r w:rsidRPr="000F3A71">
        <w:t>przypomina</w:t>
      </w:r>
      <w:proofErr w:type="gramEnd"/>
      <w:r w:rsidRPr="000F3A71">
        <w:t xml:space="preserve">, że dodatkowe pożyczki w ramach pomocy </w:t>
      </w:r>
      <w:proofErr w:type="spellStart"/>
      <w:r w:rsidRPr="000F3A71">
        <w:t>makrofinansowej</w:t>
      </w:r>
      <w:proofErr w:type="spellEnd"/>
      <w:r w:rsidRPr="000F3A71">
        <w:t xml:space="preserve"> będą zagwarantowane marginesem elastyczności w budżecie, i ponawia swój apel do Komisji o przekazywanie władzy budżetowej szczegółowych informacji na temat agregacji zobowiązań zabezpieczanych z marginesu elastyczności, które zależą od operacji zaciągania i udzielania pożyczek; oczekuje, że Komisja będzie przekazywać Parlamentowi i Radzie wszelkie niezbędne informacje zgodnie z oświadczeniem załączonym do </w:t>
      </w:r>
      <w:r w:rsidRPr="000F3A71">
        <w:rPr>
          <w:color w:val="333333"/>
          <w:shd w:val="clear" w:color="auto" w:fill="FFFFFF"/>
        </w:rPr>
        <w:t>rozporządzenia Parlamentu Europejskiego i Rady (UE) 2024/2773</w:t>
      </w:r>
      <w:r w:rsidRPr="000F3A71">
        <w:rPr>
          <w:rStyle w:val="FootnoteReference"/>
          <w:bCs/>
          <w:color w:val="333333"/>
          <w:shd w:val="clear" w:color="auto" w:fill="FFFFFF"/>
        </w:rPr>
        <w:footnoteReference w:id="6"/>
      </w:r>
      <w:r w:rsidRPr="000F3A71">
        <w:t>;</w:t>
      </w:r>
    </w:p>
    <w:p w:rsidR="00E45D55" w:rsidRPr="000F3A71" w:rsidRDefault="00E45D55" w:rsidP="00E45D55">
      <w:pPr>
        <w:pStyle w:val="NormalHanging12a"/>
      </w:pPr>
      <w:r w:rsidRPr="000F3A71">
        <w:t>8.</w:t>
      </w:r>
      <w:r w:rsidRPr="000F3A71">
        <w:tab/>
      </w:r>
      <w:proofErr w:type="gramStart"/>
      <w:r w:rsidRPr="000F3A71">
        <w:t>odnotowuje</w:t>
      </w:r>
      <w:proofErr w:type="gramEnd"/>
      <w:r w:rsidRPr="000F3A71">
        <w:t xml:space="preserve"> wyższą niż przewidziano w budżecie korektę wynagrodzeń za rok 2024, która wpływa zarówno na wynagrodzenia, jak i emerytury, przy czym liczba nowych emerytów w 2024 r. będzie wyższa niż zakładano, co jeszcze bardziej podnosi koszty emerytur; wyraża zadowolenie, że prawie wszystkie dodatkowe koszty ponoszone przez instytucje pokryto w drodze przesunięć wewnętrznych i że w związku z tym z jednolitego marginesu skorzystano jedynie w ograniczonym stopniu;</w:t>
      </w:r>
    </w:p>
    <w:p w:rsidR="00E45D55" w:rsidRPr="000F3A71" w:rsidRDefault="00E45D55" w:rsidP="00E45D55">
      <w:pPr>
        <w:pStyle w:val="NormalHanging12a"/>
      </w:pPr>
      <w:r w:rsidRPr="000F3A71">
        <w:t>9.</w:t>
      </w:r>
      <w:r w:rsidRPr="000F3A71">
        <w:tab/>
      </w:r>
      <w:proofErr w:type="gramStart"/>
      <w:r w:rsidRPr="000F3A71">
        <w:t>podkreśla</w:t>
      </w:r>
      <w:proofErr w:type="gramEnd"/>
      <w:r w:rsidRPr="000F3A71">
        <w:t>, że dostosowanie wynagrodzeń dotyczy również agencji zdecentralizowanych zmagających się z inflacją przekraczającą 2</w:t>
      </w:r>
      <w:r w:rsidR="007A5CD0">
        <w:t xml:space="preserve"> </w:t>
      </w:r>
      <w:r w:rsidRPr="000F3A71">
        <w:t>%, która to wartość jest podstawą do podnoszenia środków w ich budżetach rocznych, co jest szczególnie istotne, gdyż koszty personelu i koszty operacyjne stanowią znaczną część wydatków agencji; z zadowoleniem przyjmuje fakt, że agencje, które nie znalazły zasobów dzięki przesunięciom, mogą liczyć na wzrost wkładu Unii o 1,7</w:t>
      </w:r>
      <w:r w:rsidR="007A5CD0">
        <w:t xml:space="preserve"> </w:t>
      </w:r>
      <w:r w:rsidRPr="000F3A71">
        <w:t>%; przypomina, że obecne traktowanie budżetów agencji zdecentralizowanych wymaga dalszej refleksji w ramach przygotowań Komisji do opracowania wieloletnich ram finansowych na okres po roku 2027;</w:t>
      </w:r>
    </w:p>
    <w:p w:rsidR="00E45D55" w:rsidRPr="000F3A71" w:rsidRDefault="00E45D55" w:rsidP="00E45D55">
      <w:pPr>
        <w:pStyle w:val="NormalHanging12a"/>
      </w:pPr>
      <w:r w:rsidRPr="000F3A71">
        <w:t>10.</w:t>
      </w:r>
      <w:r w:rsidRPr="000F3A71">
        <w:tab/>
      </w:r>
      <w:proofErr w:type="gramStart"/>
      <w:r w:rsidRPr="000F3A71">
        <w:t>odnotowuje</w:t>
      </w:r>
      <w:proofErr w:type="gramEnd"/>
      <w:r w:rsidRPr="000F3A71">
        <w:t xml:space="preserve"> podwyższenie środków finansowych dla Agencji Unii Europejskiej ds. Zarządzania Operacyjnego Wielkoskalowymi Systemami Informatycznymi w Przestrzeni Wolności, Bezpieczeństwa i Sprawiedliwości (</w:t>
      </w:r>
      <w:proofErr w:type="spellStart"/>
      <w:r w:rsidRPr="000F3A71">
        <w:t>eu</w:t>
      </w:r>
      <w:proofErr w:type="spellEnd"/>
      <w:r w:rsidRPr="000F3A71">
        <w:t>-LISA) w celu pokrycia rosnących kosztów, choć wyraża zaniepokojenie analogicznym obniżeniem środków dla Agencji Unii Europejskiej ds. Azylu (EUAA); wyraża zadowolenie, że środki dla EUAA podwyższono w ramach śródokresowego przeglądu wieloletnich ram finansowych, aby umożliwić jej wykonywanie nowych zadań w związku z wdrażaniem paktu o migracji i azylu; wzywa Komisję do ścisłej współpracy z obiema agencjami w celu dopilnowania, by były one przygotowane do rzetelnego wykonywania swoich zadań i do absorpcji dodatkowych środków, jakie im przyznano;</w:t>
      </w:r>
    </w:p>
    <w:p w:rsidR="00E45D55" w:rsidRPr="000F3A71" w:rsidRDefault="00E45D55" w:rsidP="00E45D55">
      <w:pPr>
        <w:pStyle w:val="NormalHanging12a"/>
      </w:pPr>
      <w:r w:rsidRPr="000F3A71">
        <w:t>11.</w:t>
      </w:r>
      <w:r w:rsidRPr="000F3A71">
        <w:tab/>
      </w:r>
      <w:proofErr w:type="gramStart"/>
      <w:r w:rsidRPr="000F3A71">
        <w:t>z</w:t>
      </w:r>
      <w:proofErr w:type="gramEnd"/>
      <w:r w:rsidRPr="000F3A71">
        <w:t xml:space="preserve"> zadowoleniem przyjmuje dodatkowe środki dla Agencji Unii Europejskiej ds. Szkolenia w Dziedzinie Ścigania (CEPOL) w 2024 r. w następstwie cyberataku na tę agencję w czerwcu 2024 r.; podkreśla potrzebę wyciągnięcia wniosków i udzielenia dalszego wsparcia technicznego innym agencjom i instytucjom przez Służbę ds. </w:t>
      </w:r>
      <w:proofErr w:type="spellStart"/>
      <w:r w:rsidRPr="000F3A71">
        <w:t>Cyberbezpieczeństwa</w:t>
      </w:r>
      <w:proofErr w:type="spellEnd"/>
      <w:r w:rsidRPr="000F3A71">
        <w:t xml:space="preserve"> Instytucji, Organów i Jednostek Organizacyjnych Unii (CERT-UE) w związku z wysokim zagrożeniem w zakresie </w:t>
      </w:r>
      <w:proofErr w:type="spellStart"/>
      <w:r w:rsidRPr="000F3A71">
        <w:t>cyberbezpieczeństwa</w:t>
      </w:r>
      <w:proofErr w:type="spellEnd"/>
      <w:r w:rsidRPr="000F3A71">
        <w:t xml:space="preserve">, a także zagwarantowania, że kolejny atak nie zagrozi agencjom ani instytucjom Unii; </w:t>
      </w:r>
    </w:p>
    <w:p w:rsidR="00E45D55" w:rsidRPr="000F3A71" w:rsidRDefault="00E45D55" w:rsidP="00E45D55">
      <w:pPr>
        <w:pStyle w:val="NormalHanging12a"/>
      </w:pPr>
      <w:r w:rsidRPr="000F3A71">
        <w:t>12.</w:t>
      </w:r>
      <w:r w:rsidRPr="000F3A71">
        <w:tab/>
      </w:r>
      <w:proofErr w:type="gramStart"/>
      <w:r w:rsidRPr="000F3A71">
        <w:t>podkreśla</w:t>
      </w:r>
      <w:proofErr w:type="gramEnd"/>
      <w:r w:rsidRPr="000F3A71">
        <w:t xml:space="preserve"> znaczenie nowo utworzonego Urzędu ds. Przeciwdziałania Praniu Pieniędzy w zmienionych ramach na rzecz przeciwdziałania praniu pieniędzy na szczeblu Unii; w związku z tym jest głęboko zaniepokojony opóźnieniami w fazie tworzenia, zwłaszcza jeśli chodzi o rekrutację; </w:t>
      </w:r>
    </w:p>
    <w:p w:rsidR="00E45D55" w:rsidRPr="000F3A71" w:rsidRDefault="00E45D55" w:rsidP="00E45D55">
      <w:pPr>
        <w:pStyle w:val="NormalHanging12a"/>
      </w:pPr>
      <w:r w:rsidRPr="000F3A71">
        <w:t>13.</w:t>
      </w:r>
      <w:r w:rsidRPr="000F3A71">
        <w:tab/>
      </w:r>
      <w:proofErr w:type="gramStart"/>
      <w:r w:rsidRPr="000F3A71">
        <w:t>wyraża</w:t>
      </w:r>
      <w:proofErr w:type="gramEnd"/>
      <w:r w:rsidRPr="000F3A71">
        <w:t xml:space="preserve"> zadowolenie, że dzięki obowiązującemu już przekształceniu rozporządzenia finansowego możliwe jest uwzględnianie w budżecie dochodów ujemnych na wypłatę odsetek wyrównawczych w przegranych sprawach sądowych; zauważa, że Komisja ustala obecnie dokładną kwotę takich odsetek, i wzywa Komisję do jak najszybszego przekazania tych informacji władzy budżetowej w 2025 r.; </w:t>
      </w:r>
    </w:p>
    <w:p w:rsidR="00E45D55" w:rsidRPr="000F3A71" w:rsidRDefault="00E45D55" w:rsidP="00E45D55">
      <w:pPr>
        <w:pStyle w:val="NormalHanging12a"/>
      </w:pPr>
      <w:r w:rsidRPr="000F3A71">
        <w:t>14.</w:t>
      </w:r>
      <w:r w:rsidRPr="000F3A71">
        <w:tab/>
      </w:r>
      <w:proofErr w:type="gramStart"/>
      <w:r w:rsidRPr="000F3A71">
        <w:t>zatwierdza</w:t>
      </w:r>
      <w:proofErr w:type="gramEnd"/>
      <w:r w:rsidRPr="000F3A71">
        <w:t xml:space="preserve"> stanowisko Rady dotyczące projektu budżetu korygującego nr 5/2024;</w:t>
      </w:r>
    </w:p>
    <w:p w:rsidR="00E45D55" w:rsidRPr="000F3A71" w:rsidRDefault="00E45D55" w:rsidP="00E45D55">
      <w:pPr>
        <w:pStyle w:val="NormalHanging12a"/>
      </w:pPr>
      <w:r w:rsidRPr="000F3A71">
        <w:t>15.</w:t>
      </w:r>
      <w:r w:rsidRPr="000F3A71">
        <w:tab/>
      </w:r>
      <w:proofErr w:type="gramStart"/>
      <w:r w:rsidRPr="000F3A71">
        <w:t>zobowiązuje</w:t>
      </w:r>
      <w:proofErr w:type="gramEnd"/>
      <w:r w:rsidRPr="000F3A71">
        <w:t xml:space="preserve"> swoją przewodniczącą do ogłoszenia, że budżet korygujący nr 5/2024 został ostatecznie przyjęty, i do zarządzenia jego publikacji w </w:t>
      </w:r>
      <w:r w:rsidRPr="000F3A71">
        <w:rPr>
          <w:i/>
        </w:rPr>
        <w:t>Dzienniku Urzędowym Unii Europejskiej</w:t>
      </w:r>
      <w:r w:rsidRPr="000F3A71">
        <w:t>;</w:t>
      </w:r>
    </w:p>
    <w:p w:rsidR="000F3A71" w:rsidRPr="000F3A71" w:rsidRDefault="00E45D55" w:rsidP="000F3A71">
      <w:pPr>
        <w:pStyle w:val="NormalHanging12a"/>
      </w:pPr>
      <w:r w:rsidRPr="000F3A71">
        <w:t>16.</w:t>
      </w:r>
      <w:r w:rsidRPr="000F3A71">
        <w:tab/>
      </w:r>
      <w:proofErr w:type="gramStart"/>
      <w:r w:rsidRPr="000F3A71">
        <w:t>zobowiązuje</w:t>
      </w:r>
      <w:proofErr w:type="gramEnd"/>
      <w:r w:rsidRPr="000F3A71">
        <w:t xml:space="preserve"> swoją przewodniczącą do przekazania niniejszej rezolucji Radzie i Komisji oraz parlamentom narodowym.</w:t>
      </w:r>
    </w:p>
    <w:p w:rsidR="00E365E1" w:rsidRPr="000F3A71" w:rsidRDefault="00E365E1" w:rsidP="00646D15"/>
    <w:sectPr w:rsidR="00E365E1" w:rsidRPr="000F3A71" w:rsidSect="000F3A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D15" w:rsidRPr="000F3A71" w:rsidRDefault="00646D15">
      <w:r w:rsidRPr="000F3A71">
        <w:separator/>
      </w:r>
    </w:p>
  </w:endnote>
  <w:endnote w:type="continuationSeparator" w:id="0">
    <w:p w:rsidR="00646D15" w:rsidRPr="000F3A71" w:rsidRDefault="00646D15">
      <w:r w:rsidRPr="000F3A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3A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3A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3A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D15" w:rsidRPr="000F3A71" w:rsidRDefault="00646D15">
      <w:r w:rsidRPr="000F3A71">
        <w:separator/>
      </w:r>
    </w:p>
  </w:footnote>
  <w:footnote w:type="continuationSeparator" w:id="0">
    <w:p w:rsidR="00646D15" w:rsidRPr="000F3A71" w:rsidRDefault="00646D15">
      <w:r w:rsidRPr="000F3A71">
        <w:continuationSeparator/>
      </w:r>
    </w:p>
  </w:footnote>
  <w:footnote w:id="1">
    <w:p w:rsidR="00E45D55" w:rsidRPr="000F3A71" w:rsidRDefault="00E45D55" w:rsidP="000F3A71">
      <w:pPr>
        <w:pStyle w:val="FootnoteText"/>
        <w:ind w:left="567" w:hanging="567"/>
        <w:rPr>
          <w:sz w:val="24"/>
          <w:lang w:val="pl-PL"/>
        </w:rPr>
      </w:pPr>
      <w:r w:rsidRPr="000F3A71">
        <w:rPr>
          <w:rStyle w:val="FootnoteReference"/>
          <w:sz w:val="24"/>
          <w:lang w:val="pl-PL"/>
        </w:rPr>
        <w:footnoteRef/>
      </w:r>
      <w:r w:rsidR="000F3A71" w:rsidRPr="000F3A71">
        <w:rPr>
          <w:sz w:val="24"/>
          <w:lang w:val="pl-PL"/>
        </w:rPr>
        <w:t xml:space="preserve"> </w:t>
      </w:r>
      <w:r w:rsidR="000F3A71" w:rsidRPr="000F3A71">
        <w:rPr>
          <w:sz w:val="24"/>
          <w:lang w:val="pl-PL"/>
        </w:rPr>
        <w:tab/>
      </w:r>
      <w:r w:rsidRPr="000F3A71">
        <w:rPr>
          <w:sz w:val="24"/>
          <w:lang w:val="pl-PL"/>
        </w:rPr>
        <w:t xml:space="preserve">Dz.U. L, 2024/2509 z 26.9.2024, </w:t>
      </w:r>
      <w:hyperlink r:id="rId1" w:history="1">
        <w:r w:rsidRPr="000F3A71">
          <w:rPr>
            <w:rStyle w:val="Hyperlink"/>
            <w:sz w:val="24"/>
            <w:lang w:val="pl-PL"/>
          </w:rPr>
          <w:t>http://data.europa.eu/eli/reg/2024/2509/oj</w:t>
        </w:r>
      </w:hyperlink>
      <w:r w:rsidRPr="000F3A71">
        <w:rPr>
          <w:sz w:val="24"/>
          <w:lang w:val="pl-PL"/>
        </w:rPr>
        <w:t>.</w:t>
      </w:r>
    </w:p>
  </w:footnote>
  <w:footnote w:id="2">
    <w:p w:rsidR="00E45D55" w:rsidRPr="007A5CD0" w:rsidRDefault="00E45D55" w:rsidP="000F3A71">
      <w:pPr>
        <w:pStyle w:val="FootnoteText"/>
        <w:ind w:left="567" w:hanging="567"/>
        <w:rPr>
          <w:sz w:val="24"/>
          <w:lang w:val="fi-FI"/>
        </w:rPr>
      </w:pPr>
      <w:r w:rsidRPr="000F3A71">
        <w:rPr>
          <w:rStyle w:val="FootnoteReference"/>
          <w:sz w:val="24"/>
          <w:lang w:val="pl-PL"/>
        </w:rPr>
        <w:footnoteRef/>
      </w:r>
      <w:r w:rsidR="000F3A71" w:rsidRPr="007A5CD0">
        <w:rPr>
          <w:sz w:val="24"/>
          <w:lang w:val="fi-FI"/>
        </w:rPr>
        <w:t xml:space="preserve"> </w:t>
      </w:r>
      <w:r w:rsidR="000F3A71" w:rsidRPr="007A5CD0">
        <w:rPr>
          <w:sz w:val="24"/>
          <w:lang w:val="fi-FI"/>
        </w:rPr>
        <w:tab/>
      </w:r>
      <w:r w:rsidRPr="007A5CD0">
        <w:rPr>
          <w:sz w:val="24"/>
          <w:lang w:val="fi-FI"/>
        </w:rPr>
        <w:t xml:space="preserve">Dz.U. L, 2024/207, 22.2.2024, ELI: </w:t>
      </w:r>
      <w:hyperlink r:id="rId2" w:history="1">
        <w:r w:rsidRPr="007A5CD0">
          <w:rPr>
            <w:rStyle w:val="Hyperlink"/>
            <w:sz w:val="24"/>
            <w:lang w:val="fi-FI"/>
          </w:rPr>
          <w:t>http://data.europa.eu/eli/budget/2024/207/oj</w:t>
        </w:r>
      </w:hyperlink>
      <w:r w:rsidRPr="007A5CD0">
        <w:rPr>
          <w:sz w:val="24"/>
          <w:lang w:val="fi-FI"/>
        </w:rPr>
        <w:t>.</w:t>
      </w:r>
    </w:p>
  </w:footnote>
  <w:footnote w:id="3">
    <w:p w:rsidR="00E45D55" w:rsidRPr="000F3A71" w:rsidRDefault="00E45D55" w:rsidP="000F3A71">
      <w:pPr>
        <w:pStyle w:val="FootnoteText"/>
        <w:ind w:left="567" w:hanging="567"/>
        <w:rPr>
          <w:sz w:val="24"/>
          <w:lang w:val="pl-PL"/>
        </w:rPr>
      </w:pPr>
      <w:r w:rsidRPr="000F3A71">
        <w:rPr>
          <w:rStyle w:val="FootnoteReference"/>
          <w:sz w:val="24"/>
          <w:lang w:val="pl-PL"/>
        </w:rPr>
        <w:footnoteRef/>
      </w:r>
      <w:r w:rsidR="000F3A71" w:rsidRPr="000F3A71">
        <w:rPr>
          <w:sz w:val="24"/>
          <w:lang w:val="pl-PL"/>
        </w:rPr>
        <w:t xml:space="preserve"> </w:t>
      </w:r>
      <w:r w:rsidR="000F3A71" w:rsidRPr="000F3A71">
        <w:rPr>
          <w:sz w:val="24"/>
          <w:lang w:val="pl-PL"/>
        </w:rPr>
        <w:tab/>
      </w:r>
      <w:r w:rsidRPr="000F3A71">
        <w:rPr>
          <w:sz w:val="24"/>
          <w:lang w:val="pl-PL"/>
        </w:rPr>
        <w:t xml:space="preserve">Dz.U. L 433 I z 22.12.2020, </w:t>
      </w:r>
      <w:proofErr w:type="gramStart"/>
      <w:r w:rsidRPr="000F3A71">
        <w:rPr>
          <w:sz w:val="24"/>
          <w:lang w:val="pl-PL"/>
        </w:rPr>
        <w:t>s</w:t>
      </w:r>
      <w:proofErr w:type="gramEnd"/>
      <w:r w:rsidRPr="000F3A71">
        <w:rPr>
          <w:sz w:val="24"/>
          <w:lang w:val="pl-PL"/>
        </w:rPr>
        <w:t xml:space="preserve">. 11, ELI: </w:t>
      </w:r>
      <w:hyperlink r:id="rId3" w:history="1">
        <w:r w:rsidRPr="000F3A71">
          <w:rPr>
            <w:rStyle w:val="Hyperlink"/>
            <w:sz w:val="24"/>
            <w:lang w:val="pl-PL"/>
          </w:rPr>
          <w:t>http://data.europa.eu/eli/reg/2020/2093/oj</w:t>
        </w:r>
      </w:hyperlink>
      <w:r w:rsidRPr="000F3A71">
        <w:rPr>
          <w:sz w:val="24"/>
          <w:lang w:val="pl-PL"/>
        </w:rPr>
        <w:t>.</w:t>
      </w:r>
    </w:p>
  </w:footnote>
  <w:footnote w:id="4">
    <w:p w:rsidR="00E45D55" w:rsidRPr="000F3A71" w:rsidRDefault="00E45D55" w:rsidP="000F3A71">
      <w:pPr>
        <w:pStyle w:val="FootnoteText"/>
        <w:ind w:left="567" w:hanging="567"/>
        <w:rPr>
          <w:sz w:val="24"/>
          <w:lang w:val="pl-PL"/>
        </w:rPr>
      </w:pPr>
      <w:r w:rsidRPr="000F3A71">
        <w:rPr>
          <w:rStyle w:val="FootnoteReference"/>
          <w:sz w:val="24"/>
          <w:lang w:val="pl-PL"/>
        </w:rPr>
        <w:footnoteRef/>
      </w:r>
      <w:r w:rsidR="000F3A71" w:rsidRPr="000F3A71">
        <w:rPr>
          <w:sz w:val="24"/>
          <w:lang w:val="pl-PL"/>
        </w:rPr>
        <w:t xml:space="preserve"> </w:t>
      </w:r>
      <w:r w:rsidR="000F3A71" w:rsidRPr="000F3A71">
        <w:rPr>
          <w:sz w:val="24"/>
          <w:lang w:val="pl-PL"/>
        </w:rPr>
        <w:tab/>
      </w:r>
      <w:r w:rsidRPr="000F3A71">
        <w:rPr>
          <w:sz w:val="24"/>
          <w:lang w:val="pl-PL"/>
        </w:rPr>
        <w:t xml:space="preserve">Dz.U. L 433 I z 22.12.2020, </w:t>
      </w:r>
      <w:proofErr w:type="gramStart"/>
      <w:r w:rsidRPr="000F3A71">
        <w:rPr>
          <w:sz w:val="24"/>
          <w:lang w:val="pl-PL"/>
        </w:rPr>
        <w:t>s</w:t>
      </w:r>
      <w:proofErr w:type="gramEnd"/>
      <w:r w:rsidRPr="000F3A71">
        <w:rPr>
          <w:sz w:val="24"/>
          <w:lang w:val="pl-PL"/>
        </w:rPr>
        <w:t xml:space="preserve">. 28, ELI: </w:t>
      </w:r>
      <w:hyperlink r:id="rId4" w:history="1">
        <w:r w:rsidRPr="000F3A71">
          <w:rPr>
            <w:rStyle w:val="Hyperlink"/>
            <w:sz w:val="24"/>
            <w:lang w:val="pl-PL"/>
          </w:rPr>
          <w:t>http://data.europa.eu/eli/agree_interinstit/2020/1222/oj</w:t>
        </w:r>
      </w:hyperlink>
    </w:p>
  </w:footnote>
  <w:footnote w:id="5">
    <w:p w:rsidR="00E45D55" w:rsidRPr="000F3A71" w:rsidRDefault="00E45D55" w:rsidP="000F3A71">
      <w:pPr>
        <w:pStyle w:val="FootnoteText"/>
        <w:ind w:left="567" w:hanging="567"/>
        <w:rPr>
          <w:sz w:val="24"/>
          <w:lang w:val="pl-PL"/>
        </w:rPr>
      </w:pPr>
      <w:r w:rsidRPr="000F3A71">
        <w:rPr>
          <w:rStyle w:val="FootnoteReference"/>
          <w:sz w:val="24"/>
          <w:lang w:val="pl-PL"/>
        </w:rPr>
        <w:footnoteRef/>
      </w:r>
      <w:r w:rsidR="000F3A71" w:rsidRPr="000F3A71">
        <w:rPr>
          <w:sz w:val="24"/>
          <w:lang w:val="pl-PL"/>
        </w:rPr>
        <w:t xml:space="preserve"> </w:t>
      </w:r>
      <w:r w:rsidR="000F3A71" w:rsidRPr="000F3A71">
        <w:rPr>
          <w:sz w:val="24"/>
          <w:lang w:val="pl-PL"/>
        </w:rPr>
        <w:tab/>
      </w:r>
      <w:r w:rsidRPr="000F3A71">
        <w:rPr>
          <w:sz w:val="24"/>
          <w:lang w:val="pl-PL"/>
        </w:rPr>
        <w:t xml:space="preserve">Dz.U. L 424 z 15.12.2020, </w:t>
      </w:r>
      <w:proofErr w:type="gramStart"/>
      <w:r w:rsidRPr="000F3A71">
        <w:rPr>
          <w:sz w:val="24"/>
          <w:lang w:val="pl-PL"/>
        </w:rPr>
        <w:t>s</w:t>
      </w:r>
      <w:proofErr w:type="gramEnd"/>
      <w:r w:rsidRPr="000F3A71">
        <w:rPr>
          <w:sz w:val="24"/>
          <w:lang w:val="pl-PL"/>
        </w:rPr>
        <w:t xml:space="preserve">. 1, ELI: </w:t>
      </w:r>
      <w:hyperlink r:id="rId5" w:history="1">
        <w:r w:rsidRPr="000F3A71">
          <w:rPr>
            <w:rStyle w:val="Hyperlink"/>
            <w:sz w:val="24"/>
            <w:lang w:val="pl-PL"/>
          </w:rPr>
          <w:t>http://data.europa.eu/eli/dec/2020/2053/oj</w:t>
        </w:r>
      </w:hyperlink>
      <w:r w:rsidRPr="000F3A71">
        <w:rPr>
          <w:sz w:val="24"/>
          <w:lang w:val="pl-PL"/>
        </w:rPr>
        <w:t>.</w:t>
      </w:r>
    </w:p>
  </w:footnote>
  <w:footnote w:id="6">
    <w:p w:rsidR="00E45D55" w:rsidRPr="000F3A71" w:rsidRDefault="00E45D55" w:rsidP="000F3A71">
      <w:pPr>
        <w:pStyle w:val="FootnoteText"/>
        <w:ind w:left="567" w:hanging="567"/>
        <w:rPr>
          <w:sz w:val="24"/>
          <w:lang w:val="pl-PL"/>
        </w:rPr>
      </w:pPr>
      <w:r w:rsidRPr="000F3A71">
        <w:rPr>
          <w:rStyle w:val="FootnoteReference"/>
          <w:sz w:val="24"/>
          <w:lang w:val="pl-PL"/>
        </w:rPr>
        <w:footnoteRef/>
      </w:r>
      <w:r w:rsidR="000F3A71" w:rsidRPr="000F3A71">
        <w:rPr>
          <w:sz w:val="24"/>
          <w:lang w:val="pl-PL"/>
        </w:rPr>
        <w:t xml:space="preserve"> </w:t>
      </w:r>
      <w:r w:rsidR="000F3A71" w:rsidRPr="000F3A71">
        <w:rPr>
          <w:sz w:val="24"/>
          <w:lang w:val="pl-PL"/>
        </w:rPr>
        <w:tab/>
      </w:r>
      <w:r w:rsidRPr="000F3A71">
        <w:rPr>
          <w:sz w:val="24"/>
          <w:lang w:val="pl-PL"/>
        </w:rPr>
        <w:t>Rozporządzenie Parlamentu Europejskiego i Rady (UE</w:t>
      </w:r>
      <w:proofErr w:type="gramStart"/>
      <w:r w:rsidRPr="000F3A71">
        <w:rPr>
          <w:sz w:val="24"/>
          <w:lang w:val="pl-PL"/>
        </w:rPr>
        <w:t>) 2024/2773 z</w:t>
      </w:r>
      <w:proofErr w:type="gramEnd"/>
      <w:r w:rsidRPr="000F3A71">
        <w:rPr>
          <w:sz w:val="24"/>
          <w:lang w:val="pl-PL"/>
        </w:rPr>
        <w:t xml:space="preserve"> dnia 24 października 2024 r. ustanawiające mechanizm współpracy pożyczkowej dla Ukrainy i udzielające wyjątkowej pomocy </w:t>
      </w:r>
      <w:proofErr w:type="spellStart"/>
      <w:r w:rsidRPr="000F3A71">
        <w:rPr>
          <w:sz w:val="24"/>
          <w:lang w:val="pl-PL"/>
        </w:rPr>
        <w:t>makrofinansowej</w:t>
      </w:r>
      <w:proofErr w:type="spellEnd"/>
      <w:r w:rsidRPr="000F3A71">
        <w:rPr>
          <w:sz w:val="24"/>
          <w:lang w:val="pl-PL"/>
        </w:rPr>
        <w:t xml:space="preserve"> Ukrainie (Dz.U., 2024/2773, 28.10.2024, ELI: </w:t>
      </w:r>
      <w:hyperlink r:id="rId6" w:history="1">
        <w:r w:rsidRPr="000F3A71">
          <w:rPr>
            <w:rStyle w:val="Hyperlink"/>
            <w:sz w:val="24"/>
            <w:lang w:val="pl-PL"/>
          </w:rPr>
          <w:t>http://data.europa.eu/eli/reg/2024/2773/oj</w:t>
        </w:r>
      </w:hyperlink>
      <w:r w:rsidRPr="000F3A71">
        <w:rPr>
          <w:sz w:val="24"/>
          <w:lang w:val="pl-PL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3A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3A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3A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4"/>
    <w:docVar w:name="dvlangue" w:val="PL"/>
    <w:docVar w:name="dvnumam" w:val="0"/>
    <w:docVar w:name="dvpe" w:val="765.136"/>
    <w:docVar w:name="dvrapporteur" w:val="Sprawozdawca: "/>
    <w:docVar w:name="dvtitre" w:val="Rezolucja Parlamentu Europejskiego z dnia  2024 r. w sprawie stanowiska Rady dotyczącego projektu budżetu korygującego Unii Europejskiej nr 5/2024 na rok budżetowy 2024 – dostosowanie środków na płatności, aktualizacja dochodów i inne aktualizacje techniczne(14477/2024 – C10-0186/2024 – 2024/0252(BUD))"/>
  </w:docVars>
  <w:rsids>
    <w:rsidRoot w:val="00646D15"/>
    <w:rsid w:val="00002272"/>
    <w:rsid w:val="00064002"/>
    <w:rsid w:val="000677B9"/>
    <w:rsid w:val="0007043A"/>
    <w:rsid w:val="000831BA"/>
    <w:rsid w:val="000A42CC"/>
    <w:rsid w:val="000E7DD9"/>
    <w:rsid w:val="000F3A71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6D1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CD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0F1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D5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CCA21"/>
  <w15:chartTrackingRefBased/>
  <w15:docId w15:val="{3455C4E4-AB86-4430-A1F8-31903D896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45D55"/>
    <w:pPr>
      <w:spacing w:before="480" w:after="240"/>
    </w:pPr>
  </w:style>
  <w:style w:type="paragraph" w:customStyle="1" w:styleId="NormalHanging12a">
    <w:name w:val="NormalHanging12a"/>
    <w:basedOn w:val="Normal"/>
    <w:rsid w:val="00E45D5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E45D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4/207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reg/2024/2773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1863B-0623-4FE7-AEA5-CDAEEC62D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1306</Words>
  <Characters>8553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2024-11-27T13:57:00Z</dcterms:created>
  <dcterms:modified xsi:type="dcterms:W3CDTF">2024-11-27T13:57:00Z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A10-0017/2024</vt:lpwstr>
  </property>
  <property fmtid="{D5CDD505-2E9C-101B-9397-08002B2CF9AE}" pid="4" name="&lt;Type&gt;">
    <vt:lpwstr>RR</vt:lpwstr>
  </property>
</Properties>
</file>