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P10_TA(2024)0049</w:t>
      </w:r>
      <w:bookmarkStart w:id="1" w:name="_GoBack"/>
      <w:bookmarkEnd w:id="0"/>
      <w:bookmarkEnd w:id="1"/>
    </w:p>
    <w:p>
      <w:pPr>
        <w:pStyle w:val="ATHeading2"/>
      </w:pPr>
      <w:bookmarkStart w:id="2" w:name="title"/>
      <w:r>
        <w:t>Návrh opravného rozpočtu č. 5/2024: Úpravy platobných rozpočtových prostriedkov, aktualizácia príjmov a iné technické aktualizácie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A10-0017/2024</w:instrText>
      </w:r>
      <w:bookmarkEnd w:id="3"/>
      <w:r>
        <w:rPr>
          <w:i/>
        </w:rPr>
        <w:instrText xml:space="preserve"> - Spravodajca: Siegfried Mureşan)"\l3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rozpočet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PE765.136</w:t>
      </w:r>
      <w:bookmarkEnd w:id="5"/>
    </w:p>
    <w:p>
      <w:pPr>
        <w:pStyle w:val="ATHeading3"/>
      </w:pPr>
      <w:bookmarkStart w:id="6" w:name="Sujet"/>
      <w:r>
        <w:t>Uznesenie Európskeho parlamentu z 27. novembra 2024 o pozícii Rady k návrhu opravného rozpočtu Európskej únie č. 5/2024 na rozpočtový rok 2024 – Úpravy platobných rozpočtových prostriedkov, aktualizácia príjmov a ďalšie technické aktualizácie</w:t>
      </w:r>
      <w:bookmarkEnd w:id="6"/>
      <w:r>
        <w:t xml:space="preserve"> </w:t>
      </w:r>
      <w:bookmarkStart w:id="7" w:name="References"/>
      <w:r>
        <w:t>(14477/2024 – C10-0186/2024 – 2024/0252(BUD))</w:t>
      </w:r>
      <w:bookmarkEnd w:id="7"/>
    </w:p>
    <w:p>
      <w:pPr>
        <w:pStyle w:val="EPComma"/>
      </w:pPr>
      <w:bookmarkStart w:id="8" w:name="TextBodyBegin"/>
      <w:bookmarkEnd w:id="8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314 Zmluvy o fungovaní Európskej únie,</w:t>
      </w:r>
    </w:p>
    <w:p>
      <w:pPr>
        <w:pStyle w:val="NormalHanging12a"/>
      </w:pPr>
      <w:r>
        <w:t>–</w:t>
      </w:r>
      <w:r>
        <w:tab/>
        <w:t>so zreteľom na článok 106a Zmluvy o založení Európskeho spoločenstva pre atómovú energiu,</w:t>
      </w:r>
    </w:p>
    <w:p>
      <w:pPr>
        <w:pStyle w:val="NormalHanging12a"/>
      </w:pPr>
      <w:r>
        <w:t>–</w:t>
      </w:r>
      <w:r>
        <w:tab/>
        <w:t xml:space="preserve">so zreteľom na nariadenie Európskeho parlamentu a Rady (EÚ, </w:t>
      </w:r>
      <w:proofErr w:type="spellStart"/>
      <w:r>
        <w:t>Euratom</w:t>
      </w:r>
      <w:proofErr w:type="spellEnd"/>
      <w:r>
        <w:t>) 2024/2509 z 23. septembra 2024 o rozpočtových pravidlách, ktoré sa vzťahujú na všeobecný rozpočet Únie</w:t>
      </w:r>
      <w:r>
        <w:rPr>
          <w:rStyle w:val="FootnoteReference"/>
        </w:rPr>
        <w:footnoteReference w:id="1"/>
      </w:r>
      <w:r>
        <w:t>, a najmä na jeho článok 44,</w:t>
      </w:r>
    </w:p>
    <w:p>
      <w:pPr>
        <w:pStyle w:val="NormalHanging12a"/>
      </w:pPr>
      <w:r>
        <w:t>–</w:t>
      </w:r>
      <w:r>
        <w:tab/>
        <w:t>so zreteľom na všeobecný rozpočet Európskej únie na rozpočtový rok 2024 prijatý s konečnou platnosťou 22. novembra 2023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nariadenie Rady (EÚ, </w:t>
      </w:r>
      <w:proofErr w:type="spellStart"/>
      <w:r>
        <w:t>Euratom</w:t>
      </w:r>
      <w:proofErr w:type="spellEnd"/>
      <w:r>
        <w:t>) 2020/2093 zo 17. decembra 2020, ktorým sa stanovuje viacročný finančný rámec na roky 2021 až 2027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Medziinštitucionálnu</w:t>
      </w:r>
      <w:proofErr w:type="spellEnd"/>
      <w:r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rozhodnutie Rady (EÚ, </w:t>
      </w:r>
      <w:proofErr w:type="spellStart"/>
      <w:r>
        <w:t>Euratom</w:t>
      </w:r>
      <w:proofErr w:type="spellEnd"/>
      <w:r>
        <w:t xml:space="preserve">) 2020/2053 zo 14. decembra 2020 </w:t>
      </w:r>
      <w:r>
        <w:lastRenderedPageBreak/>
        <w:t xml:space="preserve">o systéme vlastných zdrojov Európskej únie a o zrušení rozhodnutia 2014/335/EÚ, </w:t>
      </w:r>
      <w:proofErr w:type="spellStart"/>
      <w:r>
        <w:t>Euratom</w:t>
      </w:r>
      <w:proofErr w:type="spellEnd"/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  <w:t>so zreteľom na návrh opravného rozpočtu č. 5/2024, ktorý Komisia prijala 10. októbra 2024 (COM(2024)0650),</w:t>
      </w:r>
    </w:p>
    <w:p>
      <w:pPr>
        <w:pStyle w:val="NormalHanging12a"/>
      </w:pPr>
      <w:r>
        <w:t>–</w:t>
      </w:r>
      <w:r>
        <w:tab/>
        <w:t>so zreteľom na pozíciu k návrhu opravného rozpočtu č. 5/2024, ktorú Rada prijala 5. novembra 2024 a postúpila Európskemu parlamentu 12. novembra 2024 (14477/2024 – C10-0186/2024),</w:t>
      </w:r>
    </w:p>
    <w:p>
      <w:pPr>
        <w:pStyle w:val="NormalHanging12a"/>
      </w:pPr>
      <w:r>
        <w:t>–</w:t>
      </w:r>
      <w:r>
        <w:tab/>
        <w:t>so zreteľom na články 96 a 98 rokovacieho poriadku,</w:t>
      </w:r>
    </w:p>
    <w:p>
      <w:pPr>
        <w:pStyle w:val="NormalHanging12a"/>
      </w:pPr>
      <w:r>
        <w:t>–</w:t>
      </w:r>
      <w:r>
        <w:tab/>
        <w:t>so zreteľom na správu Výboru pre rozpočet (A10-0017/2024),</w:t>
      </w:r>
    </w:p>
    <w:p>
      <w:pPr>
        <w:pStyle w:val="NormalHanging12a"/>
      </w:pPr>
      <w:r>
        <w:t>A.</w:t>
      </w:r>
      <w:r>
        <w:tab/>
        <w:t>keďže účelom návrhu opravného rozpočtu č. 5/2024 je upraviť výdavky, najmä pokiaľ ide o platobné rozpočtové prostriedky, a aktualizovať príjmy rozpočtu Únie;</w:t>
      </w:r>
    </w:p>
    <w:p>
      <w:pPr>
        <w:pStyle w:val="NormalHanging12a"/>
      </w:pPr>
      <w:r>
        <w:t>B.</w:t>
      </w:r>
      <w:r>
        <w:tab/>
        <w:t>keďže návrh opravného rozpočtu č. 5/2024 obsahuje čisté zvýšenie výdavkov o 44,5 milióna EUR vo viazaných rozpočtových prostriedkoch a o 2,95 miliardy EUR v platobných rozpočtových prostriedkoch; keďže v okruhoch 2b, 5 a 7 viacročného finančného rámca (ďalej len „VFR“) nie je k dispozícii rezerva, navrhuje sa uvoľniť ďalších 7,2 milióna EUR z nástroja flexibility a použiť ďalších 68,5 milióna EUR zo  zložky a) nástroja jednotnej rezervy;</w:t>
      </w:r>
    </w:p>
    <w:p>
      <w:pPr>
        <w:pStyle w:val="NormalHanging12a"/>
      </w:pPr>
      <w:r>
        <w:t>C.</w:t>
      </w:r>
      <w:r>
        <w:tab/>
        <w:t>keďže na strane príjmov zahŕňa návrh opravného rozpočtu č. 5/2024 do rozpočtu na rok 2024 konečné pokuty a sankcie zaplatené do októbra 2024 v celkovej výške 2,82 miliardy EUR, čo znamená, že na pokrytie platobných potrieb sú potrebné dodatočné príspevky z HND vo výške 139,9 milióna EUR;</w:t>
      </w:r>
    </w:p>
    <w:p>
      <w:pPr>
        <w:pStyle w:val="NormalHanging12a"/>
      </w:pPr>
      <w:r>
        <w:t>D.</w:t>
      </w:r>
      <w:r>
        <w:tab/>
        <w:t xml:space="preserve">keďže návrh opravného rozpočtu č. 5/2024 zavádza aj nové rozpočtové riadky príjmov a výdavkov pre Mechanizmus spolupráce v oblasti úverov pre Ukrajinu, v rámci ktorých sa podpora bude poskytovať vo forme úverov spravovaných a splácaných budúcimi tokmi príjmov z </w:t>
      </w:r>
      <w:proofErr w:type="spellStart"/>
      <w:r>
        <w:t>imobilizovaných</w:t>
      </w:r>
      <w:proofErr w:type="spellEnd"/>
      <w:r>
        <w:t xml:space="preserve"> ruských štátnych aktív;</w:t>
      </w:r>
    </w:p>
    <w:p>
      <w:pPr>
        <w:pStyle w:val="NormalHanging12a"/>
      </w:pPr>
      <w:r>
        <w:t>1.</w:t>
      </w:r>
      <w:r>
        <w:tab/>
        <w:t>berie na vedomie návrh opravného rozpočtu č. 5/2024 v znení, v akom ho predložila Komisia;</w:t>
      </w:r>
    </w:p>
    <w:p>
      <w:pPr>
        <w:pStyle w:val="NormalHanging12a"/>
      </w:pPr>
      <w:r>
        <w:t>2.</w:t>
      </w:r>
      <w:r>
        <w:tab/>
        <w:t xml:space="preserve">víta nárast platobných potrieb pre Európsky fond regionálneho rozvoja (ďalej len „EFRR“) a pre spoločnú poľnohospodársku politiku v rámci globálneho presunu (DEC 11/24), čo značí, že vykonávanie programu po znepokojujúco pomalom začiatku v období 2021 – 2027 naberá tempo; </w:t>
      </w:r>
    </w:p>
    <w:p>
      <w:pPr>
        <w:pStyle w:val="NormalHanging12a"/>
      </w:pPr>
      <w:r>
        <w:t>3.</w:t>
      </w:r>
      <w:r>
        <w:tab/>
        <w:t>s potešením konštatuje, že zmeny pravidiel zavedených Platformou strategických technológií pre Európu (ďalej len „STEP“) – s výnimočným predbežným financovaním a dobrovoľným 100 % spolufinancovaním – mali pozitívny vplyv na vykonávanie EFRR, čo znamená, že členské štáty vynakladajú finančné prostriedky na ciele platformy STEP; ďalej sa domnieva, že zvýšené platby v roku 2024 by mali pomôcť zmierniť tlak na platby v rokoch 2025 až 2027;</w:t>
      </w:r>
    </w:p>
    <w:p>
      <w:pPr>
        <w:pStyle w:val="NormalHanging12a"/>
      </w:pPr>
      <w:r>
        <w:t>4.</w:t>
      </w:r>
      <w:r>
        <w:tab/>
        <w:t xml:space="preserve">konštatuje, že zvýšené platobné potreby sú takmer úplne pokryté z príjmov z pokút a </w:t>
      </w:r>
      <w:r>
        <w:lastRenderedPageBreak/>
        <w:t xml:space="preserve">sankcií, najmä z pokuty za porušenie </w:t>
      </w:r>
      <w:proofErr w:type="spellStart"/>
      <w:r>
        <w:t>antitrustových</w:t>
      </w:r>
      <w:proofErr w:type="spellEnd"/>
      <w:r>
        <w:t xml:space="preserve"> pravidiel vo výške 2,4 miliardy EUR, ktorá bola uložená spoločnosti Google;</w:t>
      </w:r>
    </w:p>
    <w:p>
      <w:pPr>
        <w:pStyle w:val="NormalHanging12a"/>
      </w:pPr>
      <w:r>
        <w:t>5.</w:t>
      </w:r>
      <w:r>
        <w:tab/>
        <w:t xml:space="preserve">opätovne zdôrazňuje potrebu dlhodobých udržateľných príjmov do rozpočtu Únie, ktorý bol v posledných rokoch značne zaťažený v reakcii na rôzne krízy; vyjadruje preto poľutovanie nad tým, že Rada nedosiahla pokrok v reforme systému vlastných zdrojov v súlade s plánom uvedeným v </w:t>
      </w:r>
      <w:proofErr w:type="spellStart"/>
      <w:r>
        <w:t>Medziinštitucionálnej</w:t>
      </w:r>
      <w:proofErr w:type="spellEnd"/>
      <w:r>
        <w:t xml:space="preserve"> dohode; pripomína svoju pozíciu na podporu zmenených návrhov Komisie a naliehavo vyzýva Radu a členské štáty, aby urýchlene prijali tieto návrhy s cieľom zvýšiť vlastné zdroje dostupné pre rozpočet Únie; pripomína svoju dlhodobú pozíciu, že pokuty a poplatky by sa mali používať ako dodatočný príjem do rozpočtu Únie;</w:t>
      </w:r>
    </w:p>
    <w:p>
      <w:pPr>
        <w:pStyle w:val="NormalHanging12a"/>
      </w:pPr>
      <w:r>
        <w:t>6.</w:t>
      </w:r>
      <w:r>
        <w:tab/>
        <w:t xml:space="preserve">víta zahrnutie rozpočtových riadkov príjmov a výdavkov do Mechanizmu spolupráce v oblasti úverov pre Ukrajinu; zdôrazňuje význam trvalej finančnej podpory Ukrajine v situácii, keď financovanie v rámci Nástroja pre Ukrajinu a existujúcich dohôd o </w:t>
      </w:r>
      <w:proofErr w:type="spellStart"/>
      <w:r>
        <w:t>makrofinančnej</w:t>
      </w:r>
      <w:proofErr w:type="spellEnd"/>
      <w:r>
        <w:t xml:space="preserve"> pomoci nedostatočne plní jej potreby; </w:t>
      </w:r>
    </w:p>
    <w:p>
      <w:pPr>
        <w:pStyle w:val="NormalHanging12a"/>
      </w:pPr>
      <w:r>
        <w:t>7.</w:t>
      </w:r>
      <w:r>
        <w:tab/>
        <w:t xml:space="preserve">pripomína, že dodatočné úvery v rámci </w:t>
      </w:r>
      <w:proofErr w:type="spellStart"/>
      <w:r>
        <w:t>makrofinančnej</w:t>
      </w:r>
      <w:proofErr w:type="spellEnd"/>
      <w:r>
        <w:t xml:space="preserve"> pomoci sa upíšu z manévrovacieho priestoru rozpočtu, a opakuje svoju výzvu Komisii, aby rozpočtovému orgánu poskytla podrobné informácie o </w:t>
      </w:r>
      <w:proofErr w:type="spellStart"/>
      <w:r>
        <w:t>agregácii</w:t>
      </w:r>
      <w:proofErr w:type="spellEnd"/>
      <w:r>
        <w:t xml:space="preserve"> záväzkov do manévrovacieho priestoru, ktoré sú podmienené operáciami prijímania a poskytovania úverov; očakáva, že Komisia poskytne Európskemu parlamentu a Rade všetky potrebné informácie podľa svojho vyhlásenia pripojeného k nariadeniu Európskeho parlamentu a Radu (EÚ) 2024/2773</w:t>
      </w:r>
      <w:r>
        <w:rPr>
          <w:rStyle w:val="FootnoteReference"/>
          <w:bCs/>
          <w:color w:val="333333"/>
          <w:shd w:val="clear" w:color="auto" w:fill="FFFFFF"/>
        </w:rPr>
        <w:footnoteReference w:id="6"/>
      </w:r>
      <w:r>
        <w:t>;</w:t>
      </w:r>
    </w:p>
    <w:p>
      <w:pPr>
        <w:pStyle w:val="NormalHanging12a"/>
      </w:pPr>
      <w:r>
        <w:t>8.</w:t>
      </w:r>
      <w:r>
        <w:tab/>
        <w:t>berie na vedomie úpravu platov na rok 2024, ktorá je vyššie, než sa plánovalo v rozpočte, čo má vplyv na odmeny aj dôchodky, pričom skutočnosť, že v roku 2024 je vyšší počet nových dôchodcov, než sa predpokladalo, ďalej zvyšuje náklady na dôchodky; víta skutočnosť, že takmer všetky dodatočné náklady vo všetkých inštitúciách boli pokryté internými presunmi a že využívanie nástroja jednotnej rezervy bolo preto obmedzené;</w:t>
      </w:r>
    </w:p>
    <w:p>
      <w:pPr>
        <w:pStyle w:val="NormalHanging12a"/>
      </w:pPr>
      <w:r>
        <w:t>9.</w:t>
      </w:r>
      <w:r>
        <w:tab/>
        <w:t>zdôrazňuje, že úprava platov má vplyv aj na decentralizované agentúry, ktoré zápasia s infláciou presahujúcou deflátor vo výške 2 %, o ktorý sa zvyšujú ich ročné rozpočty, a sú mimoriadne dôležité, keďže náklady na zamestnancov a prevádzkové náklady predstavujú veľkú časť ich výdavkov; víta skutočnosť, že agentúry, ktoré nedokázali nájsť zdroje prostredníctvom prerozdelenia, zaznamenali zvýšenie príspevku Únie o 1,7 %; opakuje, že súčasné zaobchádzanie s rozpočtami decentralizovaných agentúr vyžaduje ďalšie zamyslenie sa v rámci príprav Komisie na VFR na obdobie po roku 2027;</w:t>
      </w:r>
    </w:p>
    <w:p>
      <w:pPr>
        <w:pStyle w:val="NormalHanging12a"/>
      </w:pPr>
      <w:r>
        <w:t>10.</w:t>
      </w:r>
      <w:r>
        <w:tab/>
        <w:t>berie na vedomie zvýšenie rozpočtových prostriedkov pre Agentúru Európskej únie na prevádzkové riadenie rozsiahlych informačných systémov v priestore slobody, bezpečnosti a spravodlivosti (</w:t>
      </w:r>
      <w:proofErr w:type="spellStart"/>
      <w:r>
        <w:t>eu</w:t>
      </w:r>
      <w:proofErr w:type="spellEnd"/>
      <w:r>
        <w:t xml:space="preserve">-LISA) s cieľom pokryť rastúce náklady, vyjadruje však znepokojenie nad zodpovedajúcim znížením rozpočtových prostriedkov pre Agentúru Európskej únie pre azyl (ďalej len „EUAA“); víta, že agentúra EUAA bola posilnená v </w:t>
      </w:r>
      <w:r>
        <w:lastRenderedPageBreak/>
        <w:t>rámci revízie VFR v polovici trvania, aby mohla vykonávať nové úlohy v súvislosti s vykonávaním Paktu o migrácii a azyle; vyzýva Komisiu, aby úzko spolupracovala s oboma agentúrami s cieľom zabezpečiť, aby boli pripravené na plné vykonávanie svojich úloh a čerpanie dodatočných im pridelených rozpočtových prostriedkov;</w:t>
      </w:r>
    </w:p>
    <w:p>
      <w:pPr>
        <w:pStyle w:val="NormalHanging12a"/>
      </w:pPr>
      <w:r>
        <w:t>11.</w:t>
      </w:r>
      <w:r>
        <w:tab/>
        <w:t xml:space="preserve">víta dodatočné rozpočtové prostriedky pre Agentúru Európskej únie pre odbornú prípravu v oblasti presadzovania práva (CEPOL) v roku 2024 v nadväznosti na kybernetický útok na agentúru v júni 2024; zdôrazňuje, že sa z toho treba poučiť a že treba poskytnúť ďalšiu technickú podporu aj iným agentúram a inštitúciám cez tím reakcie na núdzové počítačové situácie v subjektoch Únie (CERT-EU) vzhľadom na vysokú kybernetickú hrozbu a s cieľom zabezpečiť, aby ďalší útok neohrozil žiadne agentúry ani inštitúcie Únie; </w:t>
      </w:r>
    </w:p>
    <w:p>
      <w:pPr>
        <w:pStyle w:val="NormalHanging12a"/>
      </w:pPr>
      <w:r>
        <w:t>12.</w:t>
      </w:r>
      <w:r>
        <w:tab/>
        <w:t xml:space="preserve">zdôrazňuje význam novovytvoreného Úradu pre boj proti praniu špinavých peňazí v revidovanom rámci boja proti praniu špinavých peňazí na úrovni Únie; je preto hlboko znepokojený oneskoreniami pri jeho zriaďovaní, a to najmä v súvislosti s prijímaním zamestnancov; </w:t>
      </w:r>
    </w:p>
    <w:p>
      <w:pPr>
        <w:pStyle w:val="NormalHanging12a"/>
      </w:pPr>
      <w:r>
        <w:t>13.</w:t>
      </w:r>
      <w:r>
        <w:tab/>
        <w:t xml:space="preserve">víta skutočnosť, že vďaka aktuálne platnému prepracovanému zneniu nariadenia o rozpočtových pravidlách možno do rozpočtu zahrnúť záporné príjmy na zaplatenie kompenzačných úrokov v prípade prehratých súdnych sporov; konštatuje, že Komisia v súčasnosti stanovuje presnú výšku takýchto úrokov, a vyzýva Komisiu, aby tieto informácie poskytla rozpočtovému orgánu čo najskôr v roku 2025; </w:t>
      </w:r>
    </w:p>
    <w:p>
      <w:pPr>
        <w:pStyle w:val="NormalHanging12a"/>
      </w:pPr>
      <w:r>
        <w:t>14.</w:t>
      </w:r>
      <w:r>
        <w:tab/>
        <w:t>schvaľuje pozíciu Rady k návrhu opravného rozpočtu č. 5/2024;</w:t>
      </w:r>
    </w:p>
    <w:p>
      <w:pPr>
        <w:pStyle w:val="NormalHanging12a"/>
      </w:pPr>
      <w:r>
        <w:t>15.</w:t>
      </w:r>
      <w:r>
        <w:tab/>
        <w:t xml:space="preserve">poveruje svoju predsedníčku, aby vyhlásila opravný rozpočet č. 5/2024 za prijatý s konečnou platnosťou a aby zabezpečila jeho uverejnenie v </w:t>
      </w:r>
      <w:r>
        <w:rPr>
          <w:i/>
          <w:iCs/>
        </w:rPr>
        <w:t>Úradnom vestníku Európskej únie</w:t>
      </w:r>
      <w:r>
        <w:t>;</w:t>
      </w:r>
    </w:p>
    <w:p>
      <w:pPr>
        <w:pStyle w:val="NormalHanging12a"/>
      </w:pPr>
      <w:r>
        <w:t>16.</w:t>
      </w:r>
      <w:r>
        <w:tab/>
        <w:t>poveruje svoju predsedníčku, aby postúpila toto uznesenie Rade, Komisii a národným parlamentom.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 L, 2024/2509, 26.9.2024, ELI: </w:t>
      </w:r>
      <w:r>
        <w:fldChar w:fldCharType="begin"/>
      </w:r>
      <w:r>
        <w:rPr>
          <w:lang w:val="fi-FI"/>
        </w:rPr>
        <w:instrText xml:space="preserve"> HYPERLINK "https://eur-lex.europa.eu/eli/reg/2024/2509/oj?eliuri=eli%3Areg%3A2024%3A2509%3Aoj&amp;locale=sk%23" </w:instrText>
      </w:r>
      <w:r>
        <w:fldChar w:fldCharType="separate"/>
      </w:r>
      <w:r>
        <w:rPr>
          <w:rStyle w:val="Hyperlink"/>
          <w:sz w:val="24"/>
          <w:lang w:val="sk-SK"/>
        </w:rPr>
        <w:t>http://data.europa.eu/eli/reg/2024/2509/oj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L, 2024/207, 22.2.2024, ELI:</w:t>
      </w:r>
      <w:r>
        <w:fldChar w:fldCharType="begin"/>
      </w:r>
      <w:r>
        <w:rPr>
          <w:lang w:val="es-ES"/>
        </w:rPr>
        <w:instrText xml:space="preserve"> HYPERLINK "http://data.europa.eu/eli/budget/2024/207/oj" </w:instrText>
      </w:r>
      <w:r>
        <w:fldChar w:fldCharType="separate"/>
      </w:r>
      <w:r>
        <w:rPr>
          <w:rStyle w:val="Hyperlink"/>
          <w:sz w:val="24"/>
          <w:lang w:val="es-ES"/>
        </w:rPr>
        <w:t>http://data.europa.eu/eli/budget/2024/207/oj</w:t>
      </w:r>
      <w:r>
        <w:rPr>
          <w:rStyle w:val="Hyperlink"/>
          <w:sz w:val="24"/>
          <w:lang w:val="es-ES"/>
        </w:rPr>
        <w:fldChar w:fldCharType="end"/>
      </w:r>
      <w:r>
        <w:rPr>
          <w:rStyle w:val="Hyperlink"/>
          <w:sz w:val="24"/>
          <w:lang w:val="sk-SK"/>
        </w:rPr>
        <w:t>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11, ELI: </w:t>
      </w:r>
      <w:r>
        <w:fldChar w:fldCharType="begin"/>
      </w:r>
      <w:r>
        <w:rPr>
          <w:lang w:val="fi-FI"/>
        </w:rPr>
        <w:instrText xml:space="preserve"> HYPERLINK "http://data.europa.eu/eli/reg/2020/2093/oj" </w:instrText>
      </w:r>
      <w:r>
        <w:fldChar w:fldCharType="separate"/>
      </w:r>
      <w:r>
        <w:rPr>
          <w:rStyle w:val="Hyperlink"/>
          <w:sz w:val="24"/>
          <w:lang w:val="fi-FI"/>
        </w:rPr>
        <w:t>http://data.europa.eu/eli/reg/2020/2093/oj</w:t>
      </w:r>
      <w:r>
        <w:rPr>
          <w:rStyle w:val="Hyperlink"/>
          <w:sz w:val="24"/>
          <w:lang w:val="fi-FI"/>
        </w:rPr>
        <w:fldChar w:fldCharType="end"/>
      </w:r>
      <w:r>
        <w:rPr>
          <w:rStyle w:val="Hyperlink"/>
          <w:sz w:val="24"/>
          <w:lang w:val="sk-SK"/>
        </w:rPr>
        <w:t>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28, ELI: </w:t>
      </w:r>
      <w:r>
        <w:fldChar w:fldCharType="begin"/>
      </w:r>
      <w:r>
        <w:rPr>
          <w:lang w:val="fi-FI"/>
        </w:rPr>
        <w:instrText xml:space="preserve"> HYPERLINK "http://data.europa.eu/eli/agree_interinstit/2020/1222/oj" </w:instrText>
      </w:r>
      <w:r>
        <w:fldChar w:fldCharType="separate"/>
      </w:r>
      <w:r>
        <w:rPr>
          <w:rStyle w:val="Hyperlink"/>
          <w:sz w:val="24"/>
          <w:lang w:val="fi-FI"/>
        </w:rPr>
        <w:t>http://data.europa.eu/eli/agree_interinstit/2020/1222/oj</w:t>
      </w:r>
      <w:r>
        <w:rPr>
          <w:rStyle w:val="Hyperlink"/>
          <w:sz w:val="24"/>
          <w:lang w:val="fi-FI"/>
        </w:rPr>
        <w:fldChar w:fldCharType="end"/>
      </w:r>
      <w:r>
        <w:rPr>
          <w:rStyle w:val="Hyperlink"/>
          <w:sz w:val="24"/>
          <w:lang w:val="sk-SK"/>
        </w:rPr>
        <w:t>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424, 15.12.2020, s. 1, ELI: </w:t>
      </w:r>
      <w:r>
        <w:fldChar w:fldCharType="begin"/>
      </w:r>
      <w:r>
        <w:rPr>
          <w:lang w:val="fi-FI"/>
        </w:rPr>
        <w:instrText xml:space="preserve"> HYPERLINK "http://data.europa.eu/eli/dec/2020/2053/oj" </w:instrText>
      </w:r>
      <w:r>
        <w:fldChar w:fldCharType="separate"/>
      </w:r>
      <w:r>
        <w:rPr>
          <w:rStyle w:val="Hyperlink"/>
          <w:sz w:val="24"/>
          <w:lang w:val="sk-SK"/>
        </w:rPr>
        <w:t>http://data.europa.eu/eli/dec/2020/2053/oj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(EÚ) 2024/2773 z 24. októbra 2024 o zriadení Mechanizmu spolupráce v oblasti úverov pre Ukrajinu a poskytnutí výnimočnej </w:t>
      </w:r>
      <w:proofErr w:type="spellStart"/>
      <w:r>
        <w:rPr>
          <w:sz w:val="24"/>
          <w:lang w:val="sk-SK"/>
        </w:rPr>
        <w:t>makrofinančnej</w:t>
      </w:r>
      <w:proofErr w:type="spellEnd"/>
      <w:r>
        <w:rPr>
          <w:sz w:val="24"/>
          <w:lang w:val="sk-SK"/>
        </w:rPr>
        <w:t xml:space="preserve"> pomoci Ukrajine (Ú. v. EÚ L, 2024/2773, 28.10.2024, ELI: </w:t>
      </w:r>
      <w:r>
        <w:fldChar w:fldCharType="begin"/>
      </w:r>
      <w:r>
        <w:rPr>
          <w:lang w:val="sk-SK"/>
        </w:rPr>
        <w:instrText xml:space="preserve"> HYPERLINK "http://data.europa.eu/eli/reg/2024/2773/oj" </w:instrText>
      </w:r>
      <w:r>
        <w:fldChar w:fldCharType="separate"/>
      </w:r>
      <w:r>
        <w:rPr>
          <w:rStyle w:val="Hyperlink"/>
          <w:sz w:val="24"/>
          <w:lang w:val="sk-SK"/>
        </w:rPr>
        <w:t>http://data.europa.eu/eli/reg/2024/2773/oj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4"/>
    <w:docVar w:name="dvlangue" w:val="SK"/>
    <w:docVar w:name="dvnumam" w:val="0"/>
    <w:docVar w:name="dvpe" w:val="765.136"/>
    <w:docVar w:name="dvrapporteur" w:val="Spravodajca: "/>
    <w:docVar w:name="dvtitre" w:val="Uznesenie Európskeho parlamentu z 27. novembra 2024 o pozícii Rady k návrhu opravného rozpočtu Európskej únie č. 5/2024 na rozpočtový rok 2024 – Úpravy platobných rozpočtových prostriedkov, aktualizácia príjmov a ďalšie technické aktualizácie(14477/2024 – C10-0186/2024 – 2024/0252(BU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30F92-EA66-4608-98AA-BE017122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0CA29-D1AF-4315-B10D-158AF8798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1291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2024-11-27T11:44:00Z</dcterms:created>
  <dcterms:modified xsi:type="dcterms:W3CDTF">2024-11-27T11:44:00Z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A10-0017/2024</vt:lpwstr>
  </property>
  <property fmtid="{D5CDD505-2E9C-101B-9397-08002B2CF9AE}" pid="4" name="&lt;Type&gt;">
    <vt:lpwstr>RR</vt:lpwstr>
  </property>
</Properties>
</file>