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5D53" w14:paraId="7359DF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47F74D" w14:textId="77777777" w:rsidR="00751A4A" w:rsidRPr="00945D53" w:rsidRDefault="00107D40" w:rsidP="0010095E">
            <w:pPr>
              <w:pStyle w:val="EPName"/>
            </w:pPr>
            <w:r w:rsidRPr="00945D53">
              <w:t>Evropski parlament</w:t>
            </w:r>
          </w:p>
          <w:p w14:paraId="54E716F1" w14:textId="77777777" w:rsidR="00751A4A" w:rsidRPr="00945D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5D53">
              <w:t>2024</w:t>
            </w:r>
            <w:r w:rsidR="00817416" w:rsidRPr="00945D53">
              <w:t>-202</w:t>
            </w:r>
            <w:r w:rsidRPr="00945D53">
              <w:t>9</w:t>
            </w:r>
          </w:p>
        </w:tc>
        <w:tc>
          <w:tcPr>
            <w:tcW w:w="2268" w:type="dxa"/>
            <w:shd w:val="clear" w:color="auto" w:fill="auto"/>
          </w:tcPr>
          <w:p w14:paraId="406810D0" w14:textId="77777777" w:rsidR="00751A4A" w:rsidRPr="00945D53" w:rsidRDefault="00187494" w:rsidP="0010095E">
            <w:pPr>
              <w:pStyle w:val="EPLogo"/>
            </w:pPr>
            <w:r w:rsidRPr="00945D53">
              <w:rPr>
                <w:noProof/>
                <w:lang w:val="en-GB"/>
              </w:rPr>
              <w:drawing>
                <wp:inline distT="0" distB="0" distL="0" distR="0" wp14:anchorId="6F9D0930" wp14:editId="767671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6705F" w14:textId="77777777" w:rsidR="00D058B8" w:rsidRPr="00945D53" w:rsidRDefault="00D058B8" w:rsidP="004C5D52">
      <w:pPr>
        <w:pStyle w:val="LineTop"/>
      </w:pPr>
    </w:p>
    <w:p w14:paraId="7871D0D6" w14:textId="77777777" w:rsidR="00680577" w:rsidRPr="00945D53" w:rsidRDefault="00107D40" w:rsidP="00680577">
      <w:pPr>
        <w:pStyle w:val="EPBodyTA1"/>
      </w:pPr>
      <w:r w:rsidRPr="00945D53">
        <w:t>SPREJETA BESEDILA</w:t>
      </w:r>
    </w:p>
    <w:p w14:paraId="4165AA43" w14:textId="77777777" w:rsidR="00D058B8" w:rsidRPr="00945D53" w:rsidRDefault="00D058B8" w:rsidP="00D058B8">
      <w:pPr>
        <w:pStyle w:val="LineBottom"/>
      </w:pPr>
    </w:p>
    <w:p w14:paraId="7441A461" w14:textId="0B54587E" w:rsidR="00107D40" w:rsidRPr="00945D53" w:rsidRDefault="00107D40" w:rsidP="0065679B">
      <w:pPr>
        <w:pStyle w:val="ATHeading1"/>
      </w:pPr>
      <w:bookmarkStart w:id="0" w:name="TANumber"/>
      <w:r w:rsidRPr="00945D53">
        <w:t>P10_TA(2024)</w:t>
      </w:r>
      <w:bookmarkEnd w:id="0"/>
      <w:r w:rsidR="008F0A3C">
        <w:t>00</w:t>
      </w:r>
      <w:r w:rsidR="0065679B">
        <w:t>49</w:t>
      </w:r>
    </w:p>
    <w:p w14:paraId="154C077D" w14:textId="5F219E8C" w:rsidR="00107D40" w:rsidRPr="00945D53" w:rsidRDefault="00107D40" w:rsidP="00206E50">
      <w:pPr>
        <w:pStyle w:val="ATHeading2"/>
      </w:pPr>
      <w:bookmarkStart w:id="1" w:name="title"/>
      <w:r w:rsidRPr="00945D53">
        <w:t xml:space="preserve">Predlog spremembe proračuna št. 5/2024: </w:t>
      </w:r>
      <w:r w:rsidR="00206E50" w:rsidRPr="00945D53">
        <w:t>p</w:t>
      </w:r>
      <w:r w:rsidRPr="00945D53">
        <w:t>rilagoditev odobritev plačil, posodobitev prihodkov in druge tehnične posodobitve</w:t>
      </w:r>
      <w:bookmarkEnd w:id="1"/>
    </w:p>
    <w:p w14:paraId="20C80FC4" w14:textId="77777777" w:rsidR="00107D40" w:rsidRPr="00945D53" w:rsidRDefault="00107D40" w:rsidP="00107D40">
      <w:pPr>
        <w:rPr>
          <w:i/>
          <w:vanish/>
        </w:rPr>
      </w:pPr>
      <w:r w:rsidRPr="00945D53">
        <w:rPr>
          <w:i/>
        </w:rPr>
        <w:fldChar w:fldCharType="begin"/>
      </w:r>
      <w:r w:rsidRPr="00945D53">
        <w:rPr>
          <w:i/>
        </w:rPr>
        <w:instrText xml:space="preserve"> TC"(</w:instrText>
      </w:r>
      <w:bookmarkStart w:id="2" w:name="DocNumber"/>
      <w:r w:rsidRPr="00945D53">
        <w:rPr>
          <w:i/>
        </w:rPr>
        <w:instrText>A10-0017/2024</w:instrText>
      </w:r>
      <w:bookmarkEnd w:id="2"/>
      <w:r w:rsidRPr="00945D53">
        <w:rPr>
          <w:i/>
        </w:rPr>
        <w:instrText xml:space="preserve"> - Poročevalec: Siegfried </w:instrText>
      </w:r>
      <w:proofErr w:type="spellStart"/>
      <w:r w:rsidRPr="00945D53">
        <w:rPr>
          <w:i/>
        </w:rPr>
        <w:instrText>Mureşan</w:instrText>
      </w:r>
      <w:proofErr w:type="spellEnd"/>
      <w:r w:rsidRPr="00945D53">
        <w:rPr>
          <w:i/>
        </w:rPr>
        <w:instrText xml:space="preserve">)"\l3 \n&gt; \* MERGEFORMAT </w:instrText>
      </w:r>
      <w:r w:rsidRPr="00945D53">
        <w:rPr>
          <w:i/>
        </w:rPr>
        <w:fldChar w:fldCharType="end"/>
      </w:r>
    </w:p>
    <w:p w14:paraId="3611A560" w14:textId="77777777" w:rsidR="00107D40" w:rsidRPr="00945D53" w:rsidRDefault="00107D40" w:rsidP="00107D40">
      <w:pPr>
        <w:rPr>
          <w:vanish/>
        </w:rPr>
      </w:pPr>
      <w:bookmarkStart w:id="3" w:name="Commission"/>
      <w:r w:rsidRPr="00945D53">
        <w:rPr>
          <w:vanish/>
        </w:rPr>
        <w:t>Odbor za proračun</w:t>
      </w:r>
      <w:bookmarkEnd w:id="3"/>
    </w:p>
    <w:p w14:paraId="5E021F2D" w14:textId="77777777" w:rsidR="00107D40" w:rsidRPr="00945D53" w:rsidRDefault="00107D40" w:rsidP="00107D40">
      <w:pPr>
        <w:rPr>
          <w:vanish/>
        </w:rPr>
      </w:pPr>
      <w:bookmarkStart w:id="4" w:name="PE"/>
      <w:r w:rsidRPr="00945D53">
        <w:rPr>
          <w:vanish/>
        </w:rPr>
        <w:t>PE765.136</w:t>
      </w:r>
      <w:bookmarkEnd w:id="4"/>
    </w:p>
    <w:p w14:paraId="1272F03F" w14:textId="45D23CD5" w:rsidR="00107D40" w:rsidRPr="00945D53" w:rsidRDefault="00107D40" w:rsidP="00206E50">
      <w:pPr>
        <w:pStyle w:val="ATHeading3"/>
      </w:pPr>
      <w:bookmarkStart w:id="5" w:name="Sujet"/>
      <w:r w:rsidRPr="00945D53">
        <w:t xml:space="preserve">Resolucija Evropskega parlamenta z dne </w:t>
      </w:r>
      <w:r w:rsidR="00187E86" w:rsidRPr="00945D53">
        <w:t>27</w:t>
      </w:r>
      <w:r w:rsidRPr="00945D53">
        <w:t xml:space="preserve">. novembra 2024 o stališču Sveta o predlogu spremembe proračuna Evropske unije št. 5/2024 za proračunsko leto 2024: </w:t>
      </w:r>
      <w:r w:rsidR="00206E50" w:rsidRPr="00945D53">
        <w:t>p</w:t>
      </w:r>
      <w:r w:rsidRPr="00945D53">
        <w:t>rilagoditev odobritev plačil, posodobitev prihodkov in druge tehnične posodobitve</w:t>
      </w:r>
      <w:bookmarkEnd w:id="5"/>
      <w:r w:rsidRPr="00945D53">
        <w:t xml:space="preserve"> </w:t>
      </w:r>
      <w:bookmarkStart w:id="6" w:name="References"/>
      <w:r w:rsidRPr="00945D53">
        <w:t>(14477/2024 – C10-0186/2024 – 2024/0252(BUD))</w:t>
      </w:r>
      <w:bookmarkEnd w:id="6"/>
    </w:p>
    <w:p w14:paraId="5E774DC4" w14:textId="77777777" w:rsidR="001D78FE" w:rsidRPr="00945D53" w:rsidRDefault="001D78FE" w:rsidP="001D78FE">
      <w:pPr>
        <w:pStyle w:val="EPComma"/>
      </w:pPr>
      <w:bookmarkStart w:id="7" w:name="TextBodyBegin"/>
      <w:bookmarkEnd w:id="7"/>
      <w:r w:rsidRPr="00945D53">
        <w:rPr>
          <w:i/>
        </w:rPr>
        <w:t>Evropski parlament</w:t>
      </w:r>
      <w:r w:rsidRPr="00945D53">
        <w:t>,</w:t>
      </w:r>
    </w:p>
    <w:p w14:paraId="21EF50D7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člena 314 Pogodbe o delovanju Evropske unije,</w:t>
      </w:r>
    </w:p>
    <w:p w14:paraId="74FD0C83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člena 106a Pogodbe o ustanovitvi Evropske skupnosti za atomsko energijo,</w:t>
      </w:r>
    </w:p>
    <w:p w14:paraId="2AD5F793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Uredbe (EU, Euratom) 2024/2509 Evropskega parlamenta in Sveta z dne 23. septembra 2024 o finančnih pravilih, ki se uporabljajo za splošni proračun Unije</w:t>
      </w:r>
      <w:r w:rsidRPr="00945D53">
        <w:rPr>
          <w:rStyle w:val="FootnoteReference"/>
        </w:rPr>
        <w:footnoteReference w:id="1"/>
      </w:r>
      <w:r w:rsidRPr="00945D53">
        <w:t>, zlasti člena 44,</w:t>
      </w:r>
    </w:p>
    <w:p w14:paraId="6D879126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splošnega proračuna Evropske unije za proračunsko leto 2024, kot je bil dokončno sprejet 22. novembra 2023</w:t>
      </w:r>
      <w:r w:rsidRPr="00945D53">
        <w:rPr>
          <w:rStyle w:val="FootnoteReference"/>
        </w:rPr>
        <w:footnoteReference w:id="2"/>
      </w:r>
      <w:r w:rsidRPr="00945D53">
        <w:t>,</w:t>
      </w:r>
    </w:p>
    <w:p w14:paraId="04D85B57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Uredbe Sveta (EU, Euratom) 2020/2093 z dne 17. decembra 2020 o določitvi večletnega finančnega okvira za obdobje 2021–2027</w:t>
      </w:r>
      <w:r w:rsidRPr="00945D53">
        <w:rPr>
          <w:rStyle w:val="FootnoteReference"/>
        </w:rPr>
        <w:footnoteReference w:id="3"/>
      </w:r>
      <w:r w:rsidRPr="00945D53">
        <w:t>,</w:t>
      </w:r>
    </w:p>
    <w:p w14:paraId="7B34C7E2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Medinstitucionalnega sporazuma z dne 16. decembra 2020 med Evropskim parlamentom, Svetom Evropske unije in Evropsko komisijo o proračunski disciplini, sodelovanju v proračunskih zadevah in dobrem finančnem poslovodenju ter novih virih lastnih sredstev, vključno s časovnim načrtom za uvedbo novih virov lastnih sredstev</w:t>
      </w:r>
      <w:r w:rsidRPr="00945D53">
        <w:rPr>
          <w:rStyle w:val="FootnoteReference"/>
        </w:rPr>
        <w:footnoteReference w:id="4"/>
      </w:r>
      <w:r w:rsidRPr="00945D53">
        <w:t>,</w:t>
      </w:r>
    </w:p>
    <w:p w14:paraId="32E51A8B" w14:textId="77777777" w:rsidR="001D78FE" w:rsidRPr="00945D53" w:rsidRDefault="001D78FE" w:rsidP="001D78FE">
      <w:pPr>
        <w:pStyle w:val="NormalHanging12a"/>
      </w:pPr>
      <w:r w:rsidRPr="00945D53">
        <w:lastRenderedPageBreak/>
        <w:t>–</w:t>
      </w:r>
      <w:r w:rsidRPr="00945D53">
        <w:tab/>
      </w:r>
      <w:r w:rsidRPr="00945D53">
        <w:rPr>
          <w:snapToGrid w:val="0"/>
        </w:rPr>
        <w:t xml:space="preserve">ob upoštevanju Sklepa </w:t>
      </w:r>
      <w:r w:rsidRPr="00945D53">
        <w:t xml:space="preserve">Sveta (EU, Euratom) 2020/2053 </w:t>
      </w:r>
      <w:r w:rsidRPr="00945D53">
        <w:rPr>
          <w:snapToGrid w:val="0"/>
        </w:rPr>
        <w:t>z dne 14. decembra 2020 o sistemu virov lastnih sredstev Evropske unije in razveljavitvi Sklepa 2014/335/EU, Euratom</w:t>
      </w:r>
      <w:r w:rsidRPr="00945D53">
        <w:rPr>
          <w:rStyle w:val="FootnoteReference"/>
        </w:rPr>
        <w:footnoteReference w:id="5"/>
      </w:r>
      <w:r w:rsidRPr="00945D53">
        <w:t>,</w:t>
      </w:r>
    </w:p>
    <w:p w14:paraId="1A3820A3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predloga spremembe proračuna št. 5/2024, ki ga je Komisija sprejela 10. oktobra 2024 (COM(2024)0650),</w:t>
      </w:r>
    </w:p>
    <w:p w14:paraId="7648D465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stališča o predlogu spremembe proračuna št. 5/2024, ki ga je Svet sprejel 5. novembra 2024 in ga 12. novembra 2024 posredoval Evropskemu parlamentu (14477/2024 – C10-0186/2024),</w:t>
      </w:r>
    </w:p>
    <w:p w14:paraId="630915F5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členov 96 in 98 Poslovnika,</w:t>
      </w:r>
    </w:p>
    <w:p w14:paraId="6E9C4E2A" w14:textId="77777777" w:rsidR="001D78FE" w:rsidRPr="00945D53" w:rsidRDefault="001D78FE" w:rsidP="001D78FE">
      <w:pPr>
        <w:pStyle w:val="NormalHanging12a"/>
      </w:pPr>
      <w:r w:rsidRPr="00945D53">
        <w:t>–</w:t>
      </w:r>
      <w:r w:rsidRPr="00945D53">
        <w:tab/>
        <w:t>ob upoštevanju poročila Odbora za proračun (A10</w:t>
      </w:r>
      <w:r w:rsidRPr="00945D53">
        <w:noBreakHyphen/>
        <w:t>0017/2024),</w:t>
      </w:r>
    </w:p>
    <w:p w14:paraId="7D6F8C41" w14:textId="77777777" w:rsidR="001D78FE" w:rsidRPr="00945D53" w:rsidRDefault="001D78FE" w:rsidP="001D78FE">
      <w:pPr>
        <w:pStyle w:val="NormalHanging12a"/>
      </w:pPr>
      <w:r w:rsidRPr="00945D53">
        <w:t>A.</w:t>
      </w:r>
      <w:r w:rsidRPr="00945D53">
        <w:tab/>
        <w:t>ker je namen predloga spremembe proračuna št. 5/2024 prilagoditi odhodke, zlasti kar zadeva odobritve plačil, in posodobiti prihodke za proračun Unije;</w:t>
      </w:r>
    </w:p>
    <w:p w14:paraId="3B648224" w14:textId="77777777" w:rsidR="001D78FE" w:rsidRPr="00945D53" w:rsidRDefault="001D78FE" w:rsidP="001D78FE">
      <w:pPr>
        <w:pStyle w:val="NormalHanging12a"/>
      </w:pPr>
      <w:r w:rsidRPr="00945D53">
        <w:t>B.</w:t>
      </w:r>
      <w:r w:rsidRPr="00945D53">
        <w:tab/>
        <w:t>ker predlog spremembe proračuna št. 5/2024 v zvezi z odhodki pomeni neto povečanje odobritev za prevzem obveznosti za 44,5 milijona EUR in odobritev plačil za 2,95 milijarde EUR; ker ni razpoložljive razlike do zgornje meje v razdelkih 2b, 5 in 7 večletnega finančnega okvira ter se zato predlaga uporaba dodatnih 7,2 milijona EUR iz instrumenta prilagodljivosti in dodatnih 68,5 milijona EUR iz razdelka (a) enotnega instrumenta za rezervo;</w:t>
      </w:r>
    </w:p>
    <w:p w14:paraId="19E1618B" w14:textId="77777777" w:rsidR="001D78FE" w:rsidRPr="00945D53" w:rsidRDefault="001D78FE" w:rsidP="001D78FE">
      <w:pPr>
        <w:pStyle w:val="NormalHanging12a"/>
      </w:pPr>
      <w:r w:rsidRPr="00945D53">
        <w:t>C.</w:t>
      </w:r>
      <w:r w:rsidRPr="00945D53">
        <w:tab/>
        <w:t>ker so v predlogu spremembe proračuna št. 5/2024 v proračun na strani prihodkov za leto 2024 vnesene dokončne globe in kazni, plačane do oktobra 2024, in sicer v skupnem znesku 2,82 milijarde EUR, kar pomeni, da bodo za kritje potreb po plačilih nujni dodatni prispevki iz BND v višini 139,9 milijona EUR;</w:t>
      </w:r>
    </w:p>
    <w:p w14:paraId="7667C964" w14:textId="77777777" w:rsidR="001D78FE" w:rsidRPr="00945D53" w:rsidRDefault="001D78FE" w:rsidP="001D78FE">
      <w:pPr>
        <w:pStyle w:val="NormalHanging12a"/>
      </w:pPr>
      <w:r w:rsidRPr="00945D53">
        <w:t>D.</w:t>
      </w:r>
      <w:r w:rsidRPr="00945D53">
        <w:tab/>
        <w:t>ker predlog spremembe proračuna št. 5/2024 uvaja tudi nove proračunske vrstice za prihodke in odhodke za mehanizem za sodelovanje pri posojilih za Ukrajino, kjer se bo podpora izvajala s posojili, servisiranimi in poplačanimi s prihodnjimi tokovi prihodkov iz imobiliziranega ruskega državnega premoženja;</w:t>
      </w:r>
    </w:p>
    <w:p w14:paraId="06A5EE81" w14:textId="77777777" w:rsidR="001D78FE" w:rsidRPr="00945D53" w:rsidRDefault="001D78FE" w:rsidP="001D78FE">
      <w:pPr>
        <w:pStyle w:val="NormalHanging12a"/>
      </w:pPr>
      <w:r w:rsidRPr="00945D53">
        <w:t>1.</w:t>
      </w:r>
      <w:r w:rsidRPr="00945D53">
        <w:tab/>
        <w:t>je seznanjen s predlogom spremembe proračuna št. 5/2024, kot ga je predložila Komisija;</w:t>
      </w:r>
    </w:p>
    <w:p w14:paraId="26BB7101" w14:textId="77777777" w:rsidR="001D78FE" w:rsidRPr="00945D53" w:rsidRDefault="001D78FE" w:rsidP="001D78FE">
      <w:pPr>
        <w:pStyle w:val="NormalHanging12a"/>
      </w:pPr>
      <w:r w:rsidRPr="00945D53">
        <w:t>2.</w:t>
      </w:r>
      <w:r w:rsidRPr="00945D53">
        <w:tab/>
        <w:t xml:space="preserve">pozdravlja večje potrebe po plačilih za Evropski sklad za regionalni razvoj (ESRR) skupaj s potrebami za skupno kmetijsko politiko v okviru globalne prerazporeditve (DEC 11/24), kar je znak, da se izvajanje programov po zaskrbljujoče počasnem začetku v obdobju 2021–2027 povečuje; </w:t>
      </w:r>
    </w:p>
    <w:p w14:paraId="7FEAF84B" w14:textId="77777777" w:rsidR="001D78FE" w:rsidRPr="00945D53" w:rsidRDefault="001D78FE" w:rsidP="001D78FE">
      <w:pPr>
        <w:pStyle w:val="NormalHanging12a"/>
      </w:pPr>
      <w:r w:rsidRPr="00945D53">
        <w:t>3.</w:t>
      </w:r>
      <w:r w:rsidRPr="00945D53">
        <w:tab/>
        <w:t>z zadovoljstvom ugotavlja, da so spremembe pravil, ki jih je uvedla platforma za strateške tehnologije za Evropo (STEP) – z izrednim predhodnim financiranjem in prostovoljnim 100-odstotnim sofinanciranjem – pozitivno vplivale na izvajanje ESRR, kar pomeni, da države članice denar porabijo za cilje platforme STEP; poleg tega meni, da bi moralo povečanje plačil v letu 2024 pomagati zmanjšati pritisk na plačila med letoma 2025 in 2027;</w:t>
      </w:r>
    </w:p>
    <w:p w14:paraId="744459A4" w14:textId="77777777" w:rsidR="001D78FE" w:rsidRPr="00945D53" w:rsidRDefault="001D78FE" w:rsidP="001D78FE">
      <w:pPr>
        <w:pStyle w:val="NormalHanging12a"/>
      </w:pPr>
      <w:r w:rsidRPr="00945D53">
        <w:lastRenderedPageBreak/>
        <w:t>4.</w:t>
      </w:r>
      <w:r w:rsidRPr="00945D53">
        <w:tab/>
        <w:t>ugotavlja, da se povečane potrebe po plačilih skoraj v celoti krijejo s prihodki iz glob in kazni, zlasti z globo zaradi kršitev pravil konkurence v višini 2,4 milijarde EUR, ki je bila naložena Googlu zaradi kršitev protimonopolnih pravil;</w:t>
      </w:r>
    </w:p>
    <w:p w14:paraId="7D2FE747" w14:textId="77777777" w:rsidR="001D78FE" w:rsidRPr="00945D53" w:rsidRDefault="001D78FE" w:rsidP="001D78FE">
      <w:pPr>
        <w:pStyle w:val="NormalHanging12a"/>
      </w:pPr>
      <w:r w:rsidRPr="00945D53">
        <w:t>5.</w:t>
      </w:r>
      <w:r w:rsidRPr="00945D53">
        <w:tab/>
        <w:t>ponovno poudarja, da so potrebni dolgoročno vzdržni prihodki za proračun Unije, ki je bil v zadnjih letih močno preobremenjen zaradi odzivanja na različne krize; zato obžaluje, da Svet ni dosegel napredka pri reformi sistema virov lastnih sredstev v skladu s časovnim načrtom iz medinstitucionalnega sporazuma; opozarja na svoje stališče v podporo spremenjenim predlogom Komisije in poziva Svet in države članice naj jih hitro sprejme, da bi povečali lastna sredstva, ki so na voljo za proračun Unije; želi spomniti na svoje dolgoletno stališče, da bi bilo treba globe in pristojbine uporabiti kot dodatne prihodke za proračun Unije;</w:t>
      </w:r>
    </w:p>
    <w:p w14:paraId="31C894FE" w14:textId="77777777" w:rsidR="001D78FE" w:rsidRPr="00945D53" w:rsidRDefault="001D78FE" w:rsidP="001D78FE">
      <w:pPr>
        <w:pStyle w:val="NormalHanging12a"/>
      </w:pPr>
      <w:r w:rsidRPr="00945D53">
        <w:t>6.</w:t>
      </w:r>
      <w:r w:rsidRPr="00945D53">
        <w:tab/>
        <w:t xml:space="preserve">pozdravlja vključitev proračunskih vrstic za prihodke in odhodke za mehanizem za sodelovanje pri posojilih za Ukrajino; poudarja pomen trajne finančne podpore Ukrajini, saj financiranje v okviru instrumenta za Ukrajino in dosedanjih dogovorov o </w:t>
      </w:r>
      <w:proofErr w:type="spellStart"/>
      <w:r w:rsidRPr="00945D53">
        <w:t>makrofinančni</w:t>
      </w:r>
      <w:proofErr w:type="spellEnd"/>
      <w:r w:rsidRPr="00945D53">
        <w:t xml:space="preserve"> pomoči ne izpolnjuje vseh potreb; </w:t>
      </w:r>
    </w:p>
    <w:p w14:paraId="77089409" w14:textId="77777777" w:rsidR="001D78FE" w:rsidRPr="00945D53" w:rsidRDefault="001D78FE" w:rsidP="001D78FE">
      <w:pPr>
        <w:pStyle w:val="NormalHanging12a"/>
      </w:pPr>
      <w:r w:rsidRPr="00945D53">
        <w:t>7.</w:t>
      </w:r>
      <w:r w:rsidRPr="00945D53">
        <w:tab/>
        <w:t xml:space="preserve">želi opozoriti, da bodo dodatna posojila </w:t>
      </w:r>
      <w:proofErr w:type="spellStart"/>
      <w:r w:rsidRPr="00945D53">
        <w:t>makrofinančne</w:t>
      </w:r>
      <w:proofErr w:type="spellEnd"/>
      <w:r w:rsidRPr="00945D53">
        <w:t xml:space="preserve"> pomoči zajamčena v okviru manevrskega prostora v proračunu, in ponovno poziva Komisijo, naj proračunskemu organu posreduje podrobnosti o združevanju obveznosti do manevrskega prostora, ki je odvisen od najemanja in dajanja posojil; pričakuje, da bo Komisija v skladu s svojo izjavo, priloženo Uredbi (EU) 2024/2773 </w:t>
      </w:r>
      <w:r w:rsidRPr="00945D53">
        <w:rPr>
          <w:color w:val="333333"/>
          <w:shd w:val="clear" w:color="auto" w:fill="FFFFFF"/>
        </w:rPr>
        <w:t>Evropskega parlamenta in Sveta</w:t>
      </w:r>
      <w:r w:rsidRPr="00945D53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945D53">
        <w:t xml:space="preserve"> Parlamentu in Svetu posredovala vse potrebne informacije;</w:t>
      </w:r>
    </w:p>
    <w:p w14:paraId="1F240D37" w14:textId="71A95D38" w:rsidR="001D78FE" w:rsidRPr="00945D53" w:rsidRDefault="001D78FE" w:rsidP="001D78FE">
      <w:pPr>
        <w:pStyle w:val="NormalHanging12a"/>
      </w:pPr>
      <w:r w:rsidRPr="00945D53">
        <w:t>8.</w:t>
      </w:r>
      <w:r w:rsidRPr="00945D53">
        <w:tab/>
        <w:t xml:space="preserve">je seznanjen s prilagoditvijo plač za leto 2024, ki </w:t>
      </w:r>
      <w:r w:rsidR="006A2DD7" w:rsidRPr="00945D53">
        <w:t xml:space="preserve">so </w:t>
      </w:r>
      <w:r w:rsidRPr="00945D53">
        <w:t>bil</w:t>
      </w:r>
      <w:r w:rsidR="006A2DD7" w:rsidRPr="00945D53">
        <w:t>e</w:t>
      </w:r>
      <w:r w:rsidRPr="00945D53">
        <w:t xml:space="preserve"> višj</w:t>
      </w:r>
      <w:r w:rsidR="006A2DD7" w:rsidRPr="00945D53">
        <w:t>e</w:t>
      </w:r>
      <w:r w:rsidRPr="00945D53">
        <w:t xml:space="preserve"> od predviden</w:t>
      </w:r>
      <w:r w:rsidR="006A2DD7" w:rsidRPr="00945D53">
        <w:t>ih</w:t>
      </w:r>
      <w:r w:rsidRPr="00945D53">
        <w:t xml:space="preserve"> v proračunu, kar vpliva na prejemke in pokojnine, pri čemer je bilo število novih upokojencev v letu 2024 višje od napovedanega, kar je še povečalo stroške pokojnin; pozdravlja, da so bili skoraj vsi dodatni stroški vseh institucij pokriti z notranjimi prerazporeditvami in da je bila zato uporaba enotnega instrumenta za rezervo omejena;</w:t>
      </w:r>
    </w:p>
    <w:p w14:paraId="451BB8D8" w14:textId="77777777" w:rsidR="001D78FE" w:rsidRPr="00945D53" w:rsidRDefault="001D78FE" w:rsidP="001D78FE">
      <w:pPr>
        <w:pStyle w:val="NormalHanging12a"/>
      </w:pPr>
      <w:r w:rsidRPr="00945D53">
        <w:t>9.</w:t>
      </w:r>
      <w:r w:rsidRPr="00945D53">
        <w:tab/>
        <w:t>poudarja, da prilagoditev plač vpliva tudi na decentralizirane agencije, ki imajo težave z inflacijo, če je višja od 2-odstotnega deflatorja, saj se v tem primeru njihov letni proračun poveča, zlasti zato, ker je velik delež njihovih odhodkov namenjen za kritje stroškov za osebje in poslovanje; pozdravlja dejstvo, da se je prispevek Unije za agencije, ki sredstev niso mogle pridobiti s prerazporeditvami, povečal za 1,7 %; ponovno poudarja, da je treba pri pripravah Komisije na večletni finančni okvir po letu 2027 dodatno razmisliti o dosedanjem obravnavanju proračunov decentraliziranih agencij;</w:t>
      </w:r>
    </w:p>
    <w:p w14:paraId="538F0358" w14:textId="77777777" w:rsidR="001D78FE" w:rsidRPr="00945D53" w:rsidRDefault="001D78FE" w:rsidP="001D78FE">
      <w:pPr>
        <w:pStyle w:val="NormalHanging12a"/>
      </w:pPr>
      <w:r w:rsidRPr="00945D53">
        <w:t>10.</w:t>
      </w:r>
      <w:r w:rsidRPr="00945D53">
        <w:tab/>
        <w:t>je seznanjen s tem, da so se za kritje naraščajočih stroškov povečala sredstva za Agencijo Evropske unije za operativno upravljanje obsežnih informacijskih sistemov s področja svobode, varnosti in pravice (</w:t>
      </w:r>
      <w:proofErr w:type="spellStart"/>
      <w:r w:rsidRPr="00945D53">
        <w:t>eu</w:t>
      </w:r>
      <w:proofErr w:type="spellEnd"/>
      <w:r w:rsidRPr="00945D53">
        <w:t xml:space="preserve">-LISA), vendar izraža zaskrbljenost zaradi posledičnega zmanjšanja odobritev za Agencijo Evropske unije za azil (EUAA); pozdravlja, da je bila agencija EUAA pri vmesni reviziji večletnega finančnega okvira okrepljena, da bi lahko opravljala nove naloge, povezane z izvajanjem novega pakta o </w:t>
      </w:r>
      <w:r w:rsidRPr="00945D53">
        <w:lastRenderedPageBreak/>
        <w:t>migracijah in azilu; poziva Komisijo, naj tesno sodeluje z obema agencijama, da bosta ustrezno pripravljeni za polno izvajanje nalog in za črpanje dodatnih sredstev, ki so jima bila dodeljena;</w:t>
      </w:r>
    </w:p>
    <w:p w14:paraId="30802EBF" w14:textId="77777777" w:rsidR="001D78FE" w:rsidRPr="00945D53" w:rsidRDefault="001D78FE" w:rsidP="001D78FE">
      <w:pPr>
        <w:pStyle w:val="NormalHanging12a"/>
      </w:pPr>
      <w:r w:rsidRPr="00945D53">
        <w:t>11.</w:t>
      </w:r>
      <w:r w:rsidRPr="00945D53">
        <w:tab/>
        <w:t xml:space="preserve">pozdravlja, da so bila Agenciji Evropske unije za usposabljanje na področju preprečevanja, odkrivanja in preiskovanja kaznivih dejanj (CEPOL) v letu 2024 po kibernetskem napadu nanjo junija tega leta dodeljena dodatna sredstva; vztraja, da se je iz teh izkušenj treba učiti in da mora služba za kibernetsko varnost za subjekte Unije (CERT-EU) drugim agencijam in institucijam zaradi velike kibernetske ogroženosti nuditi dodatno tehnično podporo ter da je treba poskrbeti, da morebitni napad ne bi kompromitiral nobene agencije ali institucije Unije; </w:t>
      </w:r>
    </w:p>
    <w:p w14:paraId="408E1ED1" w14:textId="77777777" w:rsidR="001D78FE" w:rsidRPr="00945D53" w:rsidRDefault="001D78FE" w:rsidP="001D78FE">
      <w:pPr>
        <w:pStyle w:val="NormalHanging12a"/>
      </w:pPr>
      <w:r w:rsidRPr="00945D53">
        <w:t>12.</w:t>
      </w:r>
      <w:r w:rsidRPr="00945D53">
        <w:tab/>
        <w:t xml:space="preserve">poudarja velik pomen novoustanovljenega organa za preprečevanje pranja denarja v revidiranem okviru za preprečevanje pranja denarja na ravni Unije; je zato zelo zaskrbljen zaradi zamud v fazi vzpostavljanja, zlasti pri zaposlovanju; </w:t>
      </w:r>
    </w:p>
    <w:p w14:paraId="27411211" w14:textId="77777777" w:rsidR="001D78FE" w:rsidRPr="00945D53" w:rsidRDefault="001D78FE" w:rsidP="001D78FE">
      <w:pPr>
        <w:pStyle w:val="NormalHanging12a"/>
      </w:pPr>
      <w:r w:rsidRPr="00945D53">
        <w:t>13.</w:t>
      </w:r>
      <w:r w:rsidRPr="00945D53">
        <w:tab/>
        <w:t xml:space="preserve">pozdravlja dejstvo, da bo mogoče z veljavno prenovljeno finančno uredbo v proračun vključiti negativne prihodke za plačilo kompenzacijskih obresti v izgubljenih sodnih zadevah; je seznanjen s tem, da Komisija ravno ugotavlja, kakšen je natančen znesek teh obresti, in jo poziva, naj te informacije v letu 2025 čim prej posreduje proračunskemu organu; </w:t>
      </w:r>
    </w:p>
    <w:p w14:paraId="065EDD5D" w14:textId="77777777" w:rsidR="001D78FE" w:rsidRPr="00945D53" w:rsidRDefault="001D78FE" w:rsidP="001D78FE">
      <w:pPr>
        <w:pStyle w:val="NormalHanging12a"/>
      </w:pPr>
      <w:r w:rsidRPr="00945D53">
        <w:t>14.</w:t>
      </w:r>
      <w:r w:rsidRPr="00945D53">
        <w:tab/>
        <w:t>odobri stališče Sveta o predlogu spremembe proračuna št. 5/2024;</w:t>
      </w:r>
    </w:p>
    <w:p w14:paraId="005EDB55" w14:textId="77777777" w:rsidR="001D78FE" w:rsidRPr="00945D53" w:rsidRDefault="001D78FE" w:rsidP="000545C8">
      <w:pPr>
        <w:pStyle w:val="NormalHanging12a"/>
      </w:pPr>
      <w:r w:rsidRPr="00945D53">
        <w:t>15.</w:t>
      </w:r>
      <w:r w:rsidRPr="00945D53">
        <w:tab/>
        <w:t xml:space="preserve">naroči svoji predsednici, naj razglasi, da je sprememba proračuna št. 5/2024 dokončno sprejeta, in poskrbi za njeno objavo v </w:t>
      </w:r>
      <w:r w:rsidRPr="00945D53">
        <w:rPr>
          <w:i/>
        </w:rPr>
        <w:t>Uradnem listu Evropske unije</w:t>
      </w:r>
      <w:r w:rsidRPr="00945D53">
        <w:t>;</w:t>
      </w:r>
    </w:p>
    <w:p w14:paraId="5210F53D" w14:textId="77777777" w:rsidR="00E365E1" w:rsidRPr="00945D53" w:rsidRDefault="001D78FE" w:rsidP="000545C8">
      <w:pPr>
        <w:ind w:left="567" w:hanging="567"/>
      </w:pPr>
      <w:r w:rsidRPr="00945D53">
        <w:t>16.</w:t>
      </w:r>
      <w:r w:rsidRPr="00945D53">
        <w:tab/>
        <w:t>naroči svoji predsednici, naj to resolucijo posreduje Svetu in Komisiji ter nacionalnim parlamentom.</w:t>
      </w:r>
    </w:p>
    <w:sectPr w:rsidR="00E365E1" w:rsidRPr="00945D53" w:rsidSect="00297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85CEE" w14:textId="77777777" w:rsidR="00107D40" w:rsidRPr="00297E55" w:rsidRDefault="00107D40">
      <w:r w:rsidRPr="00297E55">
        <w:separator/>
      </w:r>
    </w:p>
  </w:endnote>
  <w:endnote w:type="continuationSeparator" w:id="0">
    <w:p w14:paraId="4DF6090F" w14:textId="77777777" w:rsidR="00107D40" w:rsidRPr="00297E55" w:rsidRDefault="00107D40">
      <w:r w:rsidRPr="00297E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A292E" w14:textId="77777777" w:rsidR="00064002" w:rsidRPr="00297E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95BDB" w14:textId="77777777" w:rsidR="00064002" w:rsidRPr="00297E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D510E" w14:textId="77777777" w:rsidR="00064002" w:rsidRPr="00297E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CAAD7" w14:textId="77777777" w:rsidR="00107D40" w:rsidRPr="00297E55" w:rsidRDefault="00107D40">
      <w:r w:rsidRPr="00297E55">
        <w:separator/>
      </w:r>
    </w:p>
  </w:footnote>
  <w:footnote w:type="continuationSeparator" w:id="0">
    <w:p w14:paraId="1AB3F272" w14:textId="77777777" w:rsidR="00107D40" w:rsidRPr="00297E55" w:rsidRDefault="00107D40">
      <w:r w:rsidRPr="00297E55">
        <w:continuationSeparator/>
      </w:r>
    </w:p>
  </w:footnote>
  <w:footnote w:id="1">
    <w:p w14:paraId="4AFAD018" w14:textId="0102928E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>UL L</w:t>
      </w:r>
      <w:r w:rsidR="0003393D">
        <w:rPr>
          <w:sz w:val="24"/>
          <w:lang w:val="sl-SI"/>
        </w:rPr>
        <w:t>,</w:t>
      </w:r>
      <w:r w:rsidRPr="00297E55">
        <w:rPr>
          <w:sz w:val="24"/>
          <w:lang w:val="sl-SI"/>
        </w:rPr>
        <w:t xml:space="preserve"> 2024/2509, 26.9.2024, </w:t>
      </w:r>
      <w:r w:rsidR="00187E86">
        <w:rPr>
          <w:sz w:val="24"/>
          <w:lang w:val="sl-SI"/>
        </w:rPr>
        <w:t xml:space="preserve">ELI: </w:t>
      </w:r>
      <w:hyperlink r:id="rId1" w:history="1">
        <w:r w:rsidRPr="00297E55">
          <w:rPr>
            <w:rStyle w:val="Hyperlink"/>
            <w:sz w:val="24"/>
            <w:lang w:val="sl-SI"/>
          </w:rPr>
          <w:t>http://data.europa.eu/eli/reg/2024/2509/oj</w:t>
        </w:r>
      </w:hyperlink>
      <w:r w:rsidRPr="00297E55">
        <w:rPr>
          <w:sz w:val="24"/>
          <w:lang w:val="sl-SI"/>
        </w:rPr>
        <w:t>.</w:t>
      </w:r>
    </w:p>
  </w:footnote>
  <w:footnote w:id="2">
    <w:p w14:paraId="130E00B0" w14:textId="5ABD0AE8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>UL L</w:t>
      </w:r>
      <w:r w:rsidR="0003393D">
        <w:rPr>
          <w:sz w:val="24"/>
          <w:lang w:val="sl-SI"/>
        </w:rPr>
        <w:t>,</w:t>
      </w:r>
      <w:r w:rsidRPr="00297E55">
        <w:rPr>
          <w:sz w:val="24"/>
          <w:lang w:val="sl-SI"/>
        </w:rPr>
        <w:t xml:space="preserve"> 2024/207, 22.2.2024, ELI: </w:t>
      </w:r>
      <w:hyperlink r:id="rId2" w:history="1">
        <w:r w:rsidRPr="00297E55">
          <w:rPr>
            <w:rStyle w:val="Hyperlink"/>
            <w:sz w:val="24"/>
            <w:lang w:val="sl-SI"/>
          </w:rPr>
          <w:t>http://data.europa.eu/eli/budget/2024/207/oj</w:t>
        </w:r>
      </w:hyperlink>
      <w:r w:rsidRPr="00297E55">
        <w:rPr>
          <w:sz w:val="24"/>
          <w:lang w:val="sl-SI"/>
        </w:rPr>
        <w:t>.</w:t>
      </w:r>
    </w:p>
  </w:footnote>
  <w:footnote w:id="3">
    <w:p w14:paraId="1B3D1CDB" w14:textId="515EA55F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 xml:space="preserve">UL L 433 I, 22.12.2020, str. 11, ELI: </w:t>
      </w:r>
      <w:hyperlink r:id="rId3" w:history="1">
        <w:r w:rsidRPr="00297E55">
          <w:rPr>
            <w:rStyle w:val="Hyperlink"/>
            <w:sz w:val="24"/>
            <w:lang w:val="sl-SI"/>
          </w:rPr>
          <w:t>http://data.europa.eu/eli/reg/2020/433/oj</w:t>
        </w:r>
      </w:hyperlink>
      <w:r w:rsidRPr="00297E55">
        <w:rPr>
          <w:sz w:val="24"/>
          <w:lang w:val="sl-SI"/>
        </w:rPr>
        <w:t>.</w:t>
      </w:r>
    </w:p>
  </w:footnote>
  <w:footnote w:id="4">
    <w:p w14:paraId="1288CAE3" w14:textId="77777777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 xml:space="preserve">UL L 433 I, 22.12.2020, str. 28, ELI: </w:t>
      </w:r>
      <w:hyperlink r:id="rId4" w:history="1">
        <w:r w:rsidRPr="00297E55">
          <w:rPr>
            <w:rStyle w:val="Hyperlink"/>
            <w:sz w:val="24"/>
            <w:lang w:val="sl-SI"/>
          </w:rPr>
          <w:t>http://data.europa.eu/eli/agree_interinstit/2020/1222/oj</w:t>
        </w:r>
      </w:hyperlink>
      <w:r w:rsidRPr="00297E55">
        <w:rPr>
          <w:sz w:val="24"/>
          <w:lang w:val="sl-SI"/>
        </w:rPr>
        <w:t>.</w:t>
      </w:r>
    </w:p>
  </w:footnote>
  <w:footnote w:id="5">
    <w:p w14:paraId="24DC2B53" w14:textId="77777777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 xml:space="preserve">UL L 424, 15.12.2020, str. 1, ELI: </w:t>
      </w:r>
      <w:hyperlink r:id="rId5" w:history="1">
        <w:r w:rsidRPr="00297E55">
          <w:rPr>
            <w:rStyle w:val="Hyperlink"/>
            <w:sz w:val="24"/>
            <w:lang w:val="sl-SI"/>
          </w:rPr>
          <w:t>http://data.europa.eu/eli/dec/2020/2053/oj</w:t>
        </w:r>
      </w:hyperlink>
      <w:r w:rsidRPr="00297E55">
        <w:rPr>
          <w:sz w:val="24"/>
          <w:lang w:val="sl-SI"/>
        </w:rPr>
        <w:t>.</w:t>
      </w:r>
    </w:p>
  </w:footnote>
  <w:footnote w:id="6">
    <w:p w14:paraId="2D76E638" w14:textId="36B5B68B" w:rsidR="001D78FE" w:rsidRPr="00297E55" w:rsidRDefault="001D78FE" w:rsidP="00297E55">
      <w:pPr>
        <w:pStyle w:val="FootnoteText"/>
        <w:ind w:left="567" w:hanging="567"/>
        <w:rPr>
          <w:sz w:val="24"/>
          <w:lang w:val="sl-SI"/>
        </w:rPr>
      </w:pPr>
      <w:r w:rsidRPr="00297E55">
        <w:rPr>
          <w:rStyle w:val="FootnoteReference"/>
          <w:sz w:val="24"/>
          <w:lang w:val="sl-SI"/>
        </w:rPr>
        <w:footnoteRef/>
      </w:r>
      <w:r w:rsidR="00297E55" w:rsidRPr="00297E55">
        <w:rPr>
          <w:sz w:val="24"/>
          <w:lang w:val="sl-SI"/>
        </w:rPr>
        <w:t xml:space="preserve"> </w:t>
      </w:r>
      <w:r w:rsidR="00297E55" w:rsidRPr="00297E55">
        <w:rPr>
          <w:sz w:val="24"/>
          <w:lang w:val="sl-SI"/>
        </w:rPr>
        <w:tab/>
      </w:r>
      <w:r w:rsidRPr="00297E55">
        <w:rPr>
          <w:sz w:val="24"/>
          <w:lang w:val="sl-SI"/>
        </w:rPr>
        <w:t xml:space="preserve">Uredba (EU) 2024/2773 Evropskega parlamenta in Sveta z dne 24. </w:t>
      </w:r>
      <w:r w:rsidRPr="00297E55">
        <w:rPr>
          <w:sz w:val="24"/>
          <w:lang w:val="sl-SI"/>
        </w:rPr>
        <w:t xml:space="preserve">oktobra 2024 o vzpostavitvi mehanizma sodelovanja pri posojilih za Ukrajino in zagotovitvi izredne </w:t>
      </w:r>
      <w:proofErr w:type="spellStart"/>
      <w:r w:rsidRPr="00297E55">
        <w:rPr>
          <w:sz w:val="24"/>
          <w:lang w:val="sl-SI"/>
        </w:rPr>
        <w:t>makr</w:t>
      </w:r>
      <w:r w:rsidR="0003393D">
        <w:rPr>
          <w:sz w:val="24"/>
          <w:lang w:val="sl-SI"/>
        </w:rPr>
        <w:t>ofinančne</w:t>
      </w:r>
      <w:proofErr w:type="spellEnd"/>
      <w:r w:rsidR="0003393D">
        <w:rPr>
          <w:sz w:val="24"/>
          <w:lang w:val="sl-SI"/>
        </w:rPr>
        <w:t xml:space="preserve"> pomoči Ukrajini (UL L,</w:t>
      </w:r>
      <w:bookmarkStart w:id="8" w:name="_GoBack"/>
      <w:bookmarkEnd w:id="8"/>
      <w:r w:rsidRPr="00297E55">
        <w:rPr>
          <w:sz w:val="24"/>
          <w:lang w:val="sl-SI"/>
        </w:rPr>
        <w:t xml:space="preserve"> 2024/2773, 28.10.2024, ELI: </w:t>
      </w:r>
      <w:hyperlink r:id="rId6" w:history="1">
        <w:r w:rsidRPr="00297E55">
          <w:rPr>
            <w:rStyle w:val="Hyperlink"/>
            <w:sz w:val="24"/>
            <w:lang w:val="sl-SI"/>
          </w:rPr>
          <w:t>http://data.europa.eu/eli/reg/2024/2773/oj</w:t>
        </w:r>
      </w:hyperlink>
      <w:r w:rsidRPr="00297E55">
        <w:rPr>
          <w:sz w:val="24"/>
          <w:lang w:val="sl-SI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05929" w14:textId="77777777" w:rsidR="00064002" w:rsidRPr="00297E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3326C" w14:textId="77777777" w:rsidR="00064002" w:rsidRPr="00297E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339DE" w14:textId="77777777" w:rsidR="00064002" w:rsidRPr="00297E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SL"/>
    <w:docVar w:name="dvnumam" w:val="0"/>
    <w:docVar w:name="dvpe" w:val="765.136"/>
    <w:docVar w:name="dvrapporteur" w:val="Poročevalec: "/>
    <w:docVar w:name="dvtitre" w:val="Resolucija Evropskega parlamenta z dne xx. novembra 2024 o stališču Sveta o predlogu spremembe proračuna Evropske unije št. 5/2024 za proračunsko leto 2024: Prilagoditev odobritev plačil, posodobitev prihodkov in druge tehnične posodobitve(14477/2024 – C10-0186/2024 – 2024/0252(BUD))"/>
  </w:docVars>
  <w:rsids>
    <w:rsidRoot w:val="00107D40"/>
    <w:rsid w:val="00002272"/>
    <w:rsid w:val="0003393D"/>
    <w:rsid w:val="000545C8"/>
    <w:rsid w:val="00064002"/>
    <w:rsid w:val="000677B9"/>
    <w:rsid w:val="000831BA"/>
    <w:rsid w:val="000A42CC"/>
    <w:rsid w:val="000E7DD9"/>
    <w:rsid w:val="0010095E"/>
    <w:rsid w:val="00107D40"/>
    <w:rsid w:val="00125B37"/>
    <w:rsid w:val="00144866"/>
    <w:rsid w:val="00147608"/>
    <w:rsid w:val="00187494"/>
    <w:rsid w:val="00187E86"/>
    <w:rsid w:val="001D78FE"/>
    <w:rsid w:val="001F32AE"/>
    <w:rsid w:val="00206E50"/>
    <w:rsid w:val="002767FF"/>
    <w:rsid w:val="00297E5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79B"/>
    <w:rsid w:val="006631B6"/>
    <w:rsid w:val="00680577"/>
    <w:rsid w:val="006A2DD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A3C"/>
    <w:rsid w:val="00930C23"/>
    <w:rsid w:val="0093193B"/>
    <w:rsid w:val="00945D5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A5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7F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8A110"/>
  <w15:chartTrackingRefBased/>
  <w15:docId w15:val="{35F57371-AA52-4983-B641-121FC10F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78FE"/>
    <w:pPr>
      <w:spacing w:before="480" w:after="240"/>
    </w:pPr>
  </w:style>
  <w:style w:type="paragraph" w:customStyle="1" w:styleId="NormalHanging12a">
    <w:name w:val="NormalHanging12a"/>
    <w:basedOn w:val="Normal"/>
    <w:rsid w:val="001D78FE"/>
    <w:pPr>
      <w:spacing w:after="240"/>
      <w:ind w:left="567" w:hanging="567"/>
    </w:pPr>
  </w:style>
  <w:style w:type="character" w:styleId="Hyperlink">
    <w:name w:val="Hyperlink"/>
    <w:basedOn w:val="DefaultParagraphFont"/>
    <w:rsid w:val="001D78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476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7608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206E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6E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6E5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06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6E50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6669C-B28E-4809-B0B6-059AD424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1302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2025-02-07T13:30:00Z</dcterms:created>
  <dcterms:modified xsi:type="dcterms:W3CDTF">2025-02-07T13:30:00Z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P10_TA(2024)0049_</vt:lpwstr>
  </property>
  <property fmtid="{D5CDD505-2E9C-101B-9397-08002B2CF9AE}" pid="4" name="&lt;Type&gt;">
    <vt:lpwstr>RR</vt:lpwstr>
  </property>
</Properties>
</file>