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P10_TA(2024)0052</w:t>
      </w:r>
      <w:bookmarkEnd w:id="1"/>
    </w:p>
    <w:p>
      <w:pPr>
        <w:pStyle w:val="ATHeading2"/>
      </w:pPr>
      <w:bookmarkStart w:id="2" w:name="title"/>
      <w:r>
        <w:t>Rastúci a systematický útlak žien v Iráne</w:t>
      </w:r>
    </w:p>
    <w:bookmarkEnd w:id="2"/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B10-0188, 0199, 0202, 0203 a 0207/2024</w:instrText>
      </w:r>
      <w:bookmarkEnd w:id="3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PE"/>
      <w:r>
        <w:rPr>
          <w:vanish/>
        </w:rPr>
        <w:t>PE766.502</w:t>
      </w:r>
      <w:bookmarkEnd w:id="4"/>
    </w:p>
    <w:p>
      <w:pPr>
        <w:pStyle w:val="ATHeading3"/>
      </w:pPr>
      <w:bookmarkStart w:id="5" w:name="Sujet"/>
      <w:r>
        <w:t>Uznesenie Európskeho parlamentu z 28. novembra 2024 o rastúcom a systematickom útlaku žien v Iráne</w:t>
      </w:r>
      <w:bookmarkEnd w:id="5"/>
      <w:r>
        <w:t xml:space="preserve"> </w:t>
      </w:r>
      <w:bookmarkStart w:id="6" w:name="References"/>
      <w:r>
        <w:t>(2024/2951(RSP))</w:t>
      </w:r>
      <w:bookmarkEnd w:id="6"/>
    </w:p>
    <w:p>
      <w:pPr>
        <w:pStyle w:val="EPComma"/>
      </w:pPr>
      <w:bookmarkStart w:id="7" w:name="TextBodyBegin"/>
      <w:bookmarkEnd w:id="7"/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článok 150 ods. 5 a článok 136 ods. 4 rokovacieho poriadku,</w:t>
      </w:r>
    </w:p>
    <w:p>
      <w:pPr>
        <w:pStyle w:val="NormalHanging12a"/>
        <w:rPr>
          <w:bCs/>
        </w:rPr>
      </w:pPr>
      <w:r>
        <w:t>A.</w:t>
      </w:r>
      <w:r>
        <w:tab/>
        <w:t xml:space="preserve">keďže systematické porušovanie práv žien Iránskou islamskou republikou a jej tzv. mravnostnou políciou sa počas prezidenta </w:t>
      </w:r>
      <w:proofErr w:type="spellStart"/>
      <w:r>
        <w:t>Pezeškána</w:t>
      </w:r>
      <w:proofErr w:type="spellEnd"/>
      <w:r>
        <w:t xml:space="preserve"> neznížilo;</w:t>
      </w:r>
    </w:p>
    <w:p>
      <w:pPr>
        <w:pStyle w:val="NormalHanging12a"/>
      </w:pPr>
      <w:r>
        <w:t>B.</w:t>
      </w:r>
      <w:r>
        <w:tab/>
        <w:t xml:space="preserve">keďže iránska vláda v roku 1983 zaviedla povinné zahaľovanie; keďže zákon o ochrane rodiny prostredníctvom podpory kultúry cudnosti a </w:t>
      </w:r>
      <w:proofErr w:type="spellStart"/>
      <w:r>
        <w:t>hidžábu</w:t>
      </w:r>
      <w:proofErr w:type="spellEnd"/>
      <w:r>
        <w:t xml:space="preserve"> schválila Rada strážcov v septembri 2024 a ešte viac posilní útlak žien zo strany vlády; keďže ženy, ktoré vystupujú na verejnosti bez šatky, sú často obťažované, väznené, mučené ba dokonca zabíjané;</w:t>
      </w:r>
    </w:p>
    <w:p>
      <w:pPr>
        <w:pStyle w:val="NormalHanging12a"/>
      </w:pPr>
      <w:r>
        <w:t>C.</w:t>
      </w:r>
      <w:r>
        <w:tab/>
        <w:t xml:space="preserve">keďže </w:t>
      </w:r>
      <w:proofErr w:type="spellStart"/>
      <w:r>
        <w:t>Ahú</w:t>
      </w:r>
      <w:proofErr w:type="spellEnd"/>
      <w:r>
        <w:t xml:space="preserve"> </w:t>
      </w:r>
      <w:proofErr w:type="spellStart"/>
      <w:r>
        <w:t>Darjoji</w:t>
      </w:r>
      <w:proofErr w:type="spellEnd"/>
      <w:r>
        <w:t xml:space="preserve"> bola na univerzite obťažovaná bezpečnostnými silami v súvislosti s údajným porušením povinnosti nosiť šatku; keďže </w:t>
      </w:r>
      <w:proofErr w:type="spellStart"/>
      <w:r>
        <w:t>Darjoji</w:t>
      </w:r>
      <w:proofErr w:type="spellEnd"/>
      <w:r>
        <w:t xml:space="preserve"> sa tomuto obťažovaniu odvážne vzoprela a vyzliekla si zvyšný odev, následne bola zadržaná a podobne ako </w:t>
      </w:r>
      <w:proofErr w:type="spellStart"/>
      <w:r>
        <w:t>bezpočet</w:t>
      </w:r>
      <w:proofErr w:type="spellEnd"/>
      <w:r>
        <w:t xml:space="preserve"> ďalších žien označená ako „mentálne nespôsobilá“ a odvezená do psychiatrickej liečebne;</w:t>
      </w:r>
    </w:p>
    <w:p>
      <w:pPr>
        <w:pStyle w:val="NormalHanging12a"/>
      </w:pPr>
      <w:r>
        <w:t>D.</w:t>
      </w:r>
      <w:r>
        <w:tab/>
        <w:t xml:space="preserve">keďže iránska vláda oznámila svoj zámer otvoriť tzv. kliniku pre liečbu žien, ktoré odmietajú prísne zákony o </w:t>
      </w:r>
      <w:proofErr w:type="spellStart"/>
      <w:r>
        <w:t>hidžábe</w:t>
      </w:r>
      <w:proofErr w:type="spellEnd"/>
      <w:r>
        <w:t xml:space="preserve">; keďže </w:t>
      </w:r>
      <w:proofErr w:type="spellStart"/>
      <w:r>
        <w:t>patologizácia</w:t>
      </w:r>
      <w:proofErr w:type="spellEnd"/>
      <w:r>
        <w:t xml:space="preserve"> odporu je súčasťou systematického úsilia iránskych orgánov o potláčanie autonómie žien a trestanie tých, ktorí sú proti diskriminačným zákonom, ako je povinné zahaľovanie a rodová segregácia;</w:t>
      </w:r>
    </w:p>
    <w:p>
      <w:pPr>
        <w:pStyle w:val="NormalHanging12a"/>
      </w:pPr>
      <w:r>
        <w:t>E.</w:t>
      </w:r>
      <w:r>
        <w:tab/>
        <w:t>keďže memorandum o „</w:t>
      </w:r>
      <w:proofErr w:type="spellStart"/>
      <w:r>
        <w:t>bahájskej</w:t>
      </w:r>
      <w:proofErr w:type="spellEnd"/>
      <w:r>
        <w:t xml:space="preserve"> otázke“ z roku 1991, ktoré podpísal najvyšší vodca ajatolláh </w:t>
      </w:r>
      <w:proofErr w:type="spellStart"/>
      <w:r>
        <w:t>Alí</w:t>
      </w:r>
      <w:proofErr w:type="spellEnd"/>
      <w:r>
        <w:t xml:space="preserve"> </w:t>
      </w:r>
      <w:proofErr w:type="spellStart"/>
      <w:r>
        <w:t>Chámeneí</w:t>
      </w:r>
      <w:proofErr w:type="spellEnd"/>
      <w:r>
        <w:t xml:space="preserve">, vyzýva na „blokovanie“ „pokroku a rozvoja“ komunity </w:t>
      </w:r>
      <w:proofErr w:type="spellStart"/>
      <w:r>
        <w:t>Bahájov</w:t>
      </w:r>
      <w:proofErr w:type="spellEnd"/>
      <w:r>
        <w:t xml:space="preserve">; keďže v marci a apríli 2024 tvorili ženy najmenej 72 z 93 </w:t>
      </w:r>
      <w:proofErr w:type="spellStart"/>
      <w:r>
        <w:t>Bahájov</w:t>
      </w:r>
      <w:proofErr w:type="spellEnd"/>
      <w:r>
        <w:t xml:space="preserve"> predvolaných na súd alebo uväznených;</w:t>
      </w:r>
    </w:p>
    <w:p>
      <w:pPr>
        <w:pStyle w:val="NormalHanging12a"/>
      </w:pPr>
      <w:r>
        <w:t>1.</w:t>
      </w:r>
      <w:r>
        <w:tab/>
        <w:t xml:space="preserve">dôrazne odsudzuje rastúci a systematický útlak žien v Iráne prostredníctvom zákonov a iných právnych predpisov, ktoré vážne obmedzujú ich slobody a práva; vyjadruje poľutovanie nad tým, že orgány zadržali </w:t>
      </w:r>
      <w:proofErr w:type="spellStart"/>
      <w:r>
        <w:t>Ahú</w:t>
      </w:r>
      <w:proofErr w:type="spellEnd"/>
      <w:r>
        <w:t xml:space="preserve"> </w:t>
      </w:r>
      <w:proofErr w:type="spellStart"/>
      <w:r>
        <w:t>Darjojiovú</w:t>
      </w:r>
      <w:proofErr w:type="spellEnd"/>
      <w:r>
        <w:t xml:space="preserve">, označili ju za „mentálne nespôsobilú“ a odviezli ju do psychiatrickej liečebne; domnieva sa, že represie voči politicky </w:t>
      </w:r>
      <w:proofErr w:type="spellStart"/>
      <w:r>
        <w:t>vzopierajúcim</w:t>
      </w:r>
      <w:proofErr w:type="spellEnd"/>
      <w:r>
        <w:t xml:space="preserve"> sa ženám uzatvorením do psychiatrickej liečebne sú mučením;</w:t>
      </w:r>
    </w:p>
    <w:p>
      <w:pPr>
        <w:pStyle w:val="NormalHanging12a"/>
      </w:pPr>
      <w:r>
        <w:lastRenderedPageBreak/>
        <w:t>2.</w:t>
      </w:r>
      <w:r>
        <w:tab/>
        <w:t>vyzýva iránske orgány, aby zrušili všetky právne predpisy diskriminujúce ženy a dievčatá a aby urýchlene zrušili mravnostnú políciu a všetky ostatné represívne agentúry;</w:t>
      </w:r>
    </w:p>
    <w:p>
      <w:pPr>
        <w:pStyle w:val="NormalHanging12a"/>
      </w:pPr>
      <w:r>
        <w:t>3.</w:t>
      </w:r>
      <w:r>
        <w:tab/>
        <w:t xml:space="preserve">dôrazne odsudzuje prenasledovanie etnických a náboženských menšín; vyzýva na okamžité a bezpodmienečné prepustenie všetkých obhajcov práv žien a obetí svojvoľného zadržiavania vrátane </w:t>
      </w:r>
      <w:proofErr w:type="spellStart"/>
      <w:r>
        <w:t>Bahájskych</w:t>
      </w:r>
      <w:proofErr w:type="spellEnd"/>
      <w:r>
        <w:t xml:space="preserve"> žien </w:t>
      </w:r>
      <w:proofErr w:type="spellStart"/>
      <w:r>
        <w:t>Nedy</w:t>
      </w:r>
      <w:proofErr w:type="spellEnd"/>
      <w:r>
        <w:t xml:space="preserve"> </w:t>
      </w:r>
      <w:proofErr w:type="spellStart"/>
      <w:r>
        <w:t>Emadiovej</w:t>
      </w:r>
      <w:proofErr w:type="spellEnd"/>
      <w:r>
        <w:t xml:space="preserve"> a </w:t>
      </w:r>
      <w:proofErr w:type="spellStart"/>
      <w:r>
        <w:t>Parastoo</w:t>
      </w:r>
      <w:proofErr w:type="spellEnd"/>
      <w:r>
        <w:t xml:space="preserve"> </w:t>
      </w:r>
      <w:proofErr w:type="spellStart"/>
      <w:r>
        <w:t>Hakimovej</w:t>
      </w:r>
      <w:proofErr w:type="spellEnd"/>
      <w:r>
        <w:t>, ako aj občanov EÚ;</w:t>
      </w:r>
    </w:p>
    <w:p>
      <w:pPr>
        <w:pStyle w:val="NormalHanging12a"/>
      </w:pPr>
      <w:r>
        <w:t>4.</w:t>
      </w:r>
      <w:r>
        <w:tab/>
        <w:t xml:space="preserve">opakuje svoju výzvu Rade, aby označila Zbor islamských revolučných gárd za teroristickú organizáciu, pričom poznamenáva, že rozhodnutie Vyššieho krajinského súdu v </w:t>
      </w:r>
      <w:proofErr w:type="spellStart"/>
      <w:r>
        <w:t>Düsseldorfe</w:t>
      </w:r>
      <w:proofErr w:type="spellEnd"/>
      <w:r>
        <w:t xml:space="preserve"> o útoku na synagógu v </w:t>
      </w:r>
      <w:proofErr w:type="spellStart"/>
      <w:r>
        <w:t>Bochume</w:t>
      </w:r>
      <w:proofErr w:type="spellEnd"/>
      <w:r>
        <w:t xml:space="preserve"> v roku 2022 teraz poskytuje nevyhnutný právny základ;</w:t>
      </w:r>
    </w:p>
    <w:p>
      <w:pPr>
        <w:pStyle w:val="NormalHanging12a"/>
      </w:pPr>
      <w:r>
        <w:t>5.</w:t>
      </w:r>
      <w:r>
        <w:tab/>
        <w:t>naliehavo vyzýva iránsku vládu, aby poskytla neobmedzený prístup k vyšetrovacej misii OSN a osobitnému spravodajcovi pre situáciu v oblasti ľudských práv v Iráne; vyzýva na obnovenie a rozšírenie jeho mandátu tak, aby zahŕňal mechanizmus zodpovednosti;</w:t>
      </w:r>
    </w:p>
    <w:p>
      <w:pPr>
        <w:pStyle w:val="NormalHanging12a"/>
      </w:pPr>
      <w:r>
        <w:t>6.</w:t>
      </w:r>
      <w:r>
        <w:tab/>
        <w:t>vyzýva EÚ a jej členské štáty, aby podporovali hnutie Ženy, život a sloboda;</w:t>
      </w:r>
    </w:p>
    <w:p>
      <w:pPr>
        <w:pStyle w:val="NormalHanging12a"/>
      </w:pPr>
      <w:r>
        <w:t>7.</w:t>
      </w:r>
      <w:r>
        <w:tab/>
        <w:t>poveruje svoju predsedníčku, aby postúpila toto uznesenie Komisii, Rade, VP/PK, Islamskému poradnému zhromaždeniu a Kancelárii najvyššieho vodcu Iránskej islamskej republiky.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88, 0199, 0202, 0203 a 0207/2024"/>
    <w:docVar w:name="dvlangue" w:val="SK"/>
    <w:docVar w:name="dvnumam" w:val="0"/>
    <w:docVar w:name="dvpe" w:val="766.502"/>
    <w:docVar w:name="dvtitre" w:val="Uznesenie Európskeho parlamentu z 28. novembra 2024 o rastúcom a systematickom útlaku žien v Iráne(2024/2951(RSP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ACAD95-E079-4670-8AC6-8D12C3800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EPComma">
    <w:name w:val="EPComma"/>
    <w:basedOn w:val="Normal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C7FBA-5D61-4F7B-AA67-98DAA2068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489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2024-11-28T10:01:00Z</dcterms:created>
  <dcterms:modified xsi:type="dcterms:W3CDTF">2024-11-28T10:01:00Z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B10-0188, 0199, 0202, 0203 a 0207/2024</vt:lpwstr>
  </property>
  <property fmtid="{D5CDD505-2E9C-101B-9397-08002B2CF9AE}" pid="4" name="&lt;Type&gt;">
    <vt:lpwstr>RR</vt:lpwstr>
  </property>
</Properties>
</file>