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body>
    <w:tbl>
      <w:tblPr>
        <w:tblW w:w="9072" w:type="dxa"/>
        <w:tblCellMar>
          <w:left w:w="0" w:type="dxa"/>
          <w:right w:w="0" w:type="dxa"/>
        </w:tblCellMar>
        <w:tblLook w:val="01E0" w:firstRow="1" w:lastRow="1" w:firstColumn="1" w:lastColumn="1" w:noHBand="0" w:noVBand="0"/>
      </w:tblPr>
      <w:tblGrid>
        <w:gridCol w:w="6804"/>
        <w:gridCol w:w="2268"/>
      </w:tblGrid>
      <w:tr w:rsidR="00751A4A" w:rsidRPr="00F52AE5" w:rsidTr="0010095E">
        <w:trPr>
          <w:trHeight w:hRule="exact" w:val="1418"/>
        </w:trPr>
        <w:tc>
          <w:tcPr>
            <w:tcW w:w="6804" w:type="dxa"/>
            <w:shd w:val="clear" w:color="auto" w:fill="auto"/>
            <w:vAlign w:val="center"/>
          </w:tcPr>
          <w:p w:rsidR="00751A4A" w:rsidRPr="00F52AE5" w:rsidRDefault="00DB5DF8" w:rsidP="0010095E">
            <w:pPr>
              <w:pStyle w:val="EPName"/>
            </w:pPr>
            <w:bookmarkStart w:id="0" w:name="_GoBack"/>
            <w:bookmarkEnd w:id="0"/>
            <w:r w:rsidRPr="00F52AE5">
              <w:t>Ευρωπαϊκό Κοινοβούλιο</w:t>
            </w:r>
          </w:p>
          <w:p w:rsidR="00751A4A" w:rsidRPr="00F52AE5" w:rsidRDefault="005F1B17" w:rsidP="005F1B17">
            <w:pPr>
              <w:pStyle w:val="EPTerm"/>
              <w:rPr>
                <w:rStyle w:val="HideTWBExt"/>
                <w:noProof w:val="0"/>
                <w:vanish w:val="0"/>
                <w:color w:val="auto"/>
              </w:rPr>
            </w:pPr>
            <w:r w:rsidRPr="00F52AE5">
              <w:t>2024</w:t>
            </w:r>
            <w:r w:rsidR="00817416" w:rsidRPr="00F52AE5">
              <w:t>-202</w:t>
            </w:r>
            <w:r w:rsidRPr="00F52AE5">
              <w:t>9</w:t>
            </w:r>
          </w:p>
        </w:tc>
        <w:tc>
          <w:tcPr>
            <w:tcW w:w="2268" w:type="dxa"/>
            <w:shd w:val="clear" w:color="auto" w:fill="auto"/>
          </w:tcPr>
          <w:p w:rsidR="00751A4A" w:rsidRPr="00F52AE5" w:rsidRDefault="00187494" w:rsidP="0010095E">
            <w:pPr>
              <w:pStyle w:val="EPLogo"/>
            </w:pPr>
            <w:r w:rsidRPr="00F52AE5">
              <w:rPr>
                <w:noProof/>
                <w:lang w:val="en-GB"/>
              </w:rPr>
              <w:drawing>
                <wp:inline distT="0" distB="0" distL="0" distR="0">
                  <wp:extent cx="1158875" cy="652145"/>
                  <wp:effectExtent l="0" t="0" r="0" b="0"/>
                  <wp:docPr id="1" name="Picture 1" descr="EP logo RGB_Mute"/>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EP logo RGB_Mute"/>
                          <pic:cNvPicPr>
                            <a:picLocks noChangeAspect="1" noChangeArrowheads="1"/>
                          </pic:cNvPicPr>
                        </pic:nvPicPr>
                        <pic:blipFill>
                          <a:blip r:embed="rId8" cstate="print">
                            <a:extLst>
                              <a:ext uri="{28A0092B-C50C-407E-A947-70E740481C1C}">
                                <a14:useLocalDpi xmlns:a14="http://schemas.microsoft.com/office/drawing/2010/main" val="0"/>
                              </a:ext>
                            </a:extLst>
                          </a:blip>
                          <a:srcRect/>
                          <a:stretch>
                            <a:fillRect/>
                          </a:stretch>
                        </pic:blipFill>
                        <pic:spPr bwMode="auto">
                          <a:xfrm>
                            <a:off x="0" y="0"/>
                            <a:ext cx="1158875" cy="652145"/>
                          </a:xfrm>
                          <a:prstGeom prst="rect">
                            <a:avLst/>
                          </a:prstGeom>
                          <a:noFill/>
                          <a:ln>
                            <a:noFill/>
                          </a:ln>
                        </pic:spPr>
                      </pic:pic>
                    </a:graphicData>
                  </a:graphic>
                </wp:inline>
              </w:drawing>
            </w:r>
          </w:p>
        </w:tc>
      </w:tr>
    </w:tbl>
    <w:p w:rsidR="00D058B8" w:rsidRPr="00F52AE5" w:rsidRDefault="00D058B8" w:rsidP="004C5D52">
      <w:pPr>
        <w:pStyle w:val="LineTop"/>
      </w:pPr>
    </w:p>
    <w:p w:rsidR="00680577" w:rsidRPr="00F52AE5" w:rsidRDefault="00DB5DF8" w:rsidP="00680577">
      <w:pPr>
        <w:pStyle w:val="EPBodyTA1"/>
      </w:pPr>
      <w:r w:rsidRPr="00F52AE5">
        <w:t>ΚΕΙΜΕΝΑ ΠΟΥ ΕΓΚΡΙΘΗΚΑΝ</w:t>
      </w:r>
    </w:p>
    <w:p w:rsidR="00D058B8" w:rsidRPr="00F52AE5" w:rsidRDefault="00D058B8" w:rsidP="00D058B8">
      <w:pPr>
        <w:pStyle w:val="LineBottom"/>
      </w:pPr>
    </w:p>
    <w:p w:rsidR="00DB5DF8" w:rsidRPr="00F52AE5" w:rsidRDefault="00DB5DF8" w:rsidP="00DB5DF8">
      <w:pPr>
        <w:pStyle w:val="ATHeading1"/>
      </w:pPr>
      <w:bookmarkStart w:id="1" w:name="TANumber"/>
      <w:r w:rsidRPr="00F52AE5">
        <w:t>P10_TA(2024)00</w:t>
      </w:r>
      <w:r w:rsidR="005D5C4E" w:rsidRPr="00F52AE5">
        <w:t>55</w:t>
      </w:r>
      <w:bookmarkEnd w:id="1"/>
    </w:p>
    <w:p w:rsidR="00DB5DF8" w:rsidRPr="00F52AE5" w:rsidRDefault="00DB5DF8" w:rsidP="00DB5DF8">
      <w:pPr>
        <w:pStyle w:val="ATHeading2"/>
      </w:pPr>
      <w:bookmarkStart w:id="2" w:name="title"/>
      <w:r w:rsidRPr="00F52AE5">
        <w:t>Η ενίσχυση της ακλόνητης υποστήριξης της ΕΕ προς την Ουκρανία κατά του επιθετικού πολέμου της Ρωσίας και της αυξανόμενης στρατιωτικής συνεργασίας μεταξύ της Βόρειας Κορέας και της Ρωσίας</w:t>
      </w:r>
      <w:bookmarkEnd w:id="2"/>
    </w:p>
    <w:p w:rsidR="00DB5DF8" w:rsidRPr="00F52AE5" w:rsidRDefault="00DB5DF8" w:rsidP="00DB5DF8">
      <w:pPr>
        <w:rPr>
          <w:i/>
          <w:vanish/>
        </w:rPr>
      </w:pPr>
      <w:r w:rsidRPr="00F52AE5">
        <w:rPr>
          <w:i/>
        </w:rPr>
        <w:fldChar w:fldCharType="begin"/>
      </w:r>
      <w:r w:rsidRPr="00F52AE5">
        <w:rPr>
          <w:i/>
        </w:rPr>
        <w:instrText xml:space="preserve"> TC"(</w:instrText>
      </w:r>
      <w:bookmarkStart w:id="3" w:name="DocNumber"/>
      <w:r w:rsidRPr="00F52AE5">
        <w:rPr>
          <w:i/>
        </w:rPr>
        <w:instrText>B10-0191</w:instrText>
      </w:r>
      <w:r w:rsidR="005F433A" w:rsidRPr="00F52AE5">
        <w:rPr>
          <w:i/>
        </w:rPr>
        <w:instrText>, 0192, 0193, 0198 και 0200</w:instrText>
      </w:r>
      <w:r w:rsidRPr="00F52AE5">
        <w:rPr>
          <w:i/>
        </w:rPr>
        <w:instrText>/2024</w:instrText>
      </w:r>
      <w:bookmarkEnd w:id="3"/>
      <w:r w:rsidRPr="00F52AE5">
        <w:rPr>
          <w:i/>
        </w:rPr>
        <w:instrText xml:space="preserve">)"\l3 \n&gt; \* MERGEFORMAT </w:instrText>
      </w:r>
      <w:r w:rsidRPr="00F52AE5">
        <w:rPr>
          <w:i/>
        </w:rPr>
        <w:fldChar w:fldCharType="end"/>
      </w:r>
    </w:p>
    <w:p w:rsidR="00DB5DF8" w:rsidRPr="00F52AE5" w:rsidRDefault="00DB5DF8" w:rsidP="00DB5DF8">
      <w:pPr>
        <w:rPr>
          <w:vanish/>
        </w:rPr>
      </w:pPr>
      <w:bookmarkStart w:id="4" w:name="PE"/>
      <w:r w:rsidRPr="00F52AE5">
        <w:rPr>
          <w:vanish/>
        </w:rPr>
        <w:t>PE766.505</w:t>
      </w:r>
      <w:bookmarkEnd w:id="4"/>
    </w:p>
    <w:p w:rsidR="00DB5DF8" w:rsidRPr="00F52AE5" w:rsidRDefault="00DB5DF8" w:rsidP="00DB5DF8">
      <w:pPr>
        <w:pStyle w:val="ATHeading3"/>
      </w:pPr>
      <w:bookmarkStart w:id="5" w:name="Sujet"/>
      <w:r w:rsidRPr="00F52AE5">
        <w:t xml:space="preserve">Ψήφισμα του Ευρωπαϊκού Κοινοβουλίου </w:t>
      </w:r>
      <w:r w:rsidR="005F433A" w:rsidRPr="00F52AE5">
        <w:t xml:space="preserve">της 28ης Νοεμβρίου 2024 </w:t>
      </w:r>
      <w:r w:rsidRPr="00F52AE5">
        <w:t>σχετικά με την ενίσχυση της ακλόνητης υποστήριξης της ΕΕ προς την Ουκρανία κατά του επιθετικού πολέμου της Ρωσίας και της αυξανόμενης στρατιωτικής συνεργασίας μεταξύ της Βόρειας Κορέας και της Ρωσίας</w:t>
      </w:r>
      <w:bookmarkEnd w:id="5"/>
      <w:r w:rsidRPr="00F52AE5">
        <w:t xml:space="preserve"> </w:t>
      </w:r>
      <w:bookmarkStart w:id="6" w:name="References"/>
      <w:r w:rsidRPr="00F52AE5">
        <w:t>(2024/2940(RSP))</w:t>
      </w:r>
      <w:bookmarkEnd w:id="6"/>
    </w:p>
    <w:p w:rsidR="00EF365E" w:rsidRPr="00F52AE5" w:rsidRDefault="00EF365E" w:rsidP="00EF365E">
      <w:pPr>
        <w:pStyle w:val="EPComma"/>
      </w:pPr>
      <w:bookmarkStart w:id="7" w:name="TextBodyBegin"/>
      <w:bookmarkEnd w:id="7"/>
      <w:r w:rsidRPr="00F52AE5">
        <w:rPr>
          <w:i/>
        </w:rPr>
        <w:t>Το Ευρωπαϊκό Κοινοβούλιο</w:t>
      </w:r>
      <w:r w:rsidRPr="00F52AE5">
        <w:t>,</w:t>
      </w:r>
    </w:p>
    <w:p w:rsidR="00EF365E" w:rsidRPr="00F52AE5" w:rsidRDefault="00EF365E" w:rsidP="005F433A">
      <w:pPr>
        <w:pStyle w:val="NormalHanging12a"/>
        <w:widowControl/>
        <w:rPr>
          <w:u w:color="000000"/>
        </w:rPr>
      </w:pPr>
      <w:r w:rsidRPr="00F52AE5">
        <w:t>–</w:t>
      </w:r>
      <w:r w:rsidRPr="00F52AE5">
        <w:tab/>
        <w:t>έχοντας υπόψη τα προηγούμενα ψηφίσματά του σχετικά με την Ουκρανία και τη Ρωσία, ιδίως το ψήφισμά του της 17ης Ιουλίου 2024 σχετικά με την ανάγκη για συνεχή στήριξη της ΕΕ προς την Ουκρανία</w:t>
      </w:r>
      <w:r w:rsidRPr="00F52AE5">
        <w:rPr>
          <w:rStyle w:val="FootnoteReference"/>
        </w:rPr>
        <w:footnoteReference w:id="1"/>
      </w:r>
      <w:r w:rsidRPr="00F52AE5">
        <w:t xml:space="preserve"> και το ψήφισμά του της 19ης Σεπτεμβρίου 2024 σχετικά με τη συνεχιζόμενη οικονομική και στρατιωτική υποστήριξη προς την Ουκρανία από τα κράτη μέλη της ΕΕ</w:t>
      </w:r>
      <w:r w:rsidRPr="00F52AE5">
        <w:rPr>
          <w:rStyle w:val="FootnoteReference"/>
        </w:rPr>
        <w:footnoteReference w:id="2"/>
      </w:r>
      <w:r w:rsidRPr="00F52AE5">
        <w:t>, καθώς και τα προηγούμενα ψηφίσματά του σχετικά με την κατάσταση στην Κορεατική Χερσόνησο,</w:t>
      </w:r>
    </w:p>
    <w:p w:rsidR="00EF365E" w:rsidRPr="00F52AE5" w:rsidRDefault="00EF365E" w:rsidP="005F433A">
      <w:pPr>
        <w:pStyle w:val="NormalHanging12a"/>
        <w:widowControl/>
        <w:rPr>
          <w:u w:color="000000"/>
        </w:rPr>
      </w:pPr>
      <w:r w:rsidRPr="00F52AE5">
        <w:t>–</w:t>
      </w:r>
      <w:r w:rsidRPr="00F52AE5">
        <w:tab/>
        <w:t>έχοντας υπόψη τον Χάρτη των Ηνωμένων Εθνών, τις Συμβάσεις της Χάγης, τις Συμβάσεις της Γενεύης και τα πρόσθετα πρωτόκολλά τους, καθώς και το Καταστατικό της Ρώμης του Διεθνούς Ποινικού Δικαστηρίου,</w:t>
      </w:r>
    </w:p>
    <w:p w:rsidR="00EF365E" w:rsidRPr="00F52AE5" w:rsidRDefault="00EF365E" w:rsidP="005F433A">
      <w:pPr>
        <w:pStyle w:val="NormalHanging12a"/>
        <w:widowControl/>
        <w:rPr>
          <w:u w:color="000000"/>
        </w:rPr>
      </w:pPr>
      <w:r w:rsidRPr="00F52AE5">
        <w:t>–</w:t>
      </w:r>
      <w:r w:rsidRPr="00F52AE5">
        <w:tab/>
        <w:t>έχοντας υπόψη την Τελική Πράξη του Ελσίνκι, τη Χάρτα των Παρισίων για μια Νέα Ευρώπη και το Μνημόνιο της Βουδαπέστης για τις εγγυήσεις ασφάλειας,</w:t>
      </w:r>
    </w:p>
    <w:p w:rsidR="00EF365E" w:rsidRPr="00F52AE5" w:rsidRDefault="00EF365E" w:rsidP="005F433A">
      <w:pPr>
        <w:pStyle w:val="NormalHanging12a"/>
        <w:widowControl/>
        <w:rPr>
          <w:u w:color="000000"/>
        </w:rPr>
      </w:pPr>
      <w:r w:rsidRPr="00F52AE5">
        <w:t>–</w:t>
      </w:r>
      <w:r w:rsidRPr="00F52AE5">
        <w:tab/>
        <w:t>έχοντας υπόψη τον κανονισμό (ΕΕ) 2024/792 του Ευρωπαϊκού Κοινοβουλίου και του Συμβουλίου, της 29ης Φεβρουαρίου 2024, για τη θέσπιση του Μέσου Διευκόλυνσης για την Ουκρανία</w:t>
      </w:r>
      <w:r w:rsidRPr="00F52AE5">
        <w:rPr>
          <w:rStyle w:val="FootnoteReference"/>
        </w:rPr>
        <w:footnoteReference w:id="3"/>
      </w:r>
      <w:r w:rsidRPr="00F52AE5">
        <w:t>, τον κανονισμό (ΕΕ) 2024/2773 του Ευρωπαϊκού Κοινοβουλίου και του Συμβουλίου, της 24ης Οκτωβρίου 2024, για τη σύσταση του μηχανισμού συνεργασίας για τα δάνεια προς την Ουκρανία και τη χορήγηση έκτακτης μακροοικονομικής χρηματοδοτικής συνδρομής στην Ουκρανία</w:t>
      </w:r>
      <w:r w:rsidRPr="00F52AE5">
        <w:rPr>
          <w:rStyle w:val="FootnoteReference"/>
        </w:rPr>
        <w:footnoteReference w:id="4"/>
      </w:r>
      <w:r w:rsidRPr="00F52AE5">
        <w:t>, καθώς και άλλες μορφές στήριξης της ΕΕ προς την Ουκρανία,</w:t>
      </w:r>
    </w:p>
    <w:p w:rsidR="00EF365E" w:rsidRPr="00F52AE5" w:rsidRDefault="00EF365E" w:rsidP="005F433A">
      <w:pPr>
        <w:pStyle w:val="NormalHanging12a"/>
        <w:widowControl/>
        <w:rPr>
          <w:u w:color="000000"/>
        </w:rPr>
      </w:pPr>
      <w:r w:rsidRPr="00F52AE5">
        <w:lastRenderedPageBreak/>
        <w:t>–</w:t>
      </w:r>
      <w:r w:rsidRPr="00F52AE5">
        <w:tab/>
        <w:t xml:space="preserve">έχοντας υπόψη την κοινή δήλωση του υπουργού Εξωτερικών της Δημοκρατίας της Κορέας, </w:t>
      </w:r>
      <w:proofErr w:type="spellStart"/>
      <w:r w:rsidRPr="00F52AE5">
        <w:t>Cho</w:t>
      </w:r>
      <w:proofErr w:type="spellEnd"/>
      <w:r w:rsidRPr="00F52AE5">
        <w:t xml:space="preserve"> </w:t>
      </w:r>
      <w:proofErr w:type="spellStart"/>
      <w:r w:rsidRPr="00F52AE5">
        <w:t>Tae-yul</w:t>
      </w:r>
      <w:proofErr w:type="spellEnd"/>
      <w:r w:rsidRPr="00F52AE5">
        <w:t xml:space="preserve">, και του </w:t>
      </w:r>
      <w:r w:rsidR="004F311B" w:rsidRPr="00F52AE5">
        <w:t>Ύ</w:t>
      </w:r>
      <w:r w:rsidRPr="00F52AE5">
        <w:t xml:space="preserve">πατου </w:t>
      </w:r>
      <w:r w:rsidR="004F311B" w:rsidRPr="00F52AE5">
        <w:t>Ε</w:t>
      </w:r>
      <w:r w:rsidRPr="00F52AE5">
        <w:t xml:space="preserve">κπροσώπου της Ευρωπαϊκής Ένωσης για θέματα Εξωτερικής Πολιτικής και Πολιτικής Ασφαλείας, </w:t>
      </w:r>
      <w:proofErr w:type="spellStart"/>
      <w:r w:rsidRPr="00F52AE5">
        <w:t>Josep</w:t>
      </w:r>
      <w:proofErr w:type="spellEnd"/>
      <w:r w:rsidRPr="00F52AE5">
        <w:t xml:space="preserve"> </w:t>
      </w:r>
      <w:proofErr w:type="spellStart"/>
      <w:r w:rsidRPr="00F52AE5">
        <w:t>Borrell</w:t>
      </w:r>
      <w:proofErr w:type="spellEnd"/>
      <w:r w:rsidRPr="00F52AE5">
        <w:t>, της 4ης</w:t>
      </w:r>
      <w:r w:rsidR="004F311B" w:rsidRPr="00F52AE5">
        <w:t> </w:t>
      </w:r>
      <w:r w:rsidRPr="00F52AE5">
        <w:t>Νοεμβρίου 2024, σχετικά με τη συνεργασία μεταξύ της Λαοκρατικής Δημοκρατίας της Κορέας και της Ρωσίας,</w:t>
      </w:r>
    </w:p>
    <w:p w:rsidR="00EF365E" w:rsidRPr="00F52AE5" w:rsidRDefault="00EF365E" w:rsidP="005F433A">
      <w:pPr>
        <w:pStyle w:val="NormalHanging12a"/>
        <w:widowControl/>
        <w:rPr>
          <w:u w:color="000000"/>
        </w:rPr>
      </w:pPr>
      <w:r w:rsidRPr="00F52AE5">
        <w:t>–</w:t>
      </w:r>
      <w:r w:rsidRPr="00F52AE5">
        <w:tab/>
        <w:t xml:space="preserve">έχοντας υπόψη την ομιλία του Ουκρανού προέδρου </w:t>
      </w:r>
      <w:proofErr w:type="spellStart"/>
      <w:r w:rsidRPr="00F52AE5">
        <w:t>Volodymyr</w:t>
      </w:r>
      <w:proofErr w:type="spellEnd"/>
      <w:r w:rsidRPr="00F52AE5">
        <w:t xml:space="preserve"> </w:t>
      </w:r>
      <w:proofErr w:type="spellStart"/>
      <w:r w:rsidRPr="00F52AE5">
        <w:t>Zelenskyy</w:t>
      </w:r>
      <w:proofErr w:type="spellEnd"/>
      <w:r w:rsidRPr="00F52AE5">
        <w:t xml:space="preserve"> στο Ευρωπαϊκό Κοινοβούλιο στις 19 Νοεμβρίου 2024 με αφορμή τη συμπλήρωση 1</w:t>
      </w:r>
      <w:r w:rsidR="004F311B" w:rsidRPr="00F52AE5">
        <w:t> </w:t>
      </w:r>
      <w:r w:rsidRPr="00F52AE5">
        <w:t>000 ημερών από την ολομέτωπη εισβολή της Ρωσίας στην Ουκρανία,</w:t>
      </w:r>
    </w:p>
    <w:p w:rsidR="00EF365E" w:rsidRPr="00F52AE5" w:rsidRDefault="00EF365E" w:rsidP="005F433A">
      <w:pPr>
        <w:pStyle w:val="NormalHanging12a"/>
        <w:widowControl/>
        <w:rPr>
          <w:bCs/>
          <w:u w:color="000000"/>
        </w:rPr>
      </w:pPr>
      <w:r w:rsidRPr="00F52AE5">
        <w:t>–</w:t>
      </w:r>
      <w:r w:rsidRPr="00F52AE5">
        <w:tab/>
        <w:t>έχοντας υπόψη τη Συνθήκη για τη Μη Διάδοση των Πυρηνικών Όπλων και τις αποφάσεις του Συμβουλίου Ασφαλείας των Ηνωμένων Εθνών για τη Βόρεια Κορέα, συμπεριλαμβανομένης της απόφασης 1718 (2006) του Συμβουλίου Ασφαλείας των Ηνωμένων Εθνών, της 14ης Οκτωβρίου 2006,</w:t>
      </w:r>
    </w:p>
    <w:p w:rsidR="00EF365E" w:rsidRPr="00F52AE5" w:rsidRDefault="00EF365E" w:rsidP="005F433A">
      <w:pPr>
        <w:pStyle w:val="NormalHanging12a"/>
        <w:widowControl/>
        <w:rPr>
          <w:u w:color="000000"/>
        </w:rPr>
      </w:pPr>
      <w:r w:rsidRPr="00F52AE5">
        <w:t>–</w:t>
      </w:r>
      <w:r w:rsidRPr="00F52AE5">
        <w:tab/>
        <w:t>έχοντας υπόψη τη δήλωση του Βορειοατλαντικού Συμβουλίου, της 8ης Νοεμβρίου 2024, σχετικά με τη Λαοκρατική Δημοκρατία της Κορέας,</w:t>
      </w:r>
    </w:p>
    <w:p w:rsidR="00EF365E" w:rsidRPr="00F52AE5" w:rsidRDefault="00EF365E" w:rsidP="005F433A">
      <w:pPr>
        <w:pStyle w:val="NormalHanging12a"/>
        <w:widowControl/>
        <w:rPr>
          <w:bCs/>
          <w:u w:color="000000"/>
        </w:rPr>
      </w:pPr>
      <w:r w:rsidRPr="00F52AE5">
        <w:t>–</w:t>
      </w:r>
      <w:r w:rsidRPr="00F52AE5">
        <w:tab/>
        <w:t>έχοντας υπόψη τη στρατηγική εταιρική σχέση ΕΕ-Δημοκρατίας της Κορέας του 2010,</w:t>
      </w:r>
    </w:p>
    <w:p w:rsidR="00EF365E" w:rsidRPr="00F52AE5" w:rsidRDefault="00EF365E" w:rsidP="005F433A">
      <w:pPr>
        <w:pStyle w:val="NormalHanging12a"/>
        <w:widowControl/>
      </w:pPr>
      <w:r w:rsidRPr="00F52AE5">
        <w:t>–</w:t>
      </w:r>
      <w:r w:rsidRPr="00F52AE5">
        <w:tab/>
        <w:t>έχοντας υπόψη το άρθρο 136 παράγραφοι 2 και 4 του Κανονισμού,</w:t>
      </w:r>
    </w:p>
    <w:p w:rsidR="00EF365E" w:rsidRPr="00F52AE5" w:rsidRDefault="00EF365E" w:rsidP="005F433A">
      <w:pPr>
        <w:pStyle w:val="NormalHanging12a"/>
        <w:widowControl/>
        <w:rPr>
          <w:u w:color="000000"/>
        </w:rPr>
      </w:pPr>
      <w:r w:rsidRPr="00F52AE5">
        <w:t>Α.</w:t>
      </w:r>
      <w:r w:rsidRPr="00F52AE5">
        <w:tab/>
        <w:t xml:space="preserve">λαμβάνοντας υπόψη ότι η Ρωσία διεξάγει παράνομο, απρόκλητο και αδικαιολόγητο επιθετικό πόλεμο κατά της Ουκρανίας από τις 24 Φεβρουαρίου 2022, σε συνέχεια επιθέσεων που έχει εξαπολύσει από το 2014, συμπεριλαμβανομένων της παράνομης προσάρτησης της Κριμαίας και της κατάληψης τμημάτων των περιοχών </w:t>
      </w:r>
      <w:proofErr w:type="spellStart"/>
      <w:r w:rsidRPr="00F52AE5">
        <w:t>Ντονέτσκ</w:t>
      </w:r>
      <w:proofErr w:type="spellEnd"/>
      <w:r w:rsidRPr="00F52AE5">
        <w:t xml:space="preserve"> και </w:t>
      </w:r>
      <w:proofErr w:type="spellStart"/>
      <w:r w:rsidRPr="00F52AE5">
        <w:t>Λουχάνσκ</w:t>
      </w:r>
      <w:proofErr w:type="spellEnd"/>
      <w:r w:rsidRPr="00F52AE5">
        <w:t xml:space="preserve">, </w:t>
      </w:r>
      <w:r w:rsidR="00884941" w:rsidRPr="00F52AE5">
        <w:t xml:space="preserve">της </w:t>
      </w:r>
      <w:proofErr w:type="spellStart"/>
      <w:r w:rsidR="00884941" w:rsidRPr="00F52AE5">
        <w:t>Ζαπορίζια</w:t>
      </w:r>
      <w:proofErr w:type="spellEnd"/>
      <w:r w:rsidR="00884941" w:rsidRPr="00F52AE5">
        <w:t xml:space="preserve"> και της Χερσώνας, </w:t>
      </w:r>
      <w:r w:rsidRPr="00F52AE5">
        <w:t>παραβιάζοντας σταθερά, κατάφωρα και απροκάλυπτα τις αρχές του Χάρτη των Ηνωμένων Εθνών και του διεθνούς ανθρωπιστικού δικαίου, όπως ορίζεται στις Συμβάσεις της Γενεύης του 1949·</w:t>
      </w:r>
    </w:p>
    <w:p w:rsidR="00EF365E" w:rsidRPr="00F52AE5" w:rsidRDefault="00EF365E" w:rsidP="005F433A">
      <w:pPr>
        <w:pStyle w:val="NormalHanging12a"/>
        <w:widowControl/>
        <w:rPr>
          <w:u w:color="000000"/>
        </w:rPr>
      </w:pPr>
      <w:r w:rsidRPr="00F52AE5">
        <w:t>Β.</w:t>
      </w:r>
      <w:r w:rsidRPr="00F52AE5">
        <w:tab/>
        <w:t>λαμβάνοντας υπόψη ότι οι ρωσικές δυνάμεις έχουν επιτεθεί συστηματικά και αδιακρίτως σε κατοικημένες περιοχές και μη στρατιωτικές υποδομές, σκοτώνοντας χιλιάδες Ουκρανούς πολίτες και καταστρέφοντας δημόσια και ιδιωτική περιουσία· λαμβάνοντας υπόψη ότι οι ρωσικές δυνάμεις είναι υπεύθυνες για εξαναγκαστικές απελάσεις, εξαφανίσεις, ακόμη και παιδιών, παράνομες φυλακίσεις, βασανιστήρια, εκτελέσεις αμάχων, στρατιωτών και αιχμαλώτων πολέμου, και τρομοκρατικές πράξεις, συμπεριλαμβανομένης της χρήσης σεξουαλικής βίας και μαζικών βιασμών ως πολεμικών όπλων, και εξακολουθούν να αλλοιώνουν την εθνοτική σύνθεση των κατεχόμενων εδαφών της Ουκρανίας·</w:t>
      </w:r>
    </w:p>
    <w:p w:rsidR="00EF365E" w:rsidRPr="00F52AE5" w:rsidRDefault="00EF365E" w:rsidP="005F433A">
      <w:pPr>
        <w:pStyle w:val="NormalHanging12a"/>
        <w:widowControl/>
        <w:rPr>
          <w:i/>
          <w:iCs/>
          <w:u w:color="000000"/>
        </w:rPr>
      </w:pPr>
      <w:r w:rsidRPr="00F52AE5">
        <w:t>Γ.</w:t>
      </w:r>
      <w:r w:rsidRPr="00F52AE5">
        <w:tab/>
        <w:t xml:space="preserve">λαμβάνοντας υπόψη ότι η Ρωσία έχει κλιμακώσει τις αεροπορικές επιθέσεις της κατά της Ουκρανίας, αναπτύσσοντας σημαντικό αριθμό πυραύλων και μη επανδρωμένων αεροσκαφών με στόχο τις υποδομές παραγωγής και μεταφοράς ηλεκτρικής ενέργειας σε ολόκληρη τη χώρα, με αποτέλεσμα να προκαλούνται διακοπές της ηλεκτροδότησης και να απαιτούνται μέτρα ελεγχόμενης διανομής, όπως ανακοινώθηκε από την </w:t>
      </w:r>
      <w:proofErr w:type="spellStart"/>
      <w:r w:rsidRPr="00F52AE5">
        <w:t>Ukrenergo</w:t>
      </w:r>
      <w:proofErr w:type="spellEnd"/>
      <w:r w:rsidRPr="00F52AE5">
        <w:t>, τον κύριο πάροχο ηλεκτρικής ενέργειας της Ουκρανίας, για τη σταθεροποίηση του ενεργειακού συστήματος·</w:t>
      </w:r>
    </w:p>
    <w:p w:rsidR="00EF365E" w:rsidRPr="00F52AE5" w:rsidRDefault="00EF365E" w:rsidP="005F433A">
      <w:pPr>
        <w:pStyle w:val="NormalHanging12a"/>
        <w:widowControl/>
        <w:rPr>
          <w:i/>
          <w:iCs/>
          <w:u w:color="000000"/>
        </w:rPr>
      </w:pPr>
      <w:r w:rsidRPr="00F52AE5">
        <w:t>Δ.</w:t>
      </w:r>
      <w:r w:rsidRPr="00F52AE5">
        <w:tab/>
        <w:t xml:space="preserve">λαμβάνοντας υπόψη ότι η ΕΕ και τα κράτη μέλη της είναι αλληλέγγυα προς την Ουκρανία, παρέχοντας σημαντική ανθρωπιστική, οικονομική και στρατιωτική στήριξη για να συνδράμουν την άμυνα της Ουκρανίας έως τη νίκη και την ανάκαμψή της· </w:t>
      </w:r>
      <w:r w:rsidRPr="00F52AE5">
        <w:lastRenderedPageBreak/>
        <w:t>λαμβάνοντας, ωστόσο, υπόψη ότι το επίπεδο στρατιωτικής βοήθειας εξακολουθεί να είναι ανεπαρκές, τόσο από άποψη ποιότητας όσο και ποσότητας, ενώ η πραγματική παράδοση όπλων και πυρομαχικών στην Ουκρανία γίνεται πολύ μετά τη λήψη των αποφάσεων περί παράδοσης· λαμβάνοντας υπόψη ότι μεγάλος αριθμός των συστημάτων που επρόκειτο να λάβει η Ουκρανία μετά την απόφαση που ελήφθη στη σύνοδο κορυφής του ΝΑΤΟ δεν έχει ακόμη παραδοθεί·</w:t>
      </w:r>
    </w:p>
    <w:p w:rsidR="00EF365E" w:rsidRPr="00F52AE5" w:rsidRDefault="00EF365E" w:rsidP="005F433A">
      <w:pPr>
        <w:pStyle w:val="NormalHanging12a"/>
        <w:widowControl/>
        <w:rPr>
          <w:u w:color="000000"/>
        </w:rPr>
      </w:pPr>
      <w:r w:rsidRPr="00F52AE5">
        <w:t>Ε.</w:t>
      </w:r>
      <w:r w:rsidRPr="00F52AE5">
        <w:tab/>
        <w:t>λαμβάνοντας υπόψη ότι ορισμένες τρίτες χώρες, ιδίως το Ιράν, η Βόρεια Κορέα και η Λευκορωσία, έχουν εφοδιάσει τη Ρωσία με σημαντικές ποσότητες όπλων και πυρομαχικών και ότι η Λευκορωσία έχει επιτρέψει στη Ρωσία να χρησιμοποιήσει το έδαφός της για να επιτεθεί στην Ουκρανία·</w:t>
      </w:r>
    </w:p>
    <w:p w:rsidR="00EF365E" w:rsidRPr="00F52AE5" w:rsidRDefault="00EF365E" w:rsidP="005F433A">
      <w:pPr>
        <w:pStyle w:val="NormalHanging12a"/>
        <w:widowControl/>
        <w:rPr>
          <w:u w:color="000000"/>
        </w:rPr>
      </w:pPr>
      <w:r w:rsidRPr="00F52AE5">
        <w:t>ΣΤ.</w:t>
      </w:r>
      <w:r w:rsidRPr="00F52AE5">
        <w:tab/>
        <w:t>λαμβάνοντας υπόψη ότι η Συνθήκη για τη Συνολική Στρατηγική Εταιρική Σχέση μεταξύ της Ρωσίας και της Βόρειας Κορέας, η οποία υπεγράφη στις 18 Ιουνίου 2024, προβλέπει αμοιβαία στρατιωτική συνδρομή, συμπεριλαμβανομένης της πυρηνικής και συμβατικής στήριξης, σε περίπτωση ένοπλης επίθεσης, με αποτέλεσμα τη σύσφιγξη των στρατιωτικών δεσμών μεταξύ των δύο εθνών· λαμβάνοντας υπόψη ότι η εξέλιξη αυτή έχει ως αποτέλεσμα να συνδυαστούν σημαντικές προκλήσεις στον τομέα της ασφάλειας τόσο στην Ασία όσο και στην Ευρώπη, κάτι το οποίο περιπλέκει περαιτέρω την κατάσταση όσον αφορά την παγκόσμια σταθερότητα·</w:t>
      </w:r>
    </w:p>
    <w:p w:rsidR="00EF365E" w:rsidRPr="00F52AE5" w:rsidRDefault="00EF365E" w:rsidP="005F433A">
      <w:pPr>
        <w:pStyle w:val="NormalHanging12a"/>
        <w:widowControl/>
        <w:rPr>
          <w:u w:color="000000"/>
        </w:rPr>
      </w:pPr>
      <w:r w:rsidRPr="00F52AE5">
        <w:t>Ζ.</w:t>
      </w:r>
      <w:r w:rsidRPr="00F52AE5">
        <w:tab/>
        <w:t>λαμβάνοντας υπόψη ότι η Βόρεια Κορέα και η Ρωσία έχουν κλιμακώσει άμεσα τη σύγκρουση στην Ουκρανία με την ανάπτυξη στρατευμάτων παράλληλα με τις ρωσικές δυνάμεις, κάτι το οποίο συνιστά επικίνδυνη επέκταση του πολέμου με σοβαρές επιπτώσεις στην περιφερειακή και παγκόσμια ασφάλεια· λαμβάνοντας υπόψη ότι οι μεταφορές όπλων της Βόρειας Κορέας στη Ρωσία, συμπεριλαμβανομένης της παροχής πυρομαχικών και στρατιωτικού εξοπλισμού, συνιστούν σαφή παραβίαση των κυρώσεων του Συμβουλίου Ασφαλείας του ΟΗΕ που αποσκοπούν στην πρόληψη της διάδοσης όπλων από τη Βόρεια Κορέα·</w:t>
      </w:r>
    </w:p>
    <w:p w:rsidR="00EF365E" w:rsidRPr="00F52AE5" w:rsidRDefault="00EF365E" w:rsidP="005F433A">
      <w:pPr>
        <w:pStyle w:val="NormalHanging12a"/>
        <w:widowControl/>
        <w:rPr>
          <w:u w:color="000000"/>
        </w:rPr>
      </w:pPr>
      <w:r w:rsidRPr="00F52AE5">
        <w:t>Η.</w:t>
      </w:r>
      <w:r w:rsidRPr="00F52AE5">
        <w:tab/>
        <w:t xml:space="preserve">λαμβάνοντας υπόψη ότι ο Ουκρανός πρόεδρος </w:t>
      </w:r>
      <w:proofErr w:type="spellStart"/>
      <w:r w:rsidRPr="00F52AE5">
        <w:t>Volodymyr</w:t>
      </w:r>
      <w:proofErr w:type="spellEnd"/>
      <w:r w:rsidRPr="00F52AE5">
        <w:t xml:space="preserve"> </w:t>
      </w:r>
      <w:proofErr w:type="spellStart"/>
      <w:r w:rsidRPr="00F52AE5">
        <w:t>Zelenskyy</w:t>
      </w:r>
      <w:proofErr w:type="spellEnd"/>
      <w:r w:rsidRPr="00F52AE5">
        <w:t xml:space="preserve"> ανέφερε ότι 11 000 Βορειοκορεάτες στρατιώτες έχουν ήδη αναπτυχθεί κοντά στα σύνορα της Ουκρανίας και ότι η δύναμη αυτή είναι πιθανόν να αυξηθεί περαιτέρω· λαμβάνοντας υπόψη ότι η Βόρεια Κορέα, σε αντάλλαγμα για την προμήθεια πυρομαχικών και στρατευμάτων, λαμβάνει από τη Ρωσία τρόφιμα, πετρέλαιο και χρήματα που της είναι απαραίτητα και ενδεχομένως βοήθεια για την ανάπτυξη πυρηνικών όπλων και τεχνογνωσίας πυραυλικής τεχνολογίας·</w:t>
      </w:r>
    </w:p>
    <w:p w:rsidR="00EF365E" w:rsidRPr="00F52AE5" w:rsidRDefault="00EF365E" w:rsidP="005F433A">
      <w:pPr>
        <w:pStyle w:val="NormalHanging12a"/>
        <w:widowControl/>
        <w:rPr>
          <w:i/>
          <w:iCs/>
          <w:u w:color="000000"/>
        </w:rPr>
      </w:pPr>
      <w:r w:rsidRPr="00F52AE5">
        <w:t>Θ.</w:t>
      </w:r>
      <w:r w:rsidRPr="00F52AE5">
        <w:tab/>
        <w:t>λαμβάνοντας υπόψη ότι η Βόρεια Κορέα έχει κλιμακώσει τις απειλές της, εγκατέλειψε την ενοποιητική πολιτική της και συνέχισε τις προκλήσεις στην περιοχή, ιδίως μέσω πυραυλικών δοκιμών και στρατιωτικών παρελάσεων, οι οποίες αυξάνουν τον κίνδυνο στρατιωτικής σύρραξης και υπονομεύουν τις προσπάθειες για ειρηνική διευθέτηση της κορεατικής διαμάχης·</w:t>
      </w:r>
    </w:p>
    <w:p w:rsidR="00EF365E" w:rsidRPr="00F52AE5" w:rsidRDefault="00EF365E" w:rsidP="005F433A">
      <w:pPr>
        <w:pStyle w:val="NormalHanging12a"/>
        <w:widowControl/>
        <w:rPr>
          <w:u w:color="000000"/>
        </w:rPr>
      </w:pPr>
      <w:r w:rsidRPr="00F52AE5">
        <w:t>Ι.</w:t>
      </w:r>
      <w:r w:rsidRPr="00F52AE5">
        <w:tab/>
        <w:t xml:space="preserve">λαμβάνοντας υπόψη ότι, σύμφωνα με πληροφορίες, οι ένοπλες δυνάμεις της Ρωσίας έχουν στρατολογήσει εκατοντάδες μισθοφόρους </w:t>
      </w:r>
      <w:proofErr w:type="spellStart"/>
      <w:r w:rsidRPr="00F52AE5">
        <w:t>Χούθι</w:t>
      </w:r>
      <w:proofErr w:type="spellEnd"/>
      <w:r w:rsidRPr="00F52AE5">
        <w:t xml:space="preserve"> από την Υεμένη για να πολεμήσουν στη σύγκρουση στην Ουκρανία, μέσω μιας σκιώδους επιχείρησης εμπορίας ανθρώπων, κάτι το οποίο καταδεικνύει τη σύσφιγξη των δεσμών μεταξύ της Μόσχας και της ομάδας των ανταρτών </w:t>
      </w:r>
      <w:proofErr w:type="spellStart"/>
      <w:r w:rsidRPr="00F52AE5">
        <w:t>Χούθι</w:t>
      </w:r>
      <w:proofErr w:type="spellEnd"/>
      <w:r w:rsidRPr="00F52AE5">
        <w:t>·</w:t>
      </w:r>
    </w:p>
    <w:p w:rsidR="00EF365E" w:rsidRPr="00F52AE5" w:rsidRDefault="00EF365E" w:rsidP="005F433A">
      <w:pPr>
        <w:pStyle w:val="NormalHanging12a"/>
        <w:widowControl/>
        <w:rPr>
          <w:u w:color="000000"/>
        </w:rPr>
      </w:pPr>
      <w:r w:rsidRPr="00F52AE5">
        <w:lastRenderedPageBreak/>
        <w:t>ΙΑ.</w:t>
      </w:r>
      <w:r w:rsidRPr="00F52AE5">
        <w:tab/>
        <w:t>λαμβάνοντας υπόψη ότι το Ιράν μετέφερε στη Ρωσία φορτία με βαλλιστικούς πυραύλους μικρού βεληνεκούς Fath-360· λαμβάνοντας υπόψη ότι η ΕΕ, η Γαλλία, η Γερμανία και το Ηνωμένο Βασίλειο με τη σειρά τους επέβαλαν νέα δέσμη κυρώσεων κατά του Ιράν·</w:t>
      </w:r>
    </w:p>
    <w:p w:rsidR="00EF365E" w:rsidRPr="00F52AE5" w:rsidRDefault="00EF365E" w:rsidP="005F433A">
      <w:pPr>
        <w:pStyle w:val="NormalHanging12a"/>
        <w:widowControl/>
        <w:rPr>
          <w:i/>
          <w:iCs/>
          <w:u w:color="000000"/>
        </w:rPr>
      </w:pPr>
      <w:r w:rsidRPr="00F52AE5">
        <w:t>ΙΒ.</w:t>
      </w:r>
      <w:r w:rsidRPr="00F52AE5">
        <w:tab/>
        <w:t xml:space="preserve">λαμβάνοντας υπόψη ότι η Κίνα είναι σήμερα ο μεγαλύτερος προμηθευτής αγαθών διπλής χρήσης και στρατιωτικών ειδών που συντηρούν τη στρατιωτική βάση της Ρωσίας και τον επιθετικό πόλεμο κατά της Ουκρανίας· λαμβάνοντας υπόψη ότι η ΕΕ έχει αδιάσειστα αποδεικτικά στοιχεία ότι στη δυτική περιφέρεια </w:t>
      </w:r>
      <w:proofErr w:type="spellStart"/>
      <w:r w:rsidRPr="00F52AE5">
        <w:t>Σιντζιάνγκ</w:t>
      </w:r>
      <w:proofErr w:type="spellEnd"/>
      <w:r w:rsidRPr="00F52AE5">
        <w:t xml:space="preserve"> της Κίνας παράγονται οπλισμένα μη επανδρωμένα αεροσκάφη για τον ρωσικό στρατό·</w:t>
      </w:r>
    </w:p>
    <w:p w:rsidR="00EF365E" w:rsidRPr="00F52AE5" w:rsidRDefault="00EF365E" w:rsidP="005F433A">
      <w:pPr>
        <w:pStyle w:val="NormalHanging12a"/>
        <w:widowControl/>
        <w:rPr>
          <w:i/>
          <w:iCs/>
          <w:u w:color="000000"/>
        </w:rPr>
      </w:pPr>
      <w:r w:rsidRPr="00F52AE5">
        <w:t>ΙΓ.</w:t>
      </w:r>
      <w:r w:rsidRPr="00F52AE5">
        <w:tab/>
        <w:t xml:space="preserve">λαμβάνοντας υπόψη ότι τόσο η </w:t>
      </w:r>
      <w:proofErr w:type="spellStart"/>
      <w:r w:rsidRPr="00F52AE5">
        <w:t>νεοεκλεγείσα</w:t>
      </w:r>
      <w:proofErr w:type="spellEnd"/>
      <w:r w:rsidRPr="00F52AE5">
        <w:t xml:space="preserve"> Πρόεδρος του Ευρωπαϊκού Κοινοβουλίου όσο και η </w:t>
      </w:r>
      <w:proofErr w:type="spellStart"/>
      <w:r w:rsidRPr="00F52AE5">
        <w:t>νεοεκλεγείσα</w:t>
      </w:r>
      <w:proofErr w:type="spellEnd"/>
      <w:r w:rsidRPr="00F52AE5">
        <w:t xml:space="preserve"> Πρόεδρος της Επιτροπής δεσμεύτηκαν αμέσως να διατηρήσουν την αταλάντευτη στήριξή τους προς την Ουκρανία· λαμβάνοντας υπόψη ότι ο εκλεγείς πρόεδρος των Ηνωμένων Πολιτειών αναμένεται πράξει ακόμη το ίδιο· λαμβάνοντας υπόψη ότι οτιδήποτε άλλο εκτός από τη νίκη της Ουκρανίας θα εκλαμβανόταν ευρέως ως στρατηγική ήττα τόσο της Ευρώπης όσο και των Ηνωμένων Πολιτειών και θα είχε εκτεταμένες συνέπειες για την ασφάλειά τους·</w:t>
      </w:r>
    </w:p>
    <w:p w:rsidR="00EF365E" w:rsidRPr="00F52AE5" w:rsidRDefault="00EF365E" w:rsidP="005F433A">
      <w:pPr>
        <w:pStyle w:val="NormalHanging12a"/>
        <w:widowControl/>
        <w:rPr>
          <w:i/>
          <w:iCs/>
          <w:u w:color="000000"/>
        </w:rPr>
      </w:pPr>
      <w:r w:rsidRPr="00F52AE5">
        <w:t>ΙΔ.</w:t>
      </w:r>
      <w:r w:rsidRPr="00F52AE5">
        <w:tab/>
        <w:t xml:space="preserve">λαμβάνοντας υπόψη ότι ο πρόεδρος των ΗΠΑ </w:t>
      </w:r>
      <w:proofErr w:type="spellStart"/>
      <w:r w:rsidRPr="00F52AE5">
        <w:t>Joe</w:t>
      </w:r>
      <w:proofErr w:type="spellEnd"/>
      <w:r w:rsidRPr="00F52AE5">
        <w:t xml:space="preserve"> </w:t>
      </w:r>
      <w:proofErr w:type="spellStart"/>
      <w:r w:rsidRPr="00F52AE5">
        <w:t>Biden</w:t>
      </w:r>
      <w:proofErr w:type="spellEnd"/>
      <w:r w:rsidRPr="00F52AE5">
        <w:t xml:space="preserve"> έχει επιτρέψει στην Ουκρανία να χρησιμοποιήσει αμερικανικής κατασκευής συστήματα τακτικών πυραύλων στρατού (ATACMS) στην περιφέρεια </w:t>
      </w:r>
      <w:proofErr w:type="spellStart"/>
      <w:r w:rsidRPr="00F52AE5">
        <w:t>Κουρσκ</w:t>
      </w:r>
      <w:proofErr w:type="spellEnd"/>
      <w:r w:rsidRPr="00F52AE5">
        <w:t xml:space="preserve"> της Ρωσικής Ομοσπονδίας· λαμβάνοντας υπόψη ότι η Γαλλία και το Ηνωμένο Βασίλειο έχουν προμηθεύσει στην Ουκρανία πυραύλους </w:t>
      </w:r>
      <w:proofErr w:type="spellStart"/>
      <w:r w:rsidRPr="00F52AE5">
        <w:t>κρουζ</w:t>
      </w:r>
      <w:proofErr w:type="spellEnd"/>
      <w:r w:rsidRPr="00F52AE5">
        <w:t xml:space="preserve"> </w:t>
      </w:r>
      <w:proofErr w:type="spellStart"/>
      <w:r w:rsidRPr="00F52AE5">
        <w:t>Storm</w:t>
      </w:r>
      <w:proofErr w:type="spellEnd"/>
      <w:r w:rsidRPr="00F52AE5">
        <w:t xml:space="preserve"> </w:t>
      </w:r>
      <w:proofErr w:type="spellStart"/>
      <w:r w:rsidRPr="00F52AE5">
        <w:t>Shadow</w:t>
      </w:r>
      <w:proofErr w:type="spellEnd"/>
      <w:r w:rsidRPr="00F52AE5">
        <w:t xml:space="preserve">/SCALP, επιτρέποντας αμφότερες τη χρήση τους κατά ρωσικών στόχων· λαμβάνοντας υπόψη ότι η Γερμανία συνεχίζει την πολιτική της και δεν παραδίδει πυραύλους </w:t>
      </w:r>
      <w:proofErr w:type="spellStart"/>
      <w:r w:rsidRPr="00F52AE5">
        <w:t>Taurus</w:t>
      </w:r>
      <w:proofErr w:type="spellEnd"/>
      <w:r w:rsidRPr="00F52AE5">
        <w:t xml:space="preserve"> μεγάλου βεληνεκούς στην Ουκρανία·</w:t>
      </w:r>
    </w:p>
    <w:p w:rsidR="00EF365E" w:rsidRPr="00F52AE5" w:rsidRDefault="00EF365E" w:rsidP="005F433A">
      <w:pPr>
        <w:pStyle w:val="NormalHanging12a"/>
        <w:widowControl/>
        <w:rPr>
          <w:u w:color="000000"/>
        </w:rPr>
      </w:pPr>
      <w:r w:rsidRPr="00F52AE5">
        <w:t>ΙΕ.</w:t>
      </w:r>
      <w:r w:rsidRPr="00F52AE5">
        <w:tab/>
        <w:t>λαμβάνοντας υπόψη ότι, σύμφωνα με το διεθνές δίκαιο, το δικαίωμα αυτοάμυνας της Ουκρανίας περιλαμβάνει ανάλογη στρατιωτική δράση που εκτείνεται πέραν του εδάφους της· λαμβάνοντας υπόψη ότι, σύμφωνα με πληροφορίες, η Ουκρανία χρησιμοποίησε τα οπλικά συστήματα μεγάλου βεληνεκούς που της δόθηκαν κατά στρατιωτικών στόχων εντός του ρωσικού εδάφους μετά την πρόσφατη άρση των περιορισμών από τις χώρες που της τα προμήθευσαν·</w:t>
      </w:r>
    </w:p>
    <w:p w:rsidR="00EF365E" w:rsidRPr="00F52AE5" w:rsidRDefault="00EF365E" w:rsidP="005F433A">
      <w:pPr>
        <w:pStyle w:val="NormalHanging12a"/>
        <w:widowControl/>
        <w:rPr>
          <w:u w:color="000000"/>
        </w:rPr>
      </w:pPr>
      <w:r w:rsidRPr="00F52AE5">
        <w:t>ΙΣΤ.</w:t>
      </w:r>
      <w:r w:rsidRPr="00F52AE5">
        <w:tab/>
        <w:t xml:space="preserve">λαμβάνοντας υπόψη ότι η Ρωσία επιτέθηκε στην ουκρανική πόλη </w:t>
      </w:r>
      <w:proofErr w:type="spellStart"/>
      <w:r w:rsidRPr="00F52AE5">
        <w:t>Ντνίπρο</w:t>
      </w:r>
      <w:proofErr w:type="spellEnd"/>
      <w:r w:rsidRPr="00F52AE5">
        <w:t xml:space="preserve"> στις 21</w:t>
      </w:r>
      <w:r w:rsidR="004F311B" w:rsidRPr="00F52AE5">
        <w:t> </w:t>
      </w:r>
      <w:r w:rsidRPr="00F52AE5">
        <w:t>Νοεμβρίου 2024 με βαλλιστικό πύραυλο μεσαίου βεληνεκούς·</w:t>
      </w:r>
    </w:p>
    <w:p w:rsidR="00EF365E" w:rsidRPr="00F52AE5" w:rsidRDefault="00EF365E" w:rsidP="005F433A">
      <w:pPr>
        <w:pStyle w:val="NormalHanging12a"/>
        <w:widowControl/>
        <w:rPr>
          <w:i/>
          <w:iCs/>
          <w:u w:color="000000"/>
        </w:rPr>
      </w:pPr>
      <w:r w:rsidRPr="00F52AE5">
        <w:t>ΙΖ.</w:t>
      </w:r>
      <w:r w:rsidRPr="00F52AE5">
        <w:tab/>
        <w:t xml:space="preserve">λαμβάνοντας υπόψη ότι, από τον Φεβρουάριο του 2022, η ΕΕ έχει εγκρίνει 14 δέσμες κυρώσεων που στοχεύουν ιδίως στον περιορισμό, στο μέτρο του δυνατού, της ικανότητας του Κρεμλίνου να χρηματοδοτήσει τον πόλεμο που έχει εξαπολύσει· λαμβάνοντας υπόψη ότι οι κυρώσεις αυτές καθορίζονται για περίοδο έξι μηνών κάθε φορά· λαμβάνοντας υπόψη ότι δεν έχει εγκριθεί πρόταση για την παράταση της διάρκειας των κυρώσεων σε τρία έτη· λαμβάνοντας υπόψη ότι η πρόταση έχει παρεμποδιστεί από το βέτο της </w:t>
      </w:r>
      <w:r w:rsidR="00884941" w:rsidRPr="00F52AE5">
        <w:t>ουγγρικής κυβέρνησης</w:t>
      </w:r>
      <w:r w:rsidRPr="00F52AE5">
        <w:t>, γεγονός που υπονομεύει την ασφάλεια, τη μακροπρόθεσμη σταθερότητα και τη στήριξη αυτής της δανειακής δομής·</w:t>
      </w:r>
    </w:p>
    <w:p w:rsidR="00EF365E" w:rsidRPr="00F52AE5" w:rsidRDefault="00EF365E" w:rsidP="005F433A">
      <w:pPr>
        <w:pStyle w:val="NormalHanging12a"/>
        <w:widowControl/>
        <w:rPr>
          <w:i/>
          <w:iCs/>
          <w:u w:color="000000"/>
        </w:rPr>
      </w:pPr>
      <w:r w:rsidRPr="00F52AE5">
        <w:t>ΙΗ.</w:t>
      </w:r>
      <w:r w:rsidRPr="00F52AE5">
        <w:tab/>
        <w:t xml:space="preserve">λαμβάνοντας υπόψη ότι η συνολική στρατιωτική στήριξη της ΕΕ για την Ουκρανία — που παρέχεται μέσω του Ευρωπαϊκού Μηχανισμού για την Ειρήνη (ΕΜΕ) και απευθείας από τα κράτη μέλη — ανέρχεται σε περίπου 43,5 δισεκατομμύρια EUR· λαμβάνοντας υπόψη ότι τον Αύγουστο του 2024 η ΕΕ κινητοποίησε μόνο την πρώτη δόση ύψους — 1,4 δισεκατομμυρίων EUR — απροσδόκητων κερδών από δεσμευμένα </w:t>
      </w:r>
      <w:r w:rsidRPr="00F52AE5">
        <w:lastRenderedPageBreak/>
        <w:t>περιουσιακά στοιχεία της Κεντρικής Τράπεζας της Ρωσίας μέσω του ΕΜΕ, για τη στήριξη περαιτέρω στρατιωτικής βοήθειας προς την Ουκρανία·</w:t>
      </w:r>
    </w:p>
    <w:p w:rsidR="00EF365E" w:rsidRPr="00F52AE5" w:rsidRDefault="00EF365E" w:rsidP="005F433A">
      <w:pPr>
        <w:pStyle w:val="NormalHanging12a"/>
        <w:widowControl/>
        <w:rPr>
          <w:i/>
          <w:iCs/>
          <w:u w:color="000000"/>
        </w:rPr>
      </w:pPr>
      <w:r w:rsidRPr="00F52AE5">
        <w:t>ΙΘ.</w:t>
      </w:r>
      <w:r w:rsidRPr="00F52AE5">
        <w:tab/>
        <w:t>λαμβάνοντας υπόψη ότι η ΕΕ, από κοινού με τις χώρες της G7, ενέκρινε τον μηχανισμό συνεργασίας για τα δάνεια προς την Ουκρανία, ο οποίος χρησιμοποιεί τα απροσδόκητα κέρδη από δεσμευμένα ρωσικά περιουσιακά στοιχεία για την αποπληρωμή των δανείων που χορήγησε η ΕΕ στην Ουκρανία· λαμβάνοντας υπόψη ότι για την οικονομική στήριξη της Ουκρανίας δεν χρησιμοποιούνται ακόμη άμεσα τα εν λόγω δεσμευμένα περιουσιακά στοιχεία, αλλά μόνο τα απροσδόκητα κέρδη από αυτά· λαμβάνοντας υπόψη ότι η ΕΕ θα χορηγήσει νέα μακροοικονομική χρηματοδοτική συνδρομή ύψους έως και 35 δισεκατομμυρίων EUR στο πλαίσιο του μηχανισμού συνεργασίας για τα δάνεια προς την Ουκρανία·</w:t>
      </w:r>
    </w:p>
    <w:p w:rsidR="00EF365E" w:rsidRPr="00F52AE5" w:rsidRDefault="00EF365E" w:rsidP="005F433A">
      <w:pPr>
        <w:pStyle w:val="NormalHanging12a"/>
        <w:widowControl/>
        <w:rPr>
          <w:i/>
          <w:iCs/>
          <w:u w:color="000000"/>
        </w:rPr>
      </w:pPr>
      <w:r w:rsidRPr="00F52AE5">
        <w:t>Κ.</w:t>
      </w:r>
      <w:r w:rsidRPr="00F52AE5">
        <w:tab/>
        <w:t xml:space="preserve">λαμβάνοντας υπόψη ότι η </w:t>
      </w:r>
      <w:r w:rsidR="00884941" w:rsidRPr="00F52AE5">
        <w:t>ουγγρική κυβέρνηση</w:t>
      </w:r>
      <w:r w:rsidRPr="00F52AE5">
        <w:t xml:space="preserve"> θέτει εμπόδια τόσο στο νεοσυσταθέν Ταμείο Βοήθειας για την Ουκρανία ύψους 5 δισεκατομμυρίων EUR, που συστάθηκε τον Μάρτιο του 2024 στο πλαίσιο του ΕΜΕ, όσο και στην όγδοη δόση των επιστροφών του ΕΜΕ για τα κράτη μέλη που παρέχουν στρατιωτική βοήθεια στην Ουκρανία εδώ και σχεδόν δύο χρόνια· λαμβάνοντας υπόψη ότι ο πρωθυπουργός και ο υπουργός Εξωτερικών της Ουγγαρίας ταξίδεψαν στη Μόσχα για την πραγματοποίηση επαφών με επιτιθέμενο κράτος·</w:t>
      </w:r>
    </w:p>
    <w:p w:rsidR="00EF365E" w:rsidRPr="00F52AE5" w:rsidRDefault="00EF365E" w:rsidP="005F433A">
      <w:pPr>
        <w:pStyle w:val="NormalHanging12a"/>
        <w:widowControl/>
        <w:rPr>
          <w:u w:color="000000"/>
        </w:rPr>
      </w:pPr>
      <w:r w:rsidRPr="00F52AE5">
        <w:t>ΚΑ.</w:t>
      </w:r>
      <w:r w:rsidRPr="00F52AE5">
        <w:tab/>
        <w:t xml:space="preserve">λαμβάνοντας υπόψη ότι ο πρόεδρος </w:t>
      </w:r>
      <w:proofErr w:type="spellStart"/>
      <w:r w:rsidRPr="00F52AE5">
        <w:t>Volodymyr</w:t>
      </w:r>
      <w:proofErr w:type="spellEnd"/>
      <w:r w:rsidRPr="00F52AE5">
        <w:t xml:space="preserve"> </w:t>
      </w:r>
      <w:proofErr w:type="spellStart"/>
      <w:r w:rsidRPr="00F52AE5">
        <w:t>Zelenskyy</w:t>
      </w:r>
      <w:proofErr w:type="spellEnd"/>
      <w:r w:rsidRPr="00F52AE5">
        <w:t xml:space="preserve">, στην ομιλία του προς τη </w:t>
      </w:r>
      <w:proofErr w:type="spellStart"/>
      <w:r w:rsidRPr="00F52AE5">
        <w:t>Βερχόβνα</w:t>
      </w:r>
      <w:proofErr w:type="spellEnd"/>
      <w:r w:rsidRPr="00F52AE5">
        <w:t xml:space="preserve"> Ράντα στις 19 Νοεμβρίου 2024, παρουσίασε το εσωτερικό σχέδιο ανθεκτικότητας της Ουκρανίας, το οποίο περιλαμβάνει 10 βασικά σημεία: ενότητα, μέτωπο, εξοπλισμός, χρήματα, ενέργεια, ασφάλεια, κοινότητες, ανθρώπινο κεφάλαιο, πολιτιστική κυριαρχία και πολιτική για τους ήρωες· λαμβάνοντας υπόψη ότι ο πρόεδρος </w:t>
      </w:r>
      <w:proofErr w:type="spellStart"/>
      <w:r w:rsidRPr="00F52AE5">
        <w:t>Zelenskyy</w:t>
      </w:r>
      <w:proofErr w:type="spellEnd"/>
      <w:r w:rsidRPr="00F52AE5">
        <w:t xml:space="preserve"> παρουσίασε την ειρηνευτική φόρμουλα της Ουκρανίας τον Σεπτέμβριο του 2022, περιγράφοντας 10 απαιτήσεις για μια δίκαιη ειρήνη για την Ουκρανία και για την αποκατάσταση της βασισμένης σε κανόνες διεθνούς τάξης·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1.</w:t>
      </w:r>
      <w:r w:rsidRPr="00F52AE5">
        <w:rPr>
          <w:rStyle w:val="Aucun"/>
          <w:szCs w:val="24"/>
        </w:rPr>
        <w:tab/>
      </w:r>
      <w:r w:rsidR="00EF365E" w:rsidRPr="00F52AE5">
        <w:rPr>
          <w:rStyle w:val="Aucun"/>
          <w:color w:val="000000"/>
        </w:rPr>
        <w:t>επαναλαμβάνει ότι καταδικάζει τον επιθετικό πόλεμο της Ρωσίας κατά της Ουκρανίας, ο οποίος έχει διαρκέσει περισσότερες από 1 000 ημέρες, χωρίς να συνυπολογίζεται η επίθεση που ξεκίνησε το 2014, καθώς και την εμπλοκή και στήριξη τρίτων χωρών σε αυτόν τον πόλεμο· απαιτεί από τη Ρωσία να σταματήσει αμέσως όλες τις στρατιωτικές δραστηριότητες στην Ουκρανία, να αποσύρει άνευ όρων όλες τις δυνάμεις και τον στρατιωτικό εξοπλισμό από ολόκληρο το διεθνώς αναγνωρισμένο έδαφος της Ουκρανίας, να απελευθερώσει τους Ουκρανούς κρατούμενους πολέμου και τους Ουκρανούς πολίτες που κρατούνται παράνομα, να επιστρέψει τα απαχθέντα παιδιά από την Ουκρανία και να αποζημιώσει την Ουκρανία για τις καταστροφές που προκλήθηκαν στον λαό, τη γη, τη φύση και τις υποδομές της·</w:t>
      </w:r>
    </w:p>
    <w:p w:rsidR="00EF365E" w:rsidRPr="00F52AE5" w:rsidRDefault="00F52AE5" w:rsidP="00F52AE5">
      <w:pPr>
        <w:pStyle w:val="NormalHanging12a"/>
        <w:widowControl/>
        <w:ind w:left="570" w:hanging="570"/>
        <w:rPr>
          <w:szCs w:val="24"/>
        </w:rPr>
      </w:pPr>
      <w:r w:rsidRPr="00F52AE5">
        <w:rPr>
          <w:szCs w:val="24"/>
        </w:rPr>
        <w:t>2.</w:t>
      </w:r>
      <w:r w:rsidRPr="00F52AE5">
        <w:rPr>
          <w:szCs w:val="24"/>
        </w:rPr>
        <w:tab/>
      </w:r>
      <w:r w:rsidR="00EF365E" w:rsidRPr="00F52AE5">
        <w:rPr>
          <w:rStyle w:val="Aucun"/>
          <w:color w:val="000000"/>
        </w:rPr>
        <w:t>καταδικάζει περαιτέρω τη συνεχή κλιμάκωση του επιθετικού πολέμου της Ρωσίας, και ιδίως τις βομβιστικές επιθέσεις κατά αμάχων και υποδομών ζωτικής σημασίας, τον προσεταιρισμό της Βόρειας Κορέας για την παροχή στρατευμάτων κατά του ουκρανικού στρατού και τη δοκιμή νέων βαλλιστικών πυραύλων στην Ουκρανία· θεωρεί ότι αυτά τα πρόσφατα βήματα κλιμάκωσης αντιπροσωπεύουν μια νέα φάση του πολέμου και έναν νέο κίνδυνο για την ασφάλεια της Ευρώπης στο σύνολό της· καλεί την ΕΕ, τα κράτη μέλη της και τους άλλους εταίρους της Ουκρανίας να αντιδράσουν αναλόγως·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lastRenderedPageBreak/>
        <w:t>3.</w:t>
      </w:r>
      <w:r w:rsidRPr="00F52AE5">
        <w:rPr>
          <w:rStyle w:val="Aucun"/>
          <w:szCs w:val="24"/>
        </w:rPr>
        <w:tab/>
      </w:r>
      <w:r w:rsidR="00EF365E" w:rsidRPr="00F52AE5">
        <w:rPr>
          <w:rStyle w:val="Aucun"/>
          <w:color w:val="000000"/>
        </w:rPr>
        <w:t xml:space="preserve">υπενθυμίζει ότι οποιεσδήποτε πυρηνικές απειλές από τη Ρωσία δεν θα αποτρέψουν την ΕΕ από το να παράσχει περαιτέρω βοήθεια στην Ουκρανία για την αυτοάμυνα της· </w:t>
      </w:r>
      <w:r w:rsidR="00EF365E" w:rsidRPr="00F52AE5">
        <w:t xml:space="preserve">παροτρύνει όλα τα κράτη να απορρίψουν την </w:t>
      </w:r>
      <w:proofErr w:type="spellStart"/>
      <w:r w:rsidR="00EF365E" w:rsidRPr="00F52AE5">
        <w:t>κανονικοποίηση</w:t>
      </w:r>
      <w:proofErr w:type="spellEnd"/>
      <w:r w:rsidR="00EF365E" w:rsidRPr="00F52AE5">
        <w:t xml:space="preserve"> του πυρηνικού εκφοβισμού·</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4.</w:t>
      </w:r>
      <w:r w:rsidRPr="00F52AE5">
        <w:rPr>
          <w:rStyle w:val="Aucun"/>
          <w:szCs w:val="24"/>
        </w:rPr>
        <w:tab/>
      </w:r>
      <w:r w:rsidR="00EF365E" w:rsidRPr="00F52AE5">
        <w:t xml:space="preserve">εκφράζει την αμέριστη αλληλεγγύη του στον λαό της Ουκρανίας· </w:t>
      </w:r>
      <w:r w:rsidR="00EF365E" w:rsidRPr="00F52AE5">
        <w:rPr>
          <w:rStyle w:val="Aucun"/>
          <w:color w:val="000000"/>
        </w:rPr>
        <w:t xml:space="preserve">επαναλαμβάνει την αταλάντευτη προσήλωση της ΕΕ στην κυριαρχία, την ανεξαρτησία και την εδαφική ακεραιότητα της Ουκρανίας εντός των διεθνώς αναγνωρισμένων συνόρων της, και τονίζει την ανάγκη για αυξημένη και ταχύτερη αλληλεγγύη της ΕΕ στην παροχή πολιτικής, στρατιωτικής, ανθρωπιστικής, οικονομικής και χρηματοδοτικής στήριξης στην Ουκρανία </w:t>
      </w:r>
      <w:r w:rsidR="00EF365E" w:rsidRPr="00F52AE5">
        <w:t>έως τη νίκη της, προκειμένου να δοθεί τέλος στον επιθετικό πόλεμο της Ρωσίας και να μπορέσει η Ουκρανία να απελευθερώσει όλο τον λαό της</w:t>
      </w:r>
      <w:r w:rsidR="00EF365E" w:rsidRPr="00F52AE5">
        <w:rPr>
          <w:rStyle w:val="Aucun"/>
          <w:color w:val="000000"/>
        </w:rPr>
        <w:t>·</w:t>
      </w:r>
      <w:r w:rsidR="00EF365E" w:rsidRPr="00F52AE5">
        <w:t xml:space="preserve"> επαναλαμβάνει ότι η Ουκρανία, ως θύμα επίθεσης, έχει νόμιμο δικαίωμα να αμυνθεί σύμφωνα με το άρθρο 51 του Χάρτη των Ηνωμένων Εθνών·</w:t>
      </w:r>
      <w:r w:rsidR="00EF365E" w:rsidRPr="00F52AE5">
        <w:rPr>
          <w:rStyle w:val="Aucun"/>
          <w:color w:val="000000"/>
        </w:rPr>
        <w:t xml:space="preserve"> επιβεβαιώνει τη δέσμευση της ΕΕ για δίκαιη και διαρκή ειρήνη στην Ουκρανία, με βάση την κυριαρχία και την εδαφική ακεραιότητά της, και στηρίζει την ειρηνευτική φόρμουλα της Ουκρανίας ως πλαίσιο για διεθνή δέσμευση·</w:t>
      </w:r>
    </w:p>
    <w:p w:rsidR="00EF365E" w:rsidRPr="00F52AE5" w:rsidRDefault="00F52AE5" w:rsidP="00F52AE5">
      <w:pPr>
        <w:pStyle w:val="NormalHanging12a"/>
        <w:widowControl/>
        <w:ind w:left="570" w:hanging="570"/>
      </w:pPr>
      <w:r w:rsidRPr="00F52AE5">
        <w:t>5.</w:t>
      </w:r>
      <w:r w:rsidRPr="00F52AE5">
        <w:tab/>
      </w:r>
      <w:r w:rsidR="00EF365E" w:rsidRPr="00F52AE5">
        <w:rPr>
          <w:rStyle w:val="Aucun"/>
          <w:color w:val="000000"/>
        </w:rPr>
        <w:t xml:space="preserve">καλεί την ΕΕ και τα κράτη μέλη της να καταβάλουν εντατικές προσπάθειες για τη διατήρηση και την επίτευξη της ευρύτερης δυνατής διεθνούς στήριξης προς την Ουκρανία και για την εξεύρεση ειρηνικής λύσης στον πόλεμο, η οποία πρέπει να βασίζεται στον πλήρη σεβασμό της ανεξαρτησίας, της κυριαρχίας και της εδαφικής ακεραιότητας της Ουκρανίας, στις αρχές του διεθνούς δικαίου, στη λογοδοσία για τα εγκλήματα πολέμου και το έγκλημα της επίθεσης που διέπραξε η Ρωσία, καθώς και στην καταβολή αποζημιώσεων και άλλων επανορθώσεων από τη Ρωσία για τις τεράστιες υλικές και άυλες καταστροφές που προκάλεσε στην Ουκρανία· επιμένει ότι δεν μπορούν να διεξαχθούν διαπραγματεύσεις για την Ουκρανία χωρίς την Ουκρανία· ζητεί από την ΕΕ και τα κράτη μέλη να συμμετάσχουν στην εφαρμογή της ειρηνευτικής φόρμουλας της Ουκρανίας και στη δημιουργία των αναγκαίων προϋποθέσεων για τη διεξαγωγή της δεύτερης συνόδου κορυφής για την ειρήνη, ενθαρρύνοντας επίσης τη συμμετοχή χωρών από τον Παγκόσμιο Νότο· διατηρεί την πεποίθηση ότι η ΕΕ και τα κράτη μέλη της πρέπει να συμμετάσχουν στη θέσπιση μελλοντικών ισχυρών εγγυήσεων ασφάλειας της Ουκρανίας, με βάση την ειρηνευτική φόρμουλα και το σχέδιο νίκης της Ουκρανίας, με σαφή στρατηγική, συγκεκριμένους στόχους και συγκεκριμένο χάρτη πορείας· εκφράζει τη λύπη του για την πρόσφατη τηλεφωνική συνομιλία του Γερμανού Καγκελάριου με τον </w:t>
      </w:r>
      <w:proofErr w:type="spellStart"/>
      <w:r w:rsidR="00EF365E" w:rsidRPr="00F52AE5">
        <w:rPr>
          <w:rStyle w:val="Aucun"/>
          <w:color w:val="000000"/>
        </w:rPr>
        <w:t>Vladimir</w:t>
      </w:r>
      <w:proofErr w:type="spellEnd"/>
      <w:r w:rsidR="00EF365E" w:rsidRPr="00F52AE5">
        <w:rPr>
          <w:rStyle w:val="Aucun"/>
          <w:color w:val="000000"/>
        </w:rPr>
        <w:t xml:space="preserve"> </w:t>
      </w:r>
      <w:proofErr w:type="spellStart"/>
      <w:r w:rsidR="00EF365E" w:rsidRPr="00F52AE5">
        <w:rPr>
          <w:rStyle w:val="Aucun"/>
          <w:color w:val="000000"/>
        </w:rPr>
        <w:t>Putin</w:t>
      </w:r>
      <w:proofErr w:type="spellEnd"/>
      <w:r w:rsidR="00EF365E" w:rsidRPr="00F52AE5">
        <w:t>·</w:t>
      </w:r>
    </w:p>
    <w:p w:rsidR="00EF365E" w:rsidRPr="00F52AE5" w:rsidRDefault="00F52AE5" w:rsidP="00F52AE5">
      <w:pPr>
        <w:pStyle w:val="NormalHanging12a"/>
        <w:widowControl/>
        <w:ind w:left="570" w:hanging="570"/>
        <w:rPr>
          <w:szCs w:val="24"/>
        </w:rPr>
      </w:pPr>
      <w:r w:rsidRPr="00F52AE5">
        <w:rPr>
          <w:szCs w:val="24"/>
        </w:rPr>
        <w:t>6.</w:t>
      </w:r>
      <w:r w:rsidRPr="00F52AE5">
        <w:rPr>
          <w:szCs w:val="24"/>
        </w:rPr>
        <w:tab/>
      </w:r>
      <w:r w:rsidR="00EF365E" w:rsidRPr="00F52AE5">
        <w:rPr>
          <w:rStyle w:val="Aucun"/>
          <w:color w:val="000000"/>
        </w:rPr>
        <w:t xml:space="preserve">καταγγέλλει το Ιράν, τη Λευκορωσία και τη Βόρεια Κορέα για τη στρατιωτική τους στήριξη προς τη Ρωσία, και ιδίως τη στρατιωτική στήριξη της Βόρειας Κορέας προς τη Ρωσία, η οποία υποδαυλίζει τη σύρραξη· επαναλαμβάνει ότι τόσο ο επιθετικός πόλεμος της Ρωσίας κατά της Ουκρανίας όσο και η συμμετοχή της Βόρειας Κορέας στον πόλεμο, καθώς και τα πυρηνικά και πυραυλικά προγράμματά της, συνιστούν σοβαρές απειλές για τη βασισμένη σε κανόνες διεθνή τάξη· καταδικάζει την υπογραφή και την πρόσφατη κύρωση της Συνθήκης για τη Συνολική Στρατηγική Εταιρική Σχέση μεταξύ της Ρωσίας και της Βόρειας Κορέας, ενός καθεστώτος που υπόκειται στο πλέον ολοκληρωμένο σύστημα κυρώσεων που έχει επιβάλει ο ΟΗΕ· καλεί τη Βόρεια Κορέα να αποσύρει τα στρατεύματά της και να σταματήσει τη στρατιωτική συνεργασία με τη Ρωσία· καλεί τη Ρωσία να σταματήσει κάθε μορφής στρατιωτική και τεχνολογική συνεργασία με τη Βόρεια Κορέα και να τηρήσει τις υποχρεώσεις της που απορρέουν από τη Συνθήκη για τη Μη Διάδοση των Πυρηνικών Όπλων, καθώς και τις πολυάριθμες αποφάσεις του Συμβουλίου Ασφαλείας των Ηνωμένων Εθνών· </w:t>
      </w:r>
      <w:r w:rsidR="00EF365E" w:rsidRPr="00F52AE5">
        <w:rPr>
          <w:rStyle w:val="Aucun"/>
          <w:color w:val="000000"/>
        </w:rPr>
        <w:lastRenderedPageBreak/>
        <w:t>προειδοποιεί για τις σοβαρές επιπτώσεις αυτής της στρατιωτικής εταιρικής σχέσης η οποία μπορεί να λειτουργήσει ως πρότυπο για την ενεργή εμπλοκή άλλων αυταρχικών καθεστώτων σε στρατιωτικές συγκρούσεις·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7.</w:t>
      </w:r>
      <w:r w:rsidRPr="00F52AE5">
        <w:rPr>
          <w:rStyle w:val="Aucun"/>
          <w:szCs w:val="24"/>
        </w:rPr>
        <w:tab/>
      </w:r>
      <w:r w:rsidR="00EF365E" w:rsidRPr="00F52AE5">
        <w:rPr>
          <w:rStyle w:val="Aucun"/>
          <w:color w:val="000000"/>
        </w:rPr>
        <w:t>καταδικάζει απερίφραστα την προμήθεια αγαθών διπλής χρήσης και στρατιωτικών ειδών από την Κίνα στη Ρωσία· υπενθυμίζει στην Κίνα τις ευθύνες της, ως μόνιμου μέλους του Συμβουλίου Ασφαλείας των Ηνωμένων Εθνών, ως προς την υπεράσπιση της βασισμένης σε κανόνες διεθνούς τάξης και, ως εκ τούτου, καλεί το Πεκίνο να τερματίσει κάθε στρατιωτική βοήθεια ή βοήθεια με είδη διπλής χρήσης προς τη Ρωσία και τον επιθετικό της πόλεμο κατά της Ουκρανίας· υπογραμμίζει ότι η άρνηση αλλαγής πορείας στο θέμα αυτό ενέχει τον κίνδυνο να επηρεαστούν σοβαρά οι διμερείς σχέσεις ΕΕ-Κίνας· επισημαίνει τη σημαντική επιρροή της Κίνας στη Βόρεια Κορέα και τη Ρωσία και προτρέπει την Κίνα να συμβάλει στη μείωση των εντάσεων και στην πρόληψη της περαιτέρω κλιμάκωσης των εχθροπραξιών· εκφράζει τη βαθιά του ανησυχία για τον αντίκτυπο που έχουν οι ευρωπαϊκές εξαρτήσεις από την Κίνα στην αξιοπιστία της ικανότητας των κρατών μελών να διαφυλάσσουν την εθνική τους ασφάλεια και την ασφάλεια της ΕΕ στο σύνολό της·</w:t>
      </w:r>
    </w:p>
    <w:p w:rsidR="00EF365E" w:rsidRPr="00F52AE5" w:rsidRDefault="00F52AE5" w:rsidP="00F52AE5">
      <w:pPr>
        <w:pStyle w:val="NormalHanging12a"/>
        <w:widowControl/>
        <w:ind w:left="570" w:hanging="570"/>
        <w:rPr>
          <w:szCs w:val="24"/>
        </w:rPr>
      </w:pPr>
      <w:r w:rsidRPr="00F52AE5">
        <w:rPr>
          <w:szCs w:val="24"/>
        </w:rPr>
        <w:t>8.</w:t>
      </w:r>
      <w:r w:rsidRPr="00F52AE5">
        <w:rPr>
          <w:szCs w:val="24"/>
        </w:rPr>
        <w:tab/>
      </w:r>
      <w:r w:rsidR="00EF365E" w:rsidRPr="00F52AE5">
        <w:rPr>
          <w:rStyle w:val="Aucun"/>
          <w:color w:val="000000"/>
        </w:rPr>
        <w:t xml:space="preserve">καλεί τη διεθνή κοινότητα να αναλάβει ταχεία και αποφασιστική δράση για την αντιμετώπιση αυτής της ανησυχητικής κλιμάκωσης· ζητεί την ενίσχυση της διεθνούς συνεργασίας ώστε να αποτρέπεται η αποστολή φορτίων όπλων από τη Βόρεια Κορέα στη Ρωσία, συμπεριλαμβανομένων ενισχυμένων μηχανισμών παρακολούθησης και επιβολής στο πλαίσιο του ΟΗΕ και μέσω πολυμερών συμμαχιών· ζητεί από την ΕΕ να αναλάβει αποφασιστική δράση για την επιβολή κυρώσεων εις βάρος ατόμων και οντοτήτων στη Βόρεια Κορέα που εμπλέκονται σε μεταφορές όπλων και στρατευμάτων, καθώς και εις βάρος ενδιάμεσων φορέων που διευκολύνουν αυτές τις συναλλαγές· εκφράζει την ικανοποίησή του για τις προσπάθειες της διεθνούς κοινότητας να καταπολεμήσει το παράνομο εμπόριο όπλων της Βόρειας Κορέας και τονίζει την ανάγκη να ασκηθεί συνεχής πίεση στην </w:t>
      </w:r>
      <w:proofErr w:type="spellStart"/>
      <w:r w:rsidR="00EF365E" w:rsidRPr="00F52AE5">
        <w:rPr>
          <w:rStyle w:val="Aucun"/>
          <w:color w:val="000000"/>
        </w:rPr>
        <w:t>Πιονγιάνγκ</w:t>
      </w:r>
      <w:proofErr w:type="spellEnd"/>
      <w:r w:rsidR="00EF365E" w:rsidRPr="00F52AE5">
        <w:rPr>
          <w:rStyle w:val="Aucun"/>
          <w:color w:val="000000"/>
        </w:rPr>
        <w:t xml:space="preserve"> για να σταματήσει τις αποσταθεροποιητικές της ενέργειες· καλεί όλα τα κράτη μέλη της ΕΕ και του ΟΗΕ να καταβάλουν κάθε δυνατή προσπάθεια για να διασφαλίσουν την εφαρμογή όλων των αποφάσεων του Συμβουλίου Ασφαλείας του ΟΗΕ για τη Βόρεια Κορέα και να αποκλείσουν </w:t>
      </w:r>
      <w:proofErr w:type="spellStart"/>
      <w:r w:rsidR="00EF365E" w:rsidRPr="00F52AE5">
        <w:rPr>
          <w:rStyle w:val="Aucun"/>
          <w:color w:val="000000"/>
        </w:rPr>
        <w:t>προδραστικά</w:t>
      </w:r>
      <w:proofErr w:type="spellEnd"/>
      <w:r w:rsidR="00EF365E" w:rsidRPr="00F52AE5">
        <w:rPr>
          <w:rStyle w:val="Aucun"/>
          <w:color w:val="000000"/>
        </w:rPr>
        <w:t xml:space="preserve"> κάθε δίαυλο που θα έδινε στη Βόρεια Κορέα τη δυνατότητα να αποκτήσει χρηματοδότηση, υλικά ή τεχνογνωσία για τα προγράμματα παράνομων όπλων της·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9.</w:t>
      </w:r>
      <w:r w:rsidRPr="00F52AE5">
        <w:rPr>
          <w:rStyle w:val="Aucun"/>
          <w:szCs w:val="24"/>
        </w:rPr>
        <w:tab/>
      </w:r>
      <w:r w:rsidR="00EF365E" w:rsidRPr="00F52AE5">
        <w:rPr>
          <w:rStyle w:val="Aucun"/>
          <w:color w:val="000000"/>
        </w:rPr>
        <w:t>ζητεί από τα κράτη μέλη να διευρύνουν και να ενισχύσουν περαιτέρω το καθεστώς κυρώσεων κατά της Βόρειας Κορέας, της Λευκορωσίας και του Ιράν, δεδομένης της στρατιωτικής στήριξης των εν λόγω χωρών στον επιθετικό πόλεμο της Ρωσίας κατά της Ουκρανίας, και να προσθέσουν στον κατάλογο κυρώσεων της ΕΕ όλες τις βασικές οντότητες και άτομα από την Κίνα που στηρίζουν άμεσα τον επιθετικό πόλεμο της Ρωσίας κατά της Ουκρανίας και τον τομέα άμυνας και ασφάλειας της Ρωσίας·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10.</w:t>
      </w:r>
      <w:r w:rsidRPr="00F52AE5">
        <w:rPr>
          <w:rStyle w:val="Aucun"/>
          <w:szCs w:val="24"/>
        </w:rPr>
        <w:tab/>
      </w:r>
      <w:r w:rsidR="00EF365E" w:rsidRPr="00F52AE5">
        <w:rPr>
          <w:rStyle w:val="Aucun"/>
          <w:color w:val="000000"/>
        </w:rPr>
        <w:t>εκφράζει τη βαθιά του ανησυχία για το ενδεχόμενο μεταφοράς πυρηνικής τεχνολογίας ή τεχνολογίας βαλλιστικών πυραύλων στη Βόρεια Κορέα, κάτι το οποίο θα υπονόμευε τις διεθνείς προσπάθειες μη διάδοσης και θα συνιστούσε σοβαρή απειλή για την ειρήνη και τη σταθερότητα στην Κορεατική Χερσόνησο και παγκοσμίως· καλεί την ΕΕ και τα κράτη μέλη της, σε συνεργασία με τους εταίρους της G7 και της G20, να αναπτύξουν και να προωθήσουν έναν μηχανισμό εναλλακτικά ως προς την ομάδα εμπειρογνωμόνων του ΟΗΕ, προκειμένου να διασφαλιστεί η αποτελεσματική παρακολούθηση και επιβολή των κυρώσεων κατά της Βόρειας Κορέας·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lastRenderedPageBreak/>
        <w:t>11.</w:t>
      </w:r>
      <w:r w:rsidRPr="00F52AE5">
        <w:rPr>
          <w:rStyle w:val="Aucun"/>
          <w:szCs w:val="24"/>
        </w:rPr>
        <w:tab/>
      </w:r>
      <w:r w:rsidR="00EF365E" w:rsidRPr="00F52AE5">
        <w:rPr>
          <w:rStyle w:val="Aucun"/>
          <w:color w:val="000000"/>
        </w:rPr>
        <w:t xml:space="preserve">εκφράζει τη βαθιά του ανησυχία για τις συνεχιζόμενες και σοβαρές παραβιάσεις των ανθρωπίνων δικαιωμάτων στη Βόρεια Κορέα, όπου οι καταπιεστικές πολιτικές του καθεστώτος και η συστημική παραμέληση των βασικών αναγκών έχουν προκαλέσει μεγάλα δεινά για τον λαό της χώρας· καταδικάζει την εκτροπή πόρων προς στρατιωτικές δραστηριότητες και εξωτερικές συγκρούσεις, συμπεριλαμβανομένης της στήριξης στον επιθετικό πόλεμο της Ρωσίας, εις βάρος της κάλυψης επειγουσών ανθρωπιστικών αναγκών εντός της Βόρειας Κορέας· καλεί την ΕΕ και τους διεθνείς εταίρους να εντείνουν τις προσπάθειες προκειμένου να καταστήσουν το καθεστώς της Βόρειας Κορέας υπόλογο για τις παραβιάσεις των ανθρωπίνων δικαιωμάτων· ζητεί να αυξηθεί η στήριξη προς τις οργανώσεις της κοινωνίας των πολιτών και τους υπερασπιστές των ανθρωπίνων δικαιωμάτων που εργάζονται για την τεκμηρίωση των παραβιάσεων και την παροχή βοήθειας στους πολίτες της Βόρειας Κορέας· προτρέπει την κινεζική κυβέρνηση να σταματήσει τις πρακτικές επαναπροώθησης και να παράσχει στους Βορειοκορεάτες πρόσφυγες πρόσβαση σε διεθνή προστασία· καλεί τη Βόρεια Κορέα να μεριμνήσει ώστε τα όργανα των Ηνωμένων Εθνών για τα ανθρώπινα δικαιώματα να έχουν πρόσβαση στη χώρα για να αξιολογήσουν την κατάσταση των ανθρωπίνων δικαιωμάτων, τις βίαιες εξαφανίσεις και την κατάσταση των κρατουμένων και των επιστραφέντων προσφύγων, συμπεριλαμβανομένων των υποθέσεων του </w:t>
      </w:r>
      <w:proofErr w:type="spellStart"/>
      <w:r w:rsidR="00EF365E" w:rsidRPr="00F52AE5">
        <w:rPr>
          <w:rStyle w:val="Aucun"/>
          <w:color w:val="000000"/>
        </w:rPr>
        <w:t>Kim</w:t>
      </w:r>
      <w:proofErr w:type="spellEnd"/>
      <w:r w:rsidR="00EF365E" w:rsidRPr="00F52AE5">
        <w:rPr>
          <w:rStyle w:val="Aucun"/>
          <w:color w:val="000000"/>
        </w:rPr>
        <w:t xml:space="preserve"> </w:t>
      </w:r>
      <w:proofErr w:type="spellStart"/>
      <w:r w:rsidR="00EF365E" w:rsidRPr="00F52AE5">
        <w:rPr>
          <w:rStyle w:val="Aucun"/>
          <w:color w:val="000000"/>
        </w:rPr>
        <w:t>Cheol-ok</w:t>
      </w:r>
      <w:proofErr w:type="spellEnd"/>
      <w:r w:rsidR="00EF365E" w:rsidRPr="00F52AE5">
        <w:rPr>
          <w:rStyle w:val="Aucun"/>
          <w:color w:val="000000"/>
        </w:rPr>
        <w:t xml:space="preserve"> και των Νοτιοκορεατών ιεραποστόλων </w:t>
      </w:r>
      <w:proofErr w:type="spellStart"/>
      <w:r w:rsidR="00EF365E" w:rsidRPr="00F52AE5">
        <w:rPr>
          <w:rStyle w:val="Aucun"/>
          <w:color w:val="000000"/>
        </w:rPr>
        <w:t>Kim</w:t>
      </w:r>
      <w:proofErr w:type="spellEnd"/>
      <w:r w:rsidR="00EF365E" w:rsidRPr="00F52AE5">
        <w:rPr>
          <w:rStyle w:val="Aucun"/>
          <w:color w:val="000000"/>
        </w:rPr>
        <w:t xml:space="preserve"> </w:t>
      </w:r>
      <w:proofErr w:type="spellStart"/>
      <w:r w:rsidR="00EF365E" w:rsidRPr="00F52AE5">
        <w:rPr>
          <w:rStyle w:val="Aucun"/>
          <w:color w:val="000000"/>
        </w:rPr>
        <w:t>Jung-wook</w:t>
      </w:r>
      <w:proofErr w:type="spellEnd"/>
      <w:r w:rsidR="00EF365E" w:rsidRPr="00F52AE5">
        <w:rPr>
          <w:rStyle w:val="Aucun"/>
          <w:color w:val="000000"/>
        </w:rPr>
        <w:t xml:space="preserve">, </w:t>
      </w:r>
      <w:proofErr w:type="spellStart"/>
      <w:r w:rsidR="00EF365E" w:rsidRPr="00F52AE5">
        <w:rPr>
          <w:rStyle w:val="Aucun"/>
          <w:color w:val="000000"/>
        </w:rPr>
        <w:t>Kim</w:t>
      </w:r>
      <w:proofErr w:type="spellEnd"/>
      <w:r w:rsidR="00EF365E" w:rsidRPr="00F52AE5">
        <w:rPr>
          <w:rStyle w:val="Aucun"/>
          <w:color w:val="000000"/>
        </w:rPr>
        <w:t xml:space="preserve"> </w:t>
      </w:r>
      <w:proofErr w:type="spellStart"/>
      <w:r w:rsidR="00EF365E" w:rsidRPr="00F52AE5">
        <w:rPr>
          <w:rStyle w:val="Aucun"/>
          <w:color w:val="000000"/>
        </w:rPr>
        <w:t>Kook-kie</w:t>
      </w:r>
      <w:proofErr w:type="spellEnd"/>
      <w:r w:rsidR="00EF365E" w:rsidRPr="00F52AE5">
        <w:rPr>
          <w:rStyle w:val="Aucun"/>
          <w:color w:val="000000"/>
        </w:rPr>
        <w:t xml:space="preserve"> και </w:t>
      </w:r>
      <w:proofErr w:type="spellStart"/>
      <w:r w:rsidR="00EF365E" w:rsidRPr="00F52AE5">
        <w:rPr>
          <w:rStyle w:val="Aucun"/>
          <w:color w:val="000000"/>
        </w:rPr>
        <w:t>Choi</w:t>
      </w:r>
      <w:proofErr w:type="spellEnd"/>
      <w:r w:rsidR="00EF365E" w:rsidRPr="00F52AE5">
        <w:rPr>
          <w:rStyle w:val="Aucun"/>
          <w:color w:val="000000"/>
        </w:rPr>
        <w:t xml:space="preserve"> </w:t>
      </w:r>
      <w:proofErr w:type="spellStart"/>
      <w:r w:rsidR="00EF365E" w:rsidRPr="00F52AE5">
        <w:rPr>
          <w:rStyle w:val="Aucun"/>
          <w:color w:val="000000"/>
        </w:rPr>
        <w:t>Chun-gil</w:t>
      </w:r>
      <w:proofErr w:type="spellEnd"/>
      <w:r w:rsidR="00EF365E" w:rsidRPr="00F52AE5">
        <w:rPr>
          <w:rStyle w:val="Aucun"/>
          <w:color w:val="000000"/>
        </w:rPr>
        <w:t>·</w:t>
      </w:r>
    </w:p>
    <w:p w:rsidR="00EF365E" w:rsidRPr="00F52AE5" w:rsidRDefault="00F52AE5" w:rsidP="00F52AE5">
      <w:pPr>
        <w:pStyle w:val="NormalHanging12a"/>
        <w:widowControl/>
        <w:ind w:left="570" w:hanging="570"/>
        <w:rPr>
          <w:rStyle w:val="Aucun"/>
          <w:bCs/>
          <w:iCs/>
          <w:color w:val="000000"/>
          <w:szCs w:val="24"/>
        </w:rPr>
      </w:pPr>
      <w:r w:rsidRPr="00F52AE5">
        <w:rPr>
          <w:rStyle w:val="Aucun"/>
          <w:bCs/>
          <w:iCs/>
          <w:szCs w:val="24"/>
        </w:rPr>
        <w:t>12.</w:t>
      </w:r>
      <w:r w:rsidRPr="00F52AE5">
        <w:rPr>
          <w:rStyle w:val="Aucun"/>
          <w:bCs/>
          <w:iCs/>
          <w:szCs w:val="24"/>
        </w:rPr>
        <w:tab/>
      </w:r>
      <w:r w:rsidR="00EF365E" w:rsidRPr="00F52AE5">
        <w:rPr>
          <w:rStyle w:val="Aucun"/>
          <w:color w:val="000000"/>
        </w:rPr>
        <w:t>τονίζει την ανάγκη για μια ολοκληρωμένη στρατηγική της ΕΕ για την αντιμετώπιση των ευρύτερων επιπτώσεων των αυταρχικών συμμαχιών, ιδίως μεταξύ της Ρωσίας, της Βόρειας Κορέας, της Λευκορωσίας, του Ιράν, της Κίνας και άλλων κρατών που υπονομεύουν τη βασισμένη σε κανόνες διεθνή τάξη· ζητεί από την ΕΕ και τα κράτη μέλη της να καταβάλουν ενεργές προσπάθειες ώστε να προωθήσουν το παγκόσμιο καθεστώς για τη μη διάδοση των πυρηνικών όπλων και να συνεργαστούν πιο στενά με διεθνείς εταίρους ώστε να μειωθούν οι εντάσεις στην περιοχή του Ινδοειρηνικού·</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13.</w:t>
      </w:r>
      <w:r w:rsidRPr="00F52AE5">
        <w:rPr>
          <w:rStyle w:val="Aucun"/>
          <w:szCs w:val="24"/>
        </w:rPr>
        <w:tab/>
      </w:r>
      <w:r w:rsidR="00EF365E" w:rsidRPr="00F52AE5">
        <w:rPr>
          <w:rStyle w:val="Aucun"/>
          <w:color w:val="000000"/>
        </w:rPr>
        <w:t xml:space="preserve">καλεί την ΕΕ και τα κράτη μέλη της να ενισχύσουν περαιτέρω τη στρατιωτική στήριξή τους προς την Ουκρανία, μεταξύ άλλων μέσω της παροχής </w:t>
      </w:r>
      <w:r w:rsidR="00EF365E" w:rsidRPr="00F52AE5">
        <w:t xml:space="preserve">αεροσκαφών, </w:t>
      </w:r>
      <w:r w:rsidR="00EF365E" w:rsidRPr="00F52AE5">
        <w:rPr>
          <w:rStyle w:val="Aucun"/>
          <w:color w:val="000000"/>
        </w:rPr>
        <w:t xml:space="preserve">πυραύλων μεγάλου βεληνεκούς, συμπεριλαμβανομένων πυραύλων </w:t>
      </w:r>
      <w:proofErr w:type="spellStart"/>
      <w:r w:rsidR="00EF365E" w:rsidRPr="00F52AE5">
        <w:rPr>
          <w:rStyle w:val="Aucun"/>
          <w:color w:val="000000"/>
        </w:rPr>
        <w:t>Taurus</w:t>
      </w:r>
      <w:proofErr w:type="spellEnd"/>
      <w:r w:rsidR="00EF365E" w:rsidRPr="00F52AE5">
        <w:rPr>
          <w:rStyle w:val="Aucun"/>
          <w:color w:val="000000"/>
        </w:rPr>
        <w:t xml:space="preserve">, σύγχρονων συστημάτων αεράμυνας, συμπεριλαμβανομένων συστημάτων </w:t>
      </w:r>
      <w:proofErr w:type="spellStart"/>
      <w:r w:rsidR="00EF365E" w:rsidRPr="00F52AE5">
        <w:t>Patriot</w:t>
      </w:r>
      <w:proofErr w:type="spellEnd"/>
      <w:r w:rsidR="00EF365E" w:rsidRPr="00F52AE5">
        <w:t xml:space="preserve"> και SAMP/T, και πυρομαχικών, καθώς και φορητών συστημάτων αεράμυνας (MANPADS)</w:t>
      </w:r>
      <w:r w:rsidR="00EF365E" w:rsidRPr="00F52AE5">
        <w:rPr>
          <w:rStyle w:val="Aucun"/>
          <w:color w:val="000000"/>
        </w:rPr>
        <w:t>, πυροβολικού</w:t>
      </w:r>
      <w:r w:rsidR="00EF365E" w:rsidRPr="00F52AE5">
        <w:t xml:space="preserve"> </w:t>
      </w:r>
      <w:r w:rsidR="00EF365E" w:rsidRPr="00F52AE5">
        <w:rPr>
          <w:rStyle w:val="Aucun"/>
          <w:color w:val="000000"/>
        </w:rPr>
        <w:t xml:space="preserve">και εκπαιδευτικών προγραμμάτων για τις ουκρανικές δυνάμεις, ζητώντας παράλληλα την ταχεία παράδοση του </w:t>
      </w:r>
      <w:proofErr w:type="spellStart"/>
      <w:r w:rsidR="00EF365E" w:rsidRPr="00F52AE5">
        <w:rPr>
          <w:rStyle w:val="Aucun"/>
          <w:color w:val="000000"/>
        </w:rPr>
        <w:t>υποσχεθέντος</w:t>
      </w:r>
      <w:proofErr w:type="spellEnd"/>
      <w:r w:rsidR="00EF365E" w:rsidRPr="00F52AE5">
        <w:rPr>
          <w:rStyle w:val="Aucun"/>
          <w:color w:val="000000"/>
        </w:rPr>
        <w:t xml:space="preserve"> εξοπλισμού για την κάλυψη των επειγουσών αναγκών της Ουκρανίας· </w:t>
      </w:r>
      <w:r w:rsidR="00EF365E" w:rsidRPr="00F52AE5">
        <w:t xml:space="preserve">επαναλαμβάνει τη θέση του ότι όλα τα κράτη μέλη της ΕΕ και οι σύμμαχοι του ΝΑΤΟ πρέπει να δεσμευτούν συλλογικά και μεμονωμένα για τη στρατιωτική στήριξη της Ουκρανίας με ποσοστό τουλάχιστον 0,25 % του </w:t>
      </w:r>
      <w:proofErr w:type="spellStart"/>
      <w:r w:rsidR="00EF365E" w:rsidRPr="00F52AE5">
        <w:t>ΑΕγχΠ</w:t>
      </w:r>
      <w:proofErr w:type="spellEnd"/>
      <w:r w:rsidR="00EF365E" w:rsidRPr="00F52AE5">
        <w:t xml:space="preserve"> τους ετησίως· εκφράζει την ικανοποίησή του για την υπογραφή των κοινών δεσμεύσεων ασφάλειας μεταξύ της EE και της Ουκρανίας και καλεί την Επιτροπή και τα κράτη μέλη να αναλάβουν ταχεία δράση για την αποτελεσματική υλοποίηση των δεσμεύσεων που έχουν αναληφθεί· καλεί την Επιτροπή και το Συμβούλιο να δώσουν προτεραιότητα στο να καταστούν πλήρως λειτουργικές οι ευρωπαϊκές διαστημικές ικανότητες επικοινωνίας IRIS</w:t>
      </w:r>
      <w:r w:rsidR="00EF365E" w:rsidRPr="00F52AE5">
        <w:rPr>
          <w:vertAlign w:val="superscript"/>
        </w:rPr>
        <w:t>2</w:t>
      </w:r>
      <w:r w:rsidR="00EF365E" w:rsidRPr="00F52AE5">
        <w:t xml:space="preserve"> και να παράσχουν πρόσβαση στην Ουκρανία (και στην Ταϊβάν) το συντομότερο δυνατόν·</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14.</w:t>
      </w:r>
      <w:r w:rsidRPr="00F52AE5">
        <w:rPr>
          <w:rStyle w:val="Aucun"/>
          <w:szCs w:val="24"/>
        </w:rPr>
        <w:tab/>
      </w:r>
      <w:r w:rsidR="00EF365E" w:rsidRPr="00F52AE5">
        <w:rPr>
          <w:rStyle w:val="Aucun"/>
          <w:color w:val="000000"/>
        </w:rPr>
        <w:t xml:space="preserve">καλεί το Συμβούλιο να επεκτείνει τις κυρώσεις του κατά της Ρωσίας· ζητεί </w:t>
      </w:r>
      <w:r w:rsidR="00EF365E" w:rsidRPr="00F52AE5">
        <w:t xml:space="preserve">να επιβληθούν περαιτέρω κυρώσεις κατά τομέων ιδιαίτερης οικονομικής σημασίας για τη Ρωσία (μεταλλουργικός, πυρηνικός, χημικός, γεωργικός και τραπεζικός τομέας) και κατά ρωσικών πρώτων υλών, όπως το αλουμίνιο, τα προϊόντα χάλυβα, το ουράνιο, το </w:t>
      </w:r>
      <w:r w:rsidR="00EF365E" w:rsidRPr="00F52AE5">
        <w:lastRenderedPageBreak/>
        <w:t xml:space="preserve">τιτάνιο και το νικέλιο, να επιβληθεί </w:t>
      </w:r>
      <w:r w:rsidR="00EF365E" w:rsidRPr="00F52AE5">
        <w:rPr>
          <w:rStyle w:val="Aucun"/>
          <w:color w:val="000000"/>
        </w:rPr>
        <w:t>πλήρες εμπάργκο στις εισαγωγές ρωσικών ορυκτών καυσίμων και υγροποιημένου φυσικού αερίου (ΥΦΑ) στην ΕΕ και να μειωθεί περαιτέρω το ανώτατο όριο τιμών για τα ρωσικά προϊόντα πετρελαίου σε συντονισμό με τους εταίρους της G7, προκειμένου να σταματήσει να συμβάλλει στη χρηματοδότηση του παράνομου επιθετικού πολέμου της Ρωσίας· ζητεί ισχυρότερες και πιο στοχευμένες κυρώσεις κατά του σκιώδους στόλου της Ρωσίας·</w:t>
      </w:r>
      <w:r w:rsidR="00EF365E" w:rsidRPr="00F52AE5">
        <w:t xml:space="preserve"> υπογραμμίζει την ανάγκη να σταματήσει κάθε συνεργασία με τη Ρωσία στον τομέα της πυρηνικής ενέργειας·</w:t>
      </w:r>
      <w:r w:rsidR="00884941" w:rsidRPr="00F52AE5">
        <w:t xml:space="preserve"> τονίζει ότι η Ρωσία μετατοπίζει την εξάρτησή της από τις εξαγωγές φυσικού αερίου στα λιπάσματα με βάση το φυσικό αέριο, τα οποία αποτελούν σημαντική πηγή εσόδων και συναλλάγματος για το ρωσικό κράτος, τροφοδοτώντας άμεσα την πολεμική του μηχανή, ενώ ταυτόχρονα θέτουν σε κίνδυνο τις οικονομίες της ΕΕ και απειλούν την επισιτιστική ασφάλεια· καλεί την ΕΕ να αντιμετωπίσει δεόντως, επειγόντως και με ισχυρές και αποφασιστικές ενέργειες την πρόκληση αυτή, καθώς η εξάρτηση της ΕΕ από τα ρωσικά λιπάσματα αυξάνεται με ανησυχητικό ρυθμό· </w:t>
      </w:r>
    </w:p>
    <w:p w:rsidR="00EF365E" w:rsidRPr="00F52AE5" w:rsidRDefault="00F52AE5" w:rsidP="00F52AE5">
      <w:pPr>
        <w:pStyle w:val="NormalHanging12a"/>
        <w:widowControl/>
        <w:ind w:left="570" w:hanging="570"/>
        <w:rPr>
          <w:rStyle w:val="Aucun"/>
          <w:color w:val="000000"/>
        </w:rPr>
      </w:pPr>
      <w:r w:rsidRPr="00F52AE5">
        <w:rPr>
          <w:rStyle w:val="Aucun"/>
        </w:rPr>
        <w:t>15.</w:t>
      </w:r>
      <w:r w:rsidRPr="00F52AE5">
        <w:rPr>
          <w:rStyle w:val="Aucun"/>
        </w:rPr>
        <w:tab/>
      </w:r>
      <w:r w:rsidR="00EF365E" w:rsidRPr="00F52AE5">
        <w:rPr>
          <w:rStyle w:val="Aucun"/>
          <w:color w:val="000000"/>
        </w:rPr>
        <w:t>καλεί, ειδικότερα, τα κράτη μέλη που δεν ανταποκρίνονται στις δικές τους δεσμεύσεις όσον αφορά την παραγωγή αμυντικών προϊόντων και την άμεση στήριξη των σχετικών παραγωγικών ικανοτήτων να συμμετάσχουν σε κοινοπραξίες με την Ουκρανία ή να υποβάλουν απευθείας παραγγελίες στην Ουκρανία· καλεί τα κράτη μέλη να επιταχύνουν τις άμεσες επενδύσεις για τη μεγέθυνση της στρατιωτικής βιομηχανικής ικανότητας της Ουκρανίας, σύμφωνα με το μοντέλο που χρησιμοποιεί η Δανία· καλεί την ΕΕ να συμπεριλάβει το μοντέλο αυτό στο Ταμείο Βοήθειας για την Ουκρανία·</w:t>
      </w:r>
    </w:p>
    <w:p w:rsidR="00EF365E" w:rsidRPr="00F52AE5" w:rsidRDefault="00F52AE5" w:rsidP="00F52AE5">
      <w:pPr>
        <w:pStyle w:val="NormalHanging12a"/>
        <w:widowControl/>
        <w:ind w:left="570" w:hanging="570"/>
      </w:pPr>
      <w:r w:rsidRPr="00F52AE5">
        <w:t>16.</w:t>
      </w:r>
      <w:r w:rsidRPr="00F52AE5">
        <w:tab/>
      </w:r>
      <w:r w:rsidR="00EF365E" w:rsidRPr="00F52AE5">
        <w:rPr>
          <w:rStyle w:val="Aucun"/>
          <w:color w:val="000000"/>
        </w:rPr>
        <w:t xml:space="preserve">καλεί τα θεσμικά όργανα της ΕΕ και τα κράτη μέλη να συμβάλουν ενεργά στη διατήρηση ενότητας όσον αφορά τις κυρώσεις και να επιδιώξουν άμεσα την έγκριση της 15ης δέσμης κυρώσεων· </w:t>
      </w:r>
      <w:r w:rsidR="00EF365E" w:rsidRPr="00F52AE5">
        <w:t xml:space="preserve">προτρέπει τα κράτη μέλη να ασκήσουν ενεργά πίεση στην </w:t>
      </w:r>
      <w:r w:rsidR="00884941" w:rsidRPr="00F52AE5">
        <w:t xml:space="preserve">ουγγρική κυβέρνηση </w:t>
      </w:r>
      <w:r w:rsidR="00EF365E" w:rsidRPr="00F52AE5">
        <w:t>για να σταματήσει να εμποδίζει ανεύθυνα την εφαρμογή του Ευρωπαϊκού Μηχανισμού για την Ειρήνη, συμπεριλαμβανομένου του νεοσυσταθέντος Ταμείου Βοήθειας για την Ουκρανία, με αποτέλεσμα να μην μπορούν να αποδεσμευθούν 6,6 δισεκατομμύρια EUR σε μερικές επιστροφές προς τα κράτη μέλη που παρέχουν στρατιωτική στήριξη στην Ουκρανία· τονίζει ότι, εάν ο ΕΜΕ παραμείνει μπλοκαρισμένος έως το επόμενο Ευρωπαϊκό Συμβούλιο, πρέπει να δημιουργηθεί αμέσως νέα σύνθεση που να περιλαμβάνει μόνο τα κράτη μέλη που είναι πρόθυμα και ικανά να παράσχουν στρατιωτική βοήθεια στην Ουκρανία, ή οι εθνικές συνεισφορές πρέπει να επιστρέφονται προκειμένου να μην παρεμποδίζεται η ομαλή χρηματοδότηση της διμερούς βοήθειας·</w:t>
      </w:r>
    </w:p>
    <w:p w:rsidR="00EF365E" w:rsidRPr="00F52AE5" w:rsidRDefault="00F52AE5" w:rsidP="00F52AE5">
      <w:pPr>
        <w:pStyle w:val="NormalHanging12a"/>
        <w:widowControl/>
        <w:ind w:left="570" w:hanging="570"/>
        <w:rPr>
          <w:rStyle w:val="Aucun"/>
          <w:color w:val="000000"/>
        </w:rPr>
      </w:pPr>
      <w:r w:rsidRPr="00F52AE5">
        <w:rPr>
          <w:rStyle w:val="Aucun"/>
        </w:rPr>
        <w:t>17.</w:t>
      </w:r>
      <w:r w:rsidRPr="00F52AE5">
        <w:rPr>
          <w:rStyle w:val="Aucun"/>
        </w:rPr>
        <w:tab/>
      </w:r>
      <w:r w:rsidR="00EF365E" w:rsidRPr="00F52AE5">
        <w:rPr>
          <w:rStyle w:val="Aucun"/>
          <w:color w:val="000000"/>
        </w:rPr>
        <w:t xml:space="preserve">ζητεί από το Συμβούλιο και τα κράτη μέλη να αντιμετωπίσουν συστηματικά το ζήτημα της καταστρατήγησης των κυρώσεων από εταιρείες και ιδιώτες που εδρεύουν στην ΕΕ, από τρίτους και από τρίτα κράτη, καθώς και να εγκρίνουν και να εφαρμόσουν αυστηρά περιοριστικά μέτρα κατά όλων των οντοτήτων που διευκολύνουν την καταστρατήγηση των κυρώσεων και παρέχουν στο στρατιωτικό σύμπλεγμα της Ρωσίας τεχνολογίες και εξοπλισμό διπλής χρήσης, διασφαλίζοντας ότι δεν χρησιμοποιούνται νομικά κενά για την παροχή όπλων ή πόρων στη Ρωσία· </w:t>
      </w:r>
      <w:r w:rsidR="00EF365E" w:rsidRPr="00F52AE5">
        <w:t xml:space="preserve">θεωρεί απαραίτητο να ενισχυθούν οι έλεγχοι στις εξαγωγές και στη συντήρηση εξοπλισμού υψηλής τεχνολογίας που παράγεται στην ΕΕ, και να αυξηθούν τα μέτρα επιβολής του νόμου και η συνεργασία για την πρόληψη της καταστρατήγησης των κυρώσεων· </w:t>
      </w:r>
      <w:r w:rsidR="00EF365E" w:rsidRPr="00F52AE5">
        <w:rPr>
          <w:rStyle w:val="Aucun"/>
          <w:color w:val="000000"/>
        </w:rPr>
        <w:t>ζητεί να εντατικοποιηθεί επειγόντως η επανεξέταση του εμπορίου των κρατών μελών της ΕΕ με τις χώρες της Κεντρικής Ασίας, καθώς και με την Τουρκία και το Αζερμπαϊτζάν, μεταξύ άλλων, καθώς είναι προφανές ότι οι χώρες αυτές χρησιμοποιούνται για την αποφυγή κυρώσεων της ΕΕ·</w:t>
      </w:r>
    </w:p>
    <w:p w:rsidR="00EF365E" w:rsidRPr="00F52AE5" w:rsidRDefault="00F52AE5" w:rsidP="00F52AE5">
      <w:pPr>
        <w:pStyle w:val="NormalHanging12a"/>
        <w:widowControl/>
        <w:ind w:left="570" w:hanging="570"/>
        <w:rPr>
          <w:rStyle w:val="Aucun"/>
          <w:bCs/>
          <w:iCs/>
          <w:color w:val="000000"/>
          <w:szCs w:val="24"/>
        </w:rPr>
      </w:pPr>
      <w:r w:rsidRPr="00F52AE5">
        <w:rPr>
          <w:rStyle w:val="Aucun"/>
          <w:bCs/>
          <w:iCs/>
          <w:szCs w:val="24"/>
        </w:rPr>
        <w:lastRenderedPageBreak/>
        <w:t>18.</w:t>
      </w:r>
      <w:r w:rsidRPr="00F52AE5">
        <w:rPr>
          <w:rStyle w:val="Aucun"/>
          <w:bCs/>
          <w:iCs/>
          <w:szCs w:val="24"/>
        </w:rPr>
        <w:tab/>
      </w:r>
      <w:r w:rsidR="00EF365E" w:rsidRPr="00F52AE5">
        <w:rPr>
          <w:rStyle w:val="Aucun"/>
          <w:color w:val="000000"/>
        </w:rPr>
        <w:t>επαναλαμβάνει την έκκλησή του προς την ΕΕ και τα κράτη μέλη της να αναθεωρήσουν την τρέχουσα διάρκεια των κυρώσεων που επιβλήθηκαν στη Ρωσία, παρατείνοντας την περίοδο ισχύος από το διάστημα των έξι μηνών που ισχύει επί του παρόντος σε μια πιο σταθερή και στρατηγική διάρκεια τριών ετών· σημειώνει ότι ένα τέτοιο μέτρο θα ενισχύσει τη συνοχή και την προβλεψιμότητα της στάσης της εξωτερικής πολιτικής της ΕΕ και θα την προστατεύσει από την καταχρηστική εργαλειοποίηση των απαιτήσεων ομοφωνίας, θα ενισχύσει τον αντίκτυπο των κυρώσεων και θα στείλει ένα σαφές μήνυμα δέσμευσης για την τήρηση του διεθνούς δικαίου και της ευρωπαϊκής ασφάλειας, μειώνοντας παράλληλα τον διοικητικό φόρτο των συχνών ανανεώσεων·</w:t>
      </w:r>
    </w:p>
    <w:p w:rsidR="00EF365E" w:rsidRPr="00F52AE5" w:rsidRDefault="00F52AE5" w:rsidP="00F52AE5">
      <w:pPr>
        <w:pStyle w:val="NormalHanging12a"/>
        <w:widowControl/>
        <w:ind w:left="570" w:hanging="570"/>
        <w:rPr>
          <w:bCs/>
          <w:szCs w:val="24"/>
        </w:rPr>
      </w:pPr>
      <w:r w:rsidRPr="00F52AE5">
        <w:rPr>
          <w:bCs/>
          <w:szCs w:val="24"/>
        </w:rPr>
        <w:t>19.</w:t>
      </w:r>
      <w:r w:rsidRPr="00F52AE5">
        <w:rPr>
          <w:bCs/>
          <w:szCs w:val="24"/>
        </w:rPr>
        <w:tab/>
      </w:r>
      <w:r w:rsidR="00EF365E" w:rsidRPr="00F52AE5">
        <w:rPr>
          <w:rStyle w:val="Aucun"/>
          <w:color w:val="000000"/>
        </w:rPr>
        <w:t xml:space="preserve">χαιρετίζει την απόφαση του προέδρου των ΗΠΑ </w:t>
      </w:r>
      <w:proofErr w:type="spellStart"/>
      <w:r w:rsidR="00EF365E" w:rsidRPr="00F52AE5">
        <w:rPr>
          <w:rStyle w:val="Aucun"/>
          <w:color w:val="000000"/>
        </w:rPr>
        <w:t>Joe</w:t>
      </w:r>
      <w:proofErr w:type="spellEnd"/>
      <w:r w:rsidR="00EF365E" w:rsidRPr="00F52AE5">
        <w:rPr>
          <w:rStyle w:val="Aucun"/>
          <w:color w:val="000000"/>
        </w:rPr>
        <w:t xml:space="preserve"> </w:t>
      </w:r>
      <w:proofErr w:type="spellStart"/>
      <w:r w:rsidR="00EF365E" w:rsidRPr="00F52AE5">
        <w:rPr>
          <w:rStyle w:val="Aucun"/>
          <w:color w:val="000000"/>
        </w:rPr>
        <w:t>Biden</w:t>
      </w:r>
      <w:proofErr w:type="spellEnd"/>
      <w:r w:rsidR="00EF365E" w:rsidRPr="00F52AE5">
        <w:rPr>
          <w:rStyle w:val="Aucun"/>
          <w:color w:val="000000"/>
        </w:rPr>
        <w:t xml:space="preserve"> να επιτρέψει στην Ουκρανία να χρησιμοποιήσει προηγμένα πυραυλικά συστήματα σε στρατιωτικούς στόχους εντός της ρωσικής επικράτειας, τονίζοντας ότι η έγκριση αυτή σέβεται το νόμιμο δικαίωμα της Ουκρανίας στην αυτοάμυνα σύμφωνα με το άρθρο 51 του Χάρτη των Ηνωμένων Εθνών· καλεί την ΕΕ και τα κράτη μέλη της να εγκρίνουν παρόμοια μέτρα, αίροντας τους περιορισμούς στη χρήση των στρατιωτικών συστημάτων για νόμιμες αμυντικές επιχειρήσεις πέραν των συνόρων της Ουκρανίας, με σκοπό την αποτροπή περαιτέρω ρωσικής επίθεσης·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20.</w:t>
      </w:r>
      <w:r w:rsidRPr="00F52AE5">
        <w:rPr>
          <w:rStyle w:val="Aucun"/>
          <w:szCs w:val="24"/>
        </w:rPr>
        <w:tab/>
      </w:r>
      <w:r w:rsidR="00EF365E" w:rsidRPr="00F52AE5">
        <w:rPr>
          <w:rStyle w:val="Aucun"/>
          <w:color w:val="000000"/>
        </w:rPr>
        <w:t xml:space="preserve">καλεί την ΕΕ και τα κράτη μέλη της να συνεργαστούν με τη νέα κυβέρνηση στην Ουάσιγκτον για την ενίσχυση της αμοιβαία επωφελούς διατλαντικής συνεργασίας, τονίζοντας το κοινό στρατηγικό συμφέρον της στήριξης της Ουκρανίας, και να τονίσουν ότι η Ρωσία και οι σύμμαχοί της συνιστούν όχι μόνο απειλή για την ευρωπαϊκή σταθερότητα, αλλά και σημαντικό κίνδυνο για την παγκόσμια ασφάλεια και τη βασισμένη σε κανόνες διεθνή τάξη· ευελπιστεί ότι η επερχόμενη κυβέρνηση </w:t>
      </w:r>
      <w:proofErr w:type="spellStart"/>
      <w:r w:rsidR="00EF365E" w:rsidRPr="00F52AE5">
        <w:rPr>
          <w:rStyle w:val="Aucun"/>
          <w:color w:val="000000"/>
        </w:rPr>
        <w:t>Trump</w:t>
      </w:r>
      <w:proofErr w:type="spellEnd"/>
      <w:r w:rsidR="00EF365E" w:rsidRPr="00F52AE5">
        <w:rPr>
          <w:rStyle w:val="Aucun"/>
          <w:color w:val="000000"/>
        </w:rPr>
        <w:t xml:space="preserve"> θα διατηρήσει τη στήριξη προς την Ουκρανία και θα παραμείνει σταθερά προσηλωμένη στη δέσμευσή της έναντι του ΝΑΤΟ, και ταυτόχρονα ζητεί από την ΕΕ και τα κράτη μέλη της να κάνουν τα λόγια τους πράξη και να οικοδομήσουν μια πραγματική αμυντική Ένωση, μεταξύ άλλων ως ευρωπαϊκό πυλώνα του ΝΑΤΟ, ξεκινώντας με την ενίσχυση των αμυντικών της ικανοτήτων·</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21.</w:t>
      </w:r>
      <w:r w:rsidRPr="00F52AE5">
        <w:rPr>
          <w:rStyle w:val="Aucun"/>
          <w:szCs w:val="24"/>
        </w:rPr>
        <w:tab/>
      </w:r>
      <w:r w:rsidR="00EF365E" w:rsidRPr="00F52AE5">
        <w:rPr>
          <w:rStyle w:val="Aucun"/>
          <w:color w:val="000000"/>
        </w:rPr>
        <w:t>ζητεί λογοδοσία για τα εγκλήματα πολέμου και τις παραβιάσεις του διεθνούς δικαίου που διαπράττονται από τη Ρωσία και τους συμμάχους της, συμπεριλαμβανομένης της Βόρειας Κορέας, μέσω ενισχυμένης συνεργασίας με το Διεθνές Ποινικό Δικαστήριο και άλλα δικαστικά όργανα· ζητεί από την ΕΕ και τους διεθνείς εταίρους να εντείνουν τις προσπάθειές τους ώστε να λογοδοτήσουν όλοι οι δράστες·</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22.</w:t>
      </w:r>
      <w:r w:rsidRPr="00F52AE5">
        <w:rPr>
          <w:rStyle w:val="Aucun"/>
          <w:szCs w:val="24"/>
        </w:rPr>
        <w:tab/>
      </w:r>
      <w:r w:rsidR="00EF365E" w:rsidRPr="00F52AE5">
        <w:rPr>
          <w:rStyle w:val="Aucun"/>
          <w:color w:val="000000"/>
        </w:rPr>
        <w:t xml:space="preserve">καλεί την Επιτροπή να προτείνει πρόσθετα μέτρα για τη στήριξη της ουκρανικής οικονομίας, παρέχοντας περαιτέρω χρηματοδοτική στήριξη και διευκολύνοντας τις επενδυτικές ευκαιρίες· επικροτεί τη συμφωνία με το Συμβούλιο σχετικά με τη μακροοικονομική χρηματοδοτική συνδρομή για την Ουκρανία ύψους έως 35 δισεκατομμυρίων EUR, με τη χρήση δεσμευμένων ρωσικών περιουσιακών στοιχείων, καθώς και του νέου </w:t>
      </w:r>
      <w:r w:rsidR="00EF365E" w:rsidRPr="00F52AE5">
        <w:t>μηχανισμού συνεργασίας για τα δάνεια προς την Ουκρανία</w:t>
      </w:r>
      <w:r w:rsidR="00EF365E" w:rsidRPr="00F52AE5">
        <w:rPr>
          <w:rStyle w:val="Aucun"/>
          <w:color w:val="000000"/>
        </w:rPr>
        <w:t>· ζητεί την ταχεία εφαρμογή αμφότερων των εργαλείων, προκειμένου να μπορέσει η Ουκρανία να επωφεληθεί το συντομότερο δυνατόν από τις νέες αυτές δυνατότητες χρηματοδότησης·</w:t>
      </w:r>
    </w:p>
    <w:p w:rsidR="00EF365E" w:rsidRPr="00F52AE5" w:rsidRDefault="00F52AE5" w:rsidP="00F52AE5">
      <w:pPr>
        <w:pStyle w:val="NormalHanging12a"/>
        <w:widowControl/>
        <w:ind w:left="570" w:hanging="570"/>
        <w:rPr>
          <w:szCs w:val="24"/>
        </w:rPr>
      </w:pPr>
      <w:r w:rsidRPr="00F52AE5">
        <w:rPr>
          <w:szCs w:val="24"/>
        </w:rPr>
        <w:t>23.</w:t>
      </w:r>
      <w:r w:rsidRPr="00F52AE5">
        <w:rPr>
          <w:szCs w:val="24"/>
        </w:rPr>
        <w:tab/>
      </w:r>
      <w:r w:rsidR="00EF365E" w:rsidRPr="00F52AE5">
        <w:rPr>
          <w:rStyle w:val="Aucun"/>
          <w:color w:val="000000"/>
        </w:rPr>
        <w:t xml:space="preserve">καλεί εκ νέου την ΕΕ και τα κράτη μέλη της να προβούν σε ουσιαστικότερες ενέργειες για τη θέσπιση δημιουργικών λύσεων στο πλαίσιο ενός έγκυρου νομικού καθεστώτος που να επιτρέπει τη δήμευση ρωσικών κρατικών περιουσιακών στοιχείων που δεσμεύθηκαν από την ΕΕ και τη χρήση τους για την αντιμετώπιση των διαφόρων </w:t>
      </w:r>
      <w:r w:rsidR="00EF365E" w:rsidRPr="00F52AE5">
        <w:rPr>
          <w:rStyle w:val="Aucun"/>
          <w:color w:val="000000"/>
        </w:rPr>
        <w:lastRenderedPageBreak/>
        <w:t>επιπτώσεων της επίθεσης της Ρωσίας κατά της Ουκρανίας, συμπεριλαμβανομένης της αποτροπής της περαιτέρω καταστροφής και απώλειας ζωών, της ανασυγκρότησης της χώρας και της αποζημίωσης των θυμάτων της ρωσικής επίθεσης· τονίζει ότι οποιαδήποτε μελλοντική απαίτηση της Ρωσίας για τα εν λόγω περιουσιακά στοιχεία μπορεί να διευθετηθεί μόνο μετά από συνολική εξέταση των εκκρεμών αποζημιώσεων που οφείλονται στην Ουκρανία· τονίζει τη σημασία του Μέσου Διευκόλυνσης για την Ουκρανία ως μηχανισμού για τη μακροπρόθεσμη χρηματοδοτική στήριξη και τις προσπάθειες ανασυγκρότησης και ανάκαμψης, και ζητεί την ταχεία και αποτελεσματική εφαρμογή του· καλεί την Επιτροπή να προτείνει μια μακροπρόθεσμη χρηματοδοτική βοήθεια μετά το 2027 για την ανασυγκρότηση της Ουκρανίας, με βάση την εμπειρία που αποκτήθηκε από το Μέσο Διευκόλυνσης για την Ουκρανία·</w:t>
      </w:r>
    </w:p>
    <w:p w:rsidR="00EF365E" w:rsidRPr="00F52AE5" w:rsidRDefault="00F52AE5" w:rsidP="00F52AE5">
      <w:pPr>
        <w:pStyle w:val="NormalHanging12a"/>
        <w:widowControl/>
        <w:ind w:left="570" w:hanging="570"/>
        <w:rPr>
          <w:rStyle w:val="Aucun"/>
          <w:color w:val="000000"/>
          <w:szCs w:val="24"/>
        </w:rPr>
      </w:pPr>
      <w:r w:rsidRPr="00F52AE5">
        <w:rPr>
          <w:rStyle w:val="Aucun"/>
          <w:szCs w:val="24"/>
        </w:rPr>
        <w:t>24.</w:t>
      </w:r>
      <w:r w:rsidRPr="00F52AE5">
        <w:rPr>
          <w:rStyle w:val="Aucun"/>
          <w:szCs w:val="24"/>
        </w:rPr>
        <w:tab/>
      </w:r>
      <w:r w:rsidR="00EF365E" w:rsidRPr="00F52AE5">
        <w:rPr>
          <w:rStyle w:val="Aucun"/>
          <w:color w:val="000000"/>
        </w:rPr>
        <w:t xml:space="preserve">τονίζει την ανάγκη να δημιουργηθεί ένα πιο σταθερό και προβλέψιμο πλαίσιο για τις εμπορικές σχέσεις ΕΕ-Ουκρανίας· καλεί την Επιτροπή, στο πλαίσιο αυτό, να επιταχύνει τις διαβουλεύσεις με την Ουκρανία δυνάμει του άρθρου 29 της συμφωνίας σύνδεσης και ζητεί και από τις δύο πλευρές να καταλήξουν σε συμφωνία ως προς το πλέον φιλόδοξο επίπεδο ελευθέρωσης· καλεί την Επιτροπή να μεριμνήσει για τη στενή συμμετοχή του Κοινοβουλίου στην αναθεώρηση της σφαιρικής και σε βάθος ζώνης ελεύθερων συναλλαγών (DCFTA)· σημειώνει τους περιορισμούς στις εισαγωγές </w:t>
      </w:r>
      <w:proofErr w:type="spellStart"/>
      <w:r w:rsidR="00EF365E" w:rsidRPr="00F52AE5">
        <w:rPr>
          <w:rStyle w:val="Aucun"/>
          <w:color w:val="000000"/>
        </w:rPr>
        <w:t>αγροδιατροφικών</w:t>
      </w:r>
      <w:proofErr w:type="spellEnd"/>
      <w:r w:rsidR="00EF365E" w:rsidRPr="00F52AE5">
        <w:rPr>
          <w:rStyle w:val="Aucun"/>
          <w:color w:val="000000"/>
        </w:rPr>
        <w:t xml:space="preserve"> προϊόντων από την Ουκρανία που επιβλήθηκαν μονομερώς από διάφορα κράτη μέλη, οι οποίοι άπτονται της αποκλειστικής αρμοδιότητας της ΕΕ για το εμπόριο στο πλαίσιο της κοινής εμπορικής πολιτικής και των υποχρεώσεων της ΕΕ στο πλαίσιο της DCFTA με την Ουκρανία·</w:t>
      </w:r>
      <w:r w:rsidR="00EF365E" w:rsidRPr="00F52AE5">
        <w:rPr>
          <w:i/>
        </w:rPr>
        <w:t xml:space="preserve"> </w:t>
      </w:r>
      <w:r w:rsidR="00EF365E" w:rsidRPr="00F52AE5">
        <w:rPr>
          <w:rStyle w:val="Aucun"/>
          <w:color w:val="000000"/>
        </w:rPr>
        <w:t xml:space="preserve">καλεί την Επιτροπή να βρει ευρωπαϊκές λύσεις σε πιθανές στρεβλώσεις της αγοράς που προκαλούνται από τις αυξημένες εισροές ουκρανικών </w:t>
      </w:r>
      <w:proofErr w:type="spellStart"/>
      <w:r w:rsidR="00EF365E" w:rsidRPr="00F52AE5">
        <w:rPr>
          <w:rStyle w:val="Aucun"/>
          <w:color w:val="000000"/>
        </w:rPr>
        <w:t>αγροδιατροφικών</w:t>
      </w:r>
      <w:proofErr w:type="spellEnd"/>
      <w:r w:rsidR="00EF365E" w:rsidRPr="00F52AE5">
        <w:rPr>
          <w:rStyle w:val="Aucun"/>
          <w:color w:val="000000"/>
        </w:rPr>
        <w:t xml:space="preserve"> προϊόντων, σε διαβούλευση με την Ουκρανία και τα ενδιαφερόμενα κράτη μέλη·</w:t>
      </w:r>
    </w:p>
    <w:p w:rsidR="00EF365E" w:rsidRPr="00F52AE5" w:rsidRDefault="00F52AE5" w:rsidP="00F52AE5">
      <w:pPr>
        <w:pStyle w:val="NormalHanging12a"/>
        <w:widowControl/>
        <w:ind w:left="570" w:hanging="570"/>
      </w:pPr>
      <w:r w:rsidRPr="00F52AE5">
        <w:t>25.</w:t>
      </w:r>
      <w:r w:rsidRPr="00F52AE5">
        <w:tab/>
      </w:r>
      <w:r w:rsidR="00EF365E" w:rsidRPr="00F52AE5">
        <w:rPr>
          <w:rStyle w:val="Aucun"/>
          <w:color w:val="000000"/>
        </w:rPr>
        <w:t>ζητεί, ενόψει της δριμείας χειμερινής περιόδου, να αυξηθεί σημαντικά η ανθρωπιστική βοήθεια της ΕΕ για την αντιμετώπιση της δεινής κατάστασης που προκλήθηκε από τις συστηματικές επιθέσεις της Ρωσίας σε μη στρατιωτικές υποδομές, και ιδίως σε ενεργειακές υποδομές, οι οποίες έχουν αφήσει εκατομμύρια Ουκρανούς χωρίς βασικές υπηρεσίες· αναγνωρίζει το έργο πολλών ουκρανικών και άλλων οργανώσεων της κοινωνίας των πολιτών όσον αφορά την παροχή βοήθειας σε οικογένειες απαχθέντων παιδιών από την Ουκρανία, αιχμαλώτων πολέμου και παρανόμως κρατούμενων Ουκρανών αμάχων και τις άοκνες προσπάθειές τους να φέρουν τα αγαπημένα πρόσωπα των οικογενειών αυτών στην πατρίδα τους· καλεί την ΕΕ, τα κράτη μέλη της και τη διεθνή κοινότητα να στηρίξουν τις δραστηριότητές τους και να χρησιμοποιήσουν όλα τα διαθέσιμα διεθνή φόρουμ για να ασκήσουν πίεση στη Ρωσία για την επιστροφή των απαχθέντων παιδιών από την Ουκρανία, των Ουκρανών αιχμαλώτων πολέμου και των Ουκρανών αμάχων που κρατούνται παράνομα·</w:t>
      </w:r>
    </w:p>
    <w:p w:rsidR="00EF365E" w:rsidRPr="00F52AE5" w:rsidRDefault="00F52AE5" w:rsidP="00F52AE5">
      <w:pPr>
        <w:pStyle w:val="NormalHanging12a"/>
        <w:widowControl/>
        <w:ind w:left="570" w:hanging="570"/>
        <w:rPr>
          <w:szCs w:val="24"/>
        </w:rPr>
      </w:pPr>
      <w:r w:rsidRPr="00F52AE5">
        <w:rPr>
          <w:szCs w:val="24"/>
        </w:rPr>
        <w:t>26.</w:t>
      </w:r>
      <w:r w:rsidRPr="00F52AE5">
        <w:rPr>
          <w:szCs w:val="24"/>
        </w:rPr>
        <w:tab/>
      </w:r>
      <w:r w:rsidR="00EF365E" w:rsidRPr="00F52AE5">
        <w:rPr>
          <w:rStyle w:val="Aucun"/>
          <w:color w:val="000000"/>
        </w:rPr>
        <w:t>εκφράζει τη λύπη του για την εσκεμμένη δολοφονία και κακομεταχείριση Ουκρανών αιχμαλώτων πολέμου από τη Ρωσία και καλεί τη Ρωσία να συμμορφωθεί με τις διεθνείς υποχρεώσεις της, και ιδίως τη Σύμβαση της Γενεύης, και να επιτρέψει σε διεθνείς οργανισμούς, όπως η Διεθνής Επιτροπή του Ερυθρού Σταυρού, να επισκεφθούν τους αιχμαλώτους πολέμου και να αξιολογήσουν την κατάσταση της υγείας τους· καλεί την ΕΕ, τα κράτη μέλη της και τη διεθνή κοινότητα, ιδίως τα Ηνωμένα Έθνη, να επανεξετάσουν και να προσαρμόσουν τις διεθνείς συμβάσεις και το έργο των σχετικών διεθνών οργανισμών στη σημερινή πραγματικότητα και να φροντίσουν να ανταποκρίνονται περισσότερο στις ανάγκες των αιχμαλώτων πολέμου·</w:t>
      </w:r>
    </w:p>
    <w:p w:rsidR="00EF365E" w:rsidRPr="00F52AE5" w:rsidRDefault="00F52AE5" w:rsidP="00F52AE5">
      <w:pPr>
        <w:pStyle w:val="NormalHanging12a"/>
        <w:widowControl/>
        <w:ind w:left="570" w:hanging="570"/>
      </w:pPr>
      <w:r w:rsidRPr="00F52AE5">
        <w:lastRenderedPageBreak/>
        <w:t>27.</w:t>
      </w:r>
      <w:r w:rsidRPr="00F52AE5">
        <w:tab/>
      </w:r>
      <w:r w:rsidR="00EF365E" w:rsidRPr="00F52AE5">
        <w:t>σημειώνει με ανησυχία ότι η Ρωσία στρατολογεί ενεργά άτομα από μακρινές περιοχές, συμπεριλαμβανομένης της Αφρικής, της Μέσης Ανατολής και της Λατινικής Αμερικής, εξαπατώντας ή εξαναγκάζοντας τα, προκειμένου να τα στείλει να πολεμήσουν στον πόλεμο κατά του λαού της Ουκρανίας· καλεί τον ΟΗΕ, την Αφρικανική Ένωση και τις χώρες των οποίων οι πληθυσμοί αποτελούν στόχο της Μόσχας να λάβουν ενεργά μέτρα για την αντιμετώπιση αυτής της στρατολόγησης·</w:t>
      </w:r>
    </w:p>
    <w:p w:rsidR="00EF365E" w:rsidRPr="00F52AE5" w:rsidRDefault="00F52AE5" w:rsidP="00F52AE5">
      <w:pPr>
        <w:pStyle w:val="NormalHanging12a"/>
        <w:widowControl/>
        <w:ind w:left="570" w:hanging="570"/>
      </w:pPr>
      <w:r w:rsidRPr="00F52AE5">
        <w:t>28.</w:t>
      </w:r>
      <w:r w:rsidRPr="00F52AE5">
        <w:tab/>
      </w:r>
      <w:r w:rsidR="00EF365E" w:rsidRPr="00F52AE5">
        <w:rPr>
          <w:rStyle w:val="Aucun"/>
          <w:color w:val="000000"/>
        </w:rPr>
        <w:t xml:space="preserve">επισημαίνει εκ νέου τον εποικοδομητικό ρόλο της Νότιας Κορέας στη βασισμένη σε κανόνες διεθνή τάξη, συμπεριλαμβανομένης της αταλάντευτης δέσμευσής της προς την Ουκρανία· καλεί την ΕΕ και τα κράτη μέλη της να συνεργαστούν με τη Νότια Κορέα και να επιδιώξουν τη μεταστροφή της όσον αφορά την παροχή όπλων στην Ουκρανία, προκειμένου να παρασχεθούν σημαντικοί στρατιωτικοί πόροι που θα συνδράμουν τις αμυντικές επιχειρήσεις της Ουκρανίας· χαιρετίζει τον πρώτο στρατηγικό διάλογο ΕΕ-Νότιας Κορέας που πραγματοποιήθηκε στη Σεούλ στις 4 Νοεμβρίου 2024 και την επακόλουθη εταιρική σχέση ασφάλειας και άμυνας μεταξύ της ΕΕ και της Νότιας Κορέας· υποστηρίζει την εμβάθυνση των σχέσεων της ΕΕ με τη Νότια Κορέα και την ενισχυμένη διμερή συνεργασία στον τομέα της ασφάλειας και της άμυνας· καλεί την ΕΕ και τα κράτη μέλη της, σε συνεργασία με την Ουκρανία και τη Νότια Κορέα, να ενθαρρύνουν την πιθανή λιποταξία μελών του Λαϊκού Στρατού της Κορέας και να προετοιμαστούν σχετικά· </w:t>
      </w:r>
      <w:r w:rsidR="00EF365E" w:rsidRPr="00F52AE5">
        <w:t>καλεί την ΕΕ και τα κράτη μέλη της να εμβαθύνουν τη συνεργασία τους με τη Νότια Κορέα για το μέλλον της Ουκρανίας, εστιάζοντας στις προσδοκίες της όσον αφορά την ΕΕ, στις εγγυήσεις ασφάλειας και στην ανασυγκρότηση· ζητεί στενότερη συνεργασία με άλλους ομοϊδεάτες εταίρους, ιδίως με την Ιαπωνία, την Αυστραλία και την Ταϊβάν, και τονίζει την ανάγκη για ευρύτερο διάλογο στον Ινδοειρηνικό·</w:t>
      </w:r>
    </w:p>
    <w:p w:rsidR="00EF365E" w:rsidRPr="00F52AE5" w:rsidRDefault="00F52AE5" w:rsidP="00F52AE5">
      <w:pPr>
        <w:pStyle w:val="NormalHanging12a"/>
        <w:widowControl/>
        <w:ind w:left="570" w:hanging="570"/>
        <w:rPr>
          <w:bCs/>
          <w:iCs/>
          <w:szCs w:val="24"/>
        </w:rPr>
      </w:pPr>
      <w:r w:rsidRPr="00F52AE5">
        <w:rPr>
          <w:bCs/>
          <w:iCs/>
          <w:szCs w:val="24"/>
        </w:rPr>
        <w:t>29.</w:t>
      </w:r>
      <w:r w:rsidRPr="00F52AE5">
        <w:rPr>
          <w:bCs/>
          <w:iCs/>
          <w:szCs w:val="24"/>
        </w:rPr>
        <w:tab/>
      </w:r>
      <w:r w:rsidR="00EF365E" w:rsidRPr="00F52AE5">
        <w:rPr>
          <w:rStyle w:val="Aucun"/>
          <w:color w:val="000000"/>
        </w:rPr>
        <w:t xml:space="preserve">καλεί την ΕΕ και τα κράτη μέλη της να συνεχίσουν να παρέχουν στήριξη στη ρωσική δημοκρατική αντιπολίτευση, να διασφαλίσουν την προστασία της και να την ενθαρρύνουν να αντιταχθεί στο καθεστώς </w:t>
      </w:r>
      <w:proofErr w:type="spellStart"/>
      <w:r w:rsidR="00EF365E" w:rsidRPr="00F52AE5">
        <w:rPr>
          <w:rStyle w:val="Aucun"/>
          <w:color w:val="000000"/>
        </w:rPr>
        <w:t>Putin</w:t>
      </w:r>
      <w:proofErr w:type="spellEnd"/>
      <w:r w:rsidR="00EF365E" w:rsidRPr="00F52AE5">
        <w:rPr>
          <w:rStyle w:val="Aucun"/>
          <w:color w:val="000000"/>
        </w:rPr>
        <w:t>, και ιδίως στα μιλιταριστικά, σοβινιστικά και ιμπεριαλιστικά αισθήματα της ρωσικής κοινωνίας, και να εκφράσει σθεναρά και να επιδιώξει ενεργά τη στήριξη της Ουκρανίας·</w:t>
      </w:r>
    </w:p>
    <w:p w:rsidR="00EF365E" w:rsidRPr="00F52AE5" w:rsidRDefault="00F52AE5" w:rsidP="00F52AE5">
      <w:pPr>
        <w:pStyle w:val="NormalHanging12a"/>
        <w:widowControl/>
        <w:ind w:left="570" w:hanging="570"/>
      </w:pPr>
      <w:r w:rsidRPr="00F52AE5">
        <w:t>30.</w:t>
      </w:r>
      <w:r w:rsidRPr="00F52AE5">
        <w:tab/>
      </w:r>
      <w:r w:rsidR="00EF365E" w:rsidRPr="00F52AE5">
        <w:t>καταδικάζει τις πρόσφατες πράξεις στη Βαλτική Θάλασσα που έχουν πλήξει κρίσιμες ευρωπαϊκές υποδομές· τονίζει την επείγουσα ανάγκη διερεύνησης αυτών των σοβαρών περιστατικών και δημοσιοποίησης πληροφοριών σχετικά με τους δράστες και τις προθέσεις τους· υπογραμμίζει ότι αρκετοί εκπρόσωποι ευρωπαϊκών κυβερνήσεων πιστεύουν ότι το πιο πρόσφατο περιστατικό συνιστά σοβαρή πράξη δολιοφθοράς· καλεί τον Αντιπρόεδρο της Επιτροπής / Ύπατο Εκπρόσωπο της Ένωσης για Θέματα Εξωτερικής Πολιτικής και Πολιτικής Ασφαλείας και τα κράτη μέλη να αντιδράσουν με κατάλληλα μέτρα κατά οποιωνδήποτε υπεύθυνων κρατικών ή μη κρατικών φορέων, εάν αποδειχθεί η εμπλοκή τους·</w:t>
      </w:r>
    </w:p>
    <w:p w:rsidR="00090908" w:rsidRPr="00F52AE5" w:rsidRDefault="00F52AE5" w:rsidP="00F52AE5">
      <w:pPr>
        <w:pStyle w:val="NormalHanging12a"/>
        <w:widowControl/>
        <w:ind w:left="570" w:hanging="570"/>
      </w:pPr>
      <w:r w:rsidRPr="00F52AE5">
        <w:t>31.</w:t>
      </w:r>
      <w:r w:rsidRPr="00F52AE5">
        <w:tab/>
      </w:r>
      <w:r w:rsidR="00EF365E" w:rsidRPr="00F52AE5">
        <w:rPr>
          <w:rStyle w:val="Aucun"/>
          <w:color w:val="000000"/>
        </w:rPr>
        <w:t>αναθέτει στην Πρόεδρό του να διαβιβάσει το παρόν ψήφισμα στο Συμβούλιο, στην Επιτροπή, στον Αντιπρόεδρο της Επιτροπής / Ύπατο Εκπρόσωπο της Ένωσης για θέματα Εξωτερικής Πολιτικής και Πολιτικής Ασφαλείας, στις κυβερνήσεις και στα κοινοβούλια των κρατών μελών, στον Πρόεδρο, στην κυβέρνηση και στο κοινοβούλιο της Ουκρανίας, στη ρωσική κυβέρνηση, στην κυβέρνηση της Νότιας Κορέας, στην κυβέρνησης της Βόρειας Κορέας και στις άλλες ενδιαφερόμενες κυβερνήσεις, καθώς και στα Ηνωμένα Έθνη.</w:t>
      </w:r>
    </w:p>
    <w:p w:rsidR="005F433A" w:rsidRPr="00F52AE5" w:rsidRDefault="005F433A" w:rsidP="005F433A">
      <w:pPr>
        <w:widowControl/>
        <w:spacing w:after="240"/>
        <w:ind w:left="207" w:hanging="567"/>
      </w:pPr>
    </w:p>
    <w:sectPr w:rsidR="005F433A" w:rsidRPr="00F52AE5" w:rsidSect="00090908">
      <w:headerReference w:type="even" r:id="rId9"/>
      <w:headerReference w:type="default" r:id="rId10"/>
      <w:footerReference w:type="even" r:id="rId11"/>
      <w:footerReference w:type="default" r:id="rId12"/>
      <w:headerReference w:type="first" r:id="rId13"/>
      <w:footerReference w:type="first" r:id="rId14"/>
      <w:footnotePr>
        <w:numRestart w:val="eachPage"/>
      </w:footnotePr>
      <w:endnotePr>
        <w:numFmt w:val="decimal"/>
      </w:endnotePr>
      <w:pgSz w:w="11906" w:h="16838" w:code="9"/>
      <w:pgMar w:top="1134" w:right="1418" w:bottom="1418" w:left="1418" w:header="1134" w:footer="567"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endnote w:type="separator" w:id="-1">
    <w:p w:rsidR="00DB5DF8" w:rsidRPr="00090908" w:rsidRDefault="00DB5DF8">
      <w:r w:rsidRPr="00090908">
        <w:separator/>
      </w:r>
    </w:p>
  </w:endnote>
  <w:endnote w:type="continuationSeparator" w:id="0">
    <w:p w:rsidR="00DB5DF8" w:rsidRPr="00090908" w:rsidRDefault="00DB5DF8">
      <w:r w:rsidRPr="00090908">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Arial">
    <w:panose1 w:val="020B0604020202020204"/>
    <w:charset w:val="00"/>
    <w:family w:val="swiss"/>
    <w:pitch w:val="variable"/>
    <w:sig w:usb0="E0002EFF" w:usb1="C000785B" w:usb2="00000009" w:usb3="00000000" w:csb0="000001FF" w:csb1="00000000"/>
  </w:font>
  <w:font w:name="Arial Narrow">
    <w:panose1 w:val="020B0606020202030204"/>
    <w:charset w:val="00"/>
    <w:family w:val="swiss"/>
    <w:pitch w:val="variable"/>
    <w:sig w:usb0="00000287" w:usb1="00000800" w:usb2="00000000" w:usb3="00000000" w:csb0="0000009F" w:csb1="00000000"/>
  </w:font>
  <w:font w:name="Segoe UI">
    <w:panose1 w:val="020B0502040204020203"/>
    <w:charset w:val="00"/>
    <w:family w:val="swiss"/>
    <w:pitch w:val="variable"/>
    <w:sig w:usb0="E4002EFF" w:usb1="C000E47F" w:usb2="00000009" w:usb3="00000000" w:csb0="000001FF" w:csb1="00000000"/>
  </w:font>
  <w:font w:name="Yu Gothic Light">
    <w:panose1 w:val="020B0300000000000000"/>
    <w:charset w:val="80"/>
    <w:family w:val="swiss"/>
    <w:pitch w:val="variable"/>
    <w:sig w:usb0="E00002FF" w:usb1="2AC7FDFF" w:usb2="00000016" w:usb3="00000000" w:csb0="0002009F" w:csb1="00000000"/>
  </w:font>
  <w:font w:name="Calibri Light">
    <w:panose1 w:val="020F0302020204030204"/>
    <w:charset w:val="00"/>
    <w:family w:val="swiss"/>
    <w:pitch w:val="variable"/>
    <w:sig w:usb0="E4002EFF" w:usb1="C000247B" w:usb2="00000009" w:usb3="00000000" w:csb0="000001FF" w:csb1="00000000"/>
  </w:font>
  <w:font w:name="DokChampa">
    <w:altName w:val="Leelawadee UI"/>
    <w:charset w:val="DE"/>
    <w:family w:val="swiss"/>
    <w:pitch w:val="variable"/>
    <w:sig w:usb0="83000003" w:usb1="00000000" w:usb2="00000000" w:usb3="00000000" w:csb0="00010001" w:csb1="00000000"/>
  </w:font>
  <w:font w:name="Yu Mincho">
    <w:altName w:val="游明朝"/>
    <w:panose1 w:val="00000000000000000000"/>
    <w:charset w:val="80"/>
    <w:family w:val="roman"/>
    <w:notTrueType/>
    <w:pitch w:val="default"/>
  </w:font>
  <w:font w:name="Calibri">
    <w:panose1 w:val="020F05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ftr>
</file>

<file path=word/footer2.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ftr>
</file>

<file path=word/footer3.xml><?xml version="1.0" encoding="utf-8"?>
<w:ft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ftr>
</file>

<file path=word/footnotes.xml><?xml version="1.0" encoding="utf-8"?>
<w:footnotes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footnote w:type="separator" w:id="-1">
    <w:p w:rsidR="00DB5DF8" w:rsidRPr="00090908" w:rsidRDefault="00DB5DF8">
      <w:r w:rsidRPr="00090908">
        <w:separator/>
      </w:r>
    </w:p>
  </w:footnote>
  <w:footnote w:type="continuationSeparator" w:id="0">
    <w:p w:rsidR="00DB5DF8" w:rsidRPr="00090908" w:rsidRDefault="00DB5DF8">
      <w:r w:rsidRPr="00090908">
        <w:continuationSeparator/>
      </w:r>
    </w:p>
  </w:footnote>
  <w:footnote w:id="1">
    <w:p w:rsidR="00EF365E" w:rsidRPr="00884941" w:rsidRDefault="00EF365E" w:rsidP="00884941">
      <w:pPr>
        <w:pStyle w:val="FootnoteText"/>
        <w:spacing w:line="240" w:lineRule="auto"/>
        <w:ind w:left="567" w:hanging="567"/>
        <w:rPr>
          <w:sz w:val="24"/>
          <w:lang w:val="fi-FI"/>
        </w:rPr>
      </w:pPr>
      <w:r w:rsidRPr="00090908">
        <w:rPr>
          <w:rStyle w:val="FootnoteReference"/>
          <w:sz w:val="24"/>
          <w:lang w:val="el-GR"/>
        </w:rPr>
        <w:footnoteRef/>
      </w:r>
      <w:r w:rsidR="00090908" w:rsidRPr="00884941">
        <w:rPr>
          <w:sz w:val="24"/>
          <w:lang w:val="fi-FI"/>
        </w:rPr>
        <w:t xml:space="preserve"> </w:t>
      </w:r>
      <w:r w:rsidR="00090908" w:rsidRPr="00884941">
        <w:rPr>
          <w:sz w:val="24"/>
          <w:lang w:val="fi-FI"/>
        </w:rPr>
        <w:tab/>
      </w:r>
      <w:r w:rsidRPr="00090908">
        <w:rPr>
          <w:sz w:val="24"/>
          <w:lang w:val="el-GR"/>
        </w:rPr>
        <w:t>ΕΕ</w:t>
      </w:r>
      <w:r w:rsidRPr="00884941">
        <w:rPr>
          <w:sz w:val="24"/>
          <w:lang w:val="fi-FI"/>
        </w:rPr>
        <w:t xml:space="preserve"> C, C/2024/6129, 22.10.2024, ELI: </w:t>
      </w:r>
      <w:hyperlink r:id="rId1" w:history="1">
        <w:r w:rsidRPr="00884941">
          <w:rPr>
            <w:rStyle w:val="Hyperlink"/>
            <w:sz w:val="24"/>
            <w:lang w:val="fi-FI"/>
          </w:rPr>
          <w:t>http://data.europa.eu/eli/C/2024/6129/oj</w:t>
        </w:r>
      </w:hyperlink>
      <w:r w:rsidRPr="00884941">
        <w:rPr>
          <w:sz w:val="24"/>
          <w:lang w:val="fi-FI"/>
        </w:rPr>
        <w:t>.</w:t>
      </w:r>
    </w:p>
  </w:footnote>
  <w:footnote w:id="2">
    <w:p w:rsidR="00EF365E" w:rsidRPr="00090908" w:rsidRDefault="00EF365E" w:rsidP="00884941">
      <w:pPr>
        <w:pStyle w:val="FootnoteText"/>
        <w:spacing w:line="240" w:lineRule="auto"/>
        <w:ind w:left="567" w:hanging="567"/>
        <w:rPr>
          <w:sz w:val="24"/>
          <w:lang w:val="el-GR"/>
        </w:rPr>
      </w:pPr>
      <w:r w:rsidRPr="00090908">
        <w:rPr>
          <w:rStyle w:val="FootnoteReference"/>
          <w:sz w:val="24"/>
          <w:lang w:val="el-GR"/>
        </w:rPr>
        <w:footnoteRef/>
      </w:r>
      <w:r w:rsidR="00090908" w:rsidRPr="00090908">
        <w:rPr>
          <w:sz w:val="24"/>
          <w:lang w:val="el-GR"/>
        </w:rPr>
        <w:t xml:space="preserve"> </w:t>
      </w:r>
      <w:r w:rsidR="00090908" w:rsidRPr="00090908">
        <w:rPr>
          <w:sz w:val="24"/>
          <w:lang w:val="el-GR"/>
        </w:rPr>
        <w:tab/>
      </w:r>
      <w:r w:rsidRPr="00090908">
        <w:rPr>
          <w:sz w:val="24"/>
          <w:lang w:val="el-GR"/>
        </w:rPr>
        <w:t>Κείμενα που εγκρίθηκαν, P10_TA(2024)0012.</w:t>
      </w:r>
    </w:p>
  </w:footnote>
  <w:footnote w:id="3">
    <w:p w:rsidR="00EF365E" w:rsidRPr="00884941" w:rsidRDefault="00EF365E" w:rsidP="00884941">
      <w:pPr>
        <w:pStyle w:val="FootnoteText"/>
        <w:spacing w:line="240" w:lineRule="auto"/>
        <w:ind w:left="567" w:hanging="567"/>
        <w:rPr>
          <w:sz w:val="24"/>
          <w:lang w:val="fi-FI"/>
        </w:rPr>
      </w:pPr>
      <w:r w:rsidRPr="00090908">
        <w:rPr>
          <w:rStyle w:val="FootnoteReference"/>
          <w:sz w:val="24"/>
          <w:lang w:val="el-GR"/>
        </w:rPr>
        <w:footnoteRef/>
      </w:r>
      <w:r w:rsidR="00090908" w:rsidRPr="00884941">
        <w:rPr>
          <w:sz w:val="24"/>
          <w:lang w:val="fi-FI"/>
        </w:rPr>
        <w:t xml:space="preserve"> </w:t>
      </w:r>
      <w:r w:rsidR="00090908" w:rsidRPr="00884941">
        <w:rPr>
          <w:sz w:val="24"/>
          <w:lang w:val="fi-FI"/>
        </w:rPr>
        <w:tab/>
      </w:r>
      <w:r w:rsidRPr="00090908">
        <w:rPr>
          <w:sz w:val="24"/>
          <w:lang w:val="el-GR"/>
        </w:rPr>
        <w:t>ΕΕ</w:t>
      </w:r>
      <w:r w:rsidRPr="00884941">
        <w:rPr>
          <w:sz w:val="24"/>
          <w:lang w:val="fi-FI"/>
        </w:rPr>
        <w:t xml:space="preserve"> L, 2024/792, 29.2.2024, ELI: </w:t>
      </w:r>
      <w:r w:rsidR="00F52AE5">
        <w:fldChar w:fldCharType="begin"/>
      </w:r>
      <w:r w:rsidR="00F52AE5" w:rsidRPr="00F52AE5">
        <w:rPr>
          <w:lang w:val="fi-FI"/>
        </w:rPr>
        <w:instrText xml:space="preserve"> HYPERLINK "http://data.europa.eu/eli/reg/2024/792/oj" </w:instrText>
      </w:r>
      <w:r w:rsidR="00F52AE5">
        <w:fldChar w:fldCharType="separate"/>
      </w:r>
      <w:r w:rsidRPr="00884941">
        <w:rPr>
          <w:rStyle w:val="Hyperlink"/>
          <w:sz w:val="24"/>
          <w:lang w:val="fi-FI"/>
        </w:rPr>
        <w:t>http://data.europa.eu/eli/reg/2024/792/oj</w:t>
      </w:r>
      <w:r w:rsidR="00F52AE5">
        <w:rPr>
          <w:rStyle w:val="Hyperlink"/>
          <w:sz w:val="24"/>
          <w:lang w:val="fi-FI"/>
        </w:rPr>
        <w:fldChar w:fldCharType="end"/>
      </w:r>
      <w:r w:rsidRPr="00884941">
        <w:rPr>
          <w:sz w:val="24"/>
          <w:lang w:val="fi-FI"/>
        </w:rPr>
        <w:t>.</w:t>
      </w:r>
    </w:p>
  </w:footnote>
  <w:footnote w:id="4">
    <w:p w:rsidR="00EF365E" w:rsidRPr="00884941" w:rsidRDefault="00EF365E" w:rsidP="00884941">
      <w:pPr>
        <w:pStyle w:val="FootnoteText"/>
        <w:spacing w:line="240" w:lineRule="auto"/>
        <w:ind w:left="567" w:hanging="567"/>
        <w:rPr>
          <w:sz w:val="24"/>
          <w:lang w:val="fi-FI"/>
        </w:rPr>
      </w:pPr>
      <w:r w:rsidRPr="00090908">
        <w:rPr>
          <w:rStyle w:val="FootnoteReference"/>
          <w:sz w:val="24"/>
          <w:lang w:val="el-GR"/>
        </w:rPr>
        <w:footnoteRef/>
      </w:r>
      <w:r w:rsidR="00090908" w:rsidRPr="00884941">
        <w:rPr>
          <w:sz w:val="24"/>
          <w:lang w:val="fi-FI"/>
        </w:rPr>
        <w:t xml:space="preserve"> </w:t>
      </w:r>
      <w:r w:rsidR="00090908" w:rsidRPr="00884941">
        <w:rPr>
          <w:sz w:val="24"/>
          <w:lang w:val="fi-FI"/>
        </w:rPr>
        <w:tab/>
      </w:r>
      <w:r w:rsidRPr="00090908">
        <w:rPr>
          <w:sz w:val="24"/>
          <w:lang w:val="el-GR"/>
        </w:rPr>
        <w:t>ΕΕ</w:t>
      </w:r>
      <w:r w:rsidRPr="00884941">
        <w:rPr>
          <w:sz w:val="24"/>
          <w:lang w:val="fi-FI"/>
        </w:rPr>
        <w:t xml:space="preserve"> L, 2024/2773, 28.10.2024, ELI: </w:t>
      </w:r>
      <w:r w:rsidR="00F52AE5">
        <w:fldChar w:fldCharType="begin"/>
      </w:r>
      <w:r w:rsidR="00F52AE5" w:rsidRPr="00F52AE5">
        <w:rPr>
          <w:lang w:val="fi-FI"/>
        </w:rPr>
        <w:instrText xml:space="preserve"> HYPERLINK "http://data.europa.eu/eli/reg/2024/2773/oj" </w:instrText>
      </w:r>
      <w:r w:rsidR="00F52AE5">
        <w:fldChar w:fldCharType="separate"/>
      </w:r>
      <w:r w:rsidRPr="00884941">
        <w:rPr>
          <w:rStyle w:val="Hyperlink"/>
          <w:sz w:val="24"/>
          <w:lang w:val="fi-FI"/>
        </w:rPr>
        <w:t>http://data.europa.eu/eli/reg/2024/2773/oj</w:t>
      </w:r>
      <w:r w:rsidR="00F52AE5">
        <w:rPr>
          <w:rStyle w:val="Hyperlink"/>
          <w:sz w:val="24"/>
          <w:lang w:val="fi-FI"/>
        </w:rPr>
        <w:fldChar w:fldCharType="end"/>
      </w:r>
      <w:r w:rsidRPr="00884941">
        <w:rPr>
          <w:sz w:val="24"/>
          <w:lang w:val="fi-FI"/>
        </w:rPr>
        <w:t>.</w:t>
      </w:r>
    </w:p>
  </w:footnote>
</w:footnotes>
</file>

<file path=word/header1.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hdr>
</file>

<file path=word/header2.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hdr>
</file>

<file path=word/header3.xml><?xml version="1.0" encoding="utf-8"?>
<w:hdr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p w:rsidR="00064002" w:rsidRPr="00090908" w:rsidRDefault="00064002"/>
</w:hdr>
</file>

<file path=word/numbering.xml><?xml version="1.0" encoding="utf-8"?>
<w:numbering xmlns:wpc="http://schemas.microsoft.com/office/word/2010/wordprocessingCanvas" xmlns:cx="http://schemas.microsoft.com/office/drawing/2014/chartex" xmlns:cx1="http://schemas.microsoft.com/office/drawing/2015/9/8/chartex"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p14">
  <w:abstractNum w:abstractNumId="0" w15:restartNumberingAfterBreak="0">
    <w:nsid w:val="FFFFFF7C"/>
    <w:multiLevelType w:val="singleLevel"/>
    <w:tmpl w:val="5B22A8A2"/>
    <w:lvl w:ilvl="0">
      <w:start w:val="1"/>
      <w:numFmt w:val="decimal"/>
      <w:lvlText w:val="%1."/>
      <w:lvlJc w:val="left"/>
      <w:pPr>
        <w:tabs>
          <w:tab w:val="num" w:pos="1492"/>
        </w:tabs>
        <w:ind w:left="1492" w:hanging="360"/>
      </w:pPr>
    </w:lvl>
  </w:abstractNum>
  <w:abstractNum w:abstractNumId="1" w15:restartNumberingAfterBreak="0">
    <w:nsid w:val="FFFFFF7D"/>
    <w:multiLevelType w:val="singleLevel"/>
    <w:tmpl w:val="D0C0EE6C"/>
    <w:lvl w:ilvl="0">
      <w:start w:val="1"/>
      <w:numFmt w:val="decimal"/>
      <w:lvlText w:val="%1."/>
      <w:lvlJc w:val="left"/>
      <w:pPr>
        <w:tabs>
          <w:tab w:val="num" w:pos="1209"/>
        </w:tabs>
        <w:ind w:left="1209" w:hanging="360"/>
      </w:pPr>
    </w:lvl>
  </w:abstractNum>
  <w:abstractNum w:abstractNumId="2" w15:restartNumberingAfterBreak="0">
    <w:nsid w:val="FFFFFF7E"/>
    <w:multiLevelType w:val="singleLevel"/>
    <w:tmpl w:val="BFB40F5E"/>
    <w:lvl w:ilvl="0">
      <w:start w:val="1"/>
      <w:numFmt w:val="decimal"/>
      <w:lvlText w:val="%1."/>
      <w:lvlJc w:val="left"/>
      <w:pPr>
        <w:tabs>
          <w:tab w:val="num" w:pos="926"/>
        </w:tabs>
        <w:ind w:left="926" w:hanging="360"/>
      </w:pPr>
    </w:lvl>
  </w:abstractNum>
  <w:abstractNum w:abstractNumId="3" w15:restartNumberingAfterBreak="0">
    <w:nsid w:val="FFFFFF7F"/>
    <w:multiLevelType w:val="singleLevel"/>
    <w:tmpl w:val="BF525DAA"/>
    <w:lvl w:ilvl="0">
      <w:start w:val="1"/>
      <w:numFmt w:val="decimal"/>
      <w:lvlText w:val="%1."/>
      <w:lvlJc w:val="left"/>
      <w:pPr>
        <w:tabs>
          <w:tab w:val="num" w:pos="643"/>
        </w:tabs>
        <w:ind w:left="643" w:hanging="360"/>
      </w:pPr>
    </w:lvl>
  </w:abstractNum>
  <w:abstractNum w:abstractNumId="4" w15:restartNumberingAfterBreak="0">
    <w:nsid w:val="FFFFFF80"/>
    <w:multiLevelType w:val="singleLevel"/>
    <w:tmpl w:val="97309190"/>
    <w:lvl w:ilvl="0">
      <w:start w:val="1"/>
      <w:numFmt w:val="bullet"/>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8026A280"/>
    <w:lvl w:ilvl="0">
      <w:start w:val="1"/>
      <w:numFmt w:val="bullet"/>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1CDC9AF0"/>
    <w:lvl w:ilvl="0">
      <w:start w:val="1"/>
      <w:numFmt w:val="bullet"/>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1E120C2A"/>
    <w:lvl w:ilvl="0">
      <w:start w:val="1"/>
      <w:numFmt w:val="bullet"/>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D92AAA74"/>
    <w:lvl w:ilvl="0">
      <w:start w:val="1"/>
      <w:numFmt w:val="decimal"/>
      <w:lvlText w:val="%1."/>
      <w:lvlJc w:val="left"/>
      <w:pPr>
        <w:tabs>
          <w:tab w:val="num" w:pos="360"/>
        </w:tabs>
        <w:ind w:left="360" w:hanging="360"/>
      </w:pPr>
    </w:lvl>
  </w:abstractNum>
  <w:abstractNum w:abstractNumId="9" w15:restartNumberingAfterBreak="0">
    <w:nsid w:val="FFFFFF89"/>
    <w:multiLevelType w:val="singleLevel"/>
    <w:tmpl w:val="AB4278A6"/>
    <w:lvl w:ilvl="0">
      <w:start w:val="1"/>
      <w:numFmt w:val="bullet"/>
      <w:lvlText w:val=""/>
      <w:lvlJc w:val="left"/>
      <w:pPr>
        <w:tabs>
          <w:tab w:val="num" w:pos="360"/>
        </w:tabs>
        <w:ind w:left="360" w:hanging="360"/>
      </w:pPr>
      <w:rPr>
        <w:rFonts w:ascii="Symbol" w:hAnsi="Symbol" w:hint="default"/>
      </w:rPr>
    </w:lvl>
  </w:abstractNum>
  <w:abstractNum w:abstractNumId="10" w15:restartNumberingAfterBreak="0">
    <w:nsid w:val="093C6E60"/>
    <w:multiLevelType w:val="multilevel"/>
    <w:tmpl w:val="BC64E536"/>
    <w:lvl w:ilvl="0">
      <w:start w:val="1"/>
      <w:numFmt w:val="decimal"/>
      <w:lvlText w:val="%1."/>
      <w:lvlJc w:val="left"/>
      <w:pPr>
        <w:tabs>
          <w:tab w:val="num" w:pos="360"/>
        </w:tabs>
        <w:ind w:left="360" w:hanging="360"/>
      </w:pPr>
    </w:lvl>
    <w:lvl w:ilvl="1">
      <w:start w:val="1"/>
      <w:numFmt w:val="decimal"/>
      <w:pStyle w:val="Heading2"/>
      <w:lvlText w:val="%1.%2."/>
      <w:lvlJc w:val="left"/>
      <w:pPr>
        <w:tabs>
          <w:tab w:val="num" w:pos="792"/>
        </w:tabs>
        <w:ind w:left="792" w:hanging="792"/>
      </w:pPr>
    </w:lvl>
    <w:lvl w:ilvl="2">
      <w:start w:val="1"/>
      <w:numFmt w:val="decimal"/>
      <w:pStyle w:val="Heading3"/>
      <w:lvlText w:val="%1.%2.%3."/>
      <w:lvlJc w:val="left"/>
      <w:pPr>
        <w:tabs>
          <w:tab w:val="num" w:pos="1224"/>
        </w:tabs>
        <w:ind w:left="1224" w:hanging="1224"/>
      </w:pPr>
    </w:lvl>
    <w:lvl w:ilvl="3">
      <w:start w:val="1"/>
      <w:numFmt w:val="decimal"/>
      <w:pStyle w:val="Heading4"/>
      <w:lvlText w:val="%1.%2.%3.%4."/>
      <w:lvlJc w:val="left"/>
      <w:pPr>
        <w:tabs>
          <w:tab w:val="num" w:pos="1728"/>
        </w:tabs>
        <w:ind w:left="1728" w:hanging="1728"/>
      </w:pPr>
    </w:lvl>
    <w:lvl w:ilvl="4">
      <w:start w:val="1"/>
      <w:numFmt w:val="decimal"/>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abstractNum w:abstractNumId="11" w15:restartNumberingAfterBreak="0">
    <w:nsid w:val="260847A7"/>
    <w:multiLevelType w:val="hybridMultilevel"/>
    <w:tmpl w:val="3EA00140"/>
    <w:lvl w:ilvl="0" w:tplc="0809000F">
      <w:start w:val="1"/>
      <w:numFmt w:val="decimal"/>
      <w:lvlText w:val="%1."/>
      <w:lvlJc w:val="left"/>
      <w:pPr>
        <w:ind w:left="720" w:hanging="360"/>
      </w:p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2" w15:restartNumberingAfterBreak="0">
    <w:nsid w:val="2B912493"/>
    <w:multiLevelType w:val="hybridMultilevel"/>
    <w:tmpl w:val="128AA71C"/>
    <w:lvl w:ilvl="0" w:tplc="330CB39C">
      <w:start w:val="1"/>
      <w:numFmt w:val="decimal"/>
      <w:lvlText w:val="%1."/>
      <w:lvlJc w:val="left"/>
      <w:pPr>
        <w:ind w:left="930" w:hanging="570"/>
      </w:pPr>
      <w:rPr>
        <w:rFonts w:hint="default"/>
        <w:color w:val="auto"/>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13" w15:restartNumberingAfterBreak="0">
    <w:nsid w:val="39692AE2"/>
    <w:multiLevelType w:val="multilevel"/>
    <w:tmpl w:val="975EA0B4"/>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792"/>
      </w:pPr>
    </w:lvl>
    <w:lvl w:ilvl="2">
      <w:start w:val="1"/>
      <w:numFmt w:val="decimal"/>
      <w:lvlText w:val="%1.%2.%3."/>
      <w:lvlJc w:val="left"/>
      <w:pPr>
        <w:tabs>
          <w:tab w:val="num" w:pos="1224"/>
        </w:tabs>
        <w:ind w:left="1224" w:hanging="1224"/>
      </w:pPr>
    </w:lvl>
    <w:lvl w:ilvl="3">
      <w:start w:val="1"/>
      <w:numFmt w:val="decimal"/>
      <w:lvlText w:val="%1.%2.%3.%4."/>
      <w:lvlJc w:val="left"/>
      <w:pPr>
        <w:tabs>
          <w:tab w:val="num" w:pos="1728"/>
        </w:tabs>
        <w:ind w:left="1728" w:hanging="1728"/>
      </w:pPr>
    </w:lvl>
    <w:lvl w:ilvl="4">
      <w:start w:val="1"/>
      <w:numFmt w:val="decimal"/>
      <w:pStyle w:val="Heading5"/>
      <w:lvlText w:val="%1.%2.%3.%4.%5."/>
      <w:lvlJc w:val="left"/>
      <w:pPr>
        <w:tabs>
          <w:tab w:val="num" w:pos="2232"/>
        </w:tabs>
        <w:ind w:left="2232" w:hanging="2232"/>
      </w:pPr>
    </w:lvl>
    <w:lvl w:ilvl="5">
      <w:start w:val="1"/>
      <w:numFmt w:val="decimal"/>
      <w:lvlText w:val="%1.%2.%3.%4.%5.%6."/>
      <w:lvlJc w:val="left"/>
      <w:pPr>
        <w:tabs>
          <w:tab w:val="num" w:pos="2736"/>
        </w:tabs>
        <w:ind w:left="2736" w:hanging="2736"/>
      </w:pPr>
    </w:lvl>
    <w:lvl w:ilvl="6">
      <w:start w:val="1"/>
      <w:numFmt w:val="decimal"/>
      <w:lvlText w:val="%1.%2.%3.%4.%5.%6.%7."/>
      <w:lvlJc w:val="left"/>
      <w:pPr>
        <w:tabs>
          <w:tab w:val="num" w:pos="3240"/>
        </w:tabs>
        <w:ind w:left="3240" w:hanging="3240"/>
      </w:pPr>
    </w:lvl>
    <w:lvl w:ilvl="7">
      <w:start w:val="1"/>
      <w:numFmt w:val="decimal"/>
      <w:lvlText w:val="%1.%2.%3.%4.%5.%6.%7.%8."/>
      <w:lvlJc w:val="left"/>
      <w:pPr>
        <w:tabs>
          <w:tab w:val="num" w:pos="3744"/>
        </w:tabs>
        <w:ind w:left="3744" w:hanging="3744"/>
      </w:pPr>
    </w:lvl>
    <w:lvl w:ilvl="8">
      <w:start w:val="1"/>
      <w:numFmt w:val="decimal"/>
      <w:lvlText w:val="%1.%2.%3.%4.%5.%6.%7.%8.%9."/>
      <w:lvlJc w:val="left"/>
      <w:pPr>
        <w:tabs>
          <w:tab w:val="num" w:pos="4320"/>
        </w:tabs>
        <w:ind w:left="4320" w:hanging="4320"/>
      </w:pPr>
    </w:lvl>
  </w:abstractNum>
  <w:num w:numId="1">
    <w:abstractNumId w:val="9"/>
  </w:num>
  <w:num w:numId="2">
    <w:abstractNumId w:val="9"/>
  </w:num>
  <w:num w:numId="3">
    <w:abstractNumId w:val="7"/>
  </w:num>
  <w:num w:numId="4">
    <w:abstractNumId w:val="7"/>
  </w:num>
  <w:num w:numId="5">
    <w:abstractNumId w:val="6"/>
  </w:num>
  <w:num w:numId="6">
    <w:abstractNumId w:val="6"/>
  </w:num>
  <w:num w:numId="7">
    <w:abstractNumId w:val="5"/>
  </w:num>
  <w:num w:numId="8">
    <w:abstractNumId w:val="5"/>
  </w:num>
  <w:num w:numId="9">
    <w:abstractNumId w:val="4"/>
  </w:num>
  <w:num w:numId="10">
    <w:abstractNumId w:val="4"/>
  </w:num>
  <w:num w:numId="11">
    <w:abstractNumId w:val="8"/>
  </w:num>
  <w:num w:numId="12">
    <w:abstractNumId w:val="8"/>
  </w:num>
  <w:num w:numId="13">
    <w:abstractNumId w:val="3"/>
  </w:num>
  <w:num w:numId="14">
    <w:abstractNumId w:val="3"/>
  </w:num>
  <w:num w:numId="15">
    <w:abstractNumId w:val="2"/>
  </w:num>
  <w:num w:numId="16">
    <w:abstractNumId w:val="2"/>
  </w:num>
  <w:num w:numId="17">
    <w:abstractNumId w:val="1"/>
  </w:num>
  <w:num w:numId="18">
    <w:abstractNumId w:val="1"/>
  </w:num>
  <w:num w:numId="19">
    <w:abstractNumId w:val="0"/>
  </w:num>
  <w:num w:numId="20">
    <w:abstractNumId w:val="0"/>
  </w:num>
  <w:num w:numId="21">
    <w:abstractNumId w:val="9"/>
  </w:num>
  <w:num w:numId="22">
    <w:abstractNumId w:val="7"/>
  </w:num>
  <w:num w:numId="23">
    <w:abstractNumId w:val="6"/>
  </w:num>
  <w:num w:numId="24">
    <w:abstractNumId w:val="5"/>
  </w:num>
  <w:num w:numId="25">
    <w:abstractNumId w:val="4"/>
  </w:num>
  <w:num w:numId="26">
    <w:abstractNumId w:val="8"/>
  </w:num>
  <w:num w:numId="27">
    <w:abstractNumId w:val="3"/>
  </w:num>
  <w:num w:numId="28">
    <w:abstractNumId w:val="2"/>
  </w:num>
  <w:num w:numId="29">
    <w:abstractNumId w:val="1"/>
  </w:num>
  <w:num w:numId="30">
    <w:abstractNumId w:val="0"/>
  </w:num>
  <w:num w:numId="31">
    <w:abstractNumId w:val="9"/>
  </w:num>
  <w:num w:numId="32">
    <w:abstractNumId w:val="7"/>
  </w:num>
  <w:num w:numId="33">
    <w:abstractNumId w:val="6"/>
  </w:num>
  <w:num w:numId="34">
    <w:abstractNumId w:val="5"/>
  </w:num>
  <w:num w:numId="35">
    <w:abstractNumId w:val="4"/>
  </w:num>
  <w:num w:numId="36">
    <w:abstractNumId w:val="8"/>
  </w:num>
  <w:num w:numId="37">
    <w:abstractNumId w:val="3"/>
  </w:num>
  <w:num w:numId="38">
    <w:abstractNumId w:val="2"/>
  </w:num>
  <w:num w:numId="39">
    <w:abstractNumId w:val="1"/>
  </w:num>
  <w:num w:numId="40">
    <w:abstractNumId w:val="0"/>
  </w:num>
  <w:num w:numId="41">
    <w:abstractNumId w:val="10"/>
  </w:num>
  <w:num w:numId="42">
    <w:abstractNumId w:val="10"/>
  </w:num>
  <w:num w:numId="43">
    <w:abstractNumId w:val="10"/>
  </w:num>
  <w:num w:numId="44">
    <w:abstractNumId w:val="13"/>
  </w:num>
  <w:num w:numId="45">
    <w:abstractNumId w:val="11"/>
  </w:num>
  <w:num w:numId="46">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se="http://schemas.microsoft.com/office/word/2015/wordml/symex" xmlns:sl="http://schemas.openxmlformats.org/schemaLibrary/2006/main" mc:Ignorable="w14 w15 w16se">
  <w:zoom w:percent="90"/>
  <w:mirrorMargins/>
  <w:bordersDoNotSurroundHeader/>
  <w:bordersDoNotSurroundFooter/>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efaultTabStop w:val="567"/>
  <w:hyphenationZone w:val="396"/>
  <w:doNotHyphenateCaps/>
  <w:drawingGridHorizontalSpacing w:val="0"/>
  <w:drawingGridVerticalSpacing w:val="0"/>
  <w:displayHorizontalDrawingGridEvery w:val="0"/>
  <w:displayVerticalDrawingGridEvery w:val="0"/>
  <w:doNotUseMarginsForDrawingGridOrigin/>
  <w:drawingGridHorizontalOrigin w:val="0"/>
  <w:drawingGridVerticalOrigin w:val="0"/>
  <w:doNotShadeFormData/>
  <w:noPunctuationKerning/>
  <w:characterSpacingControl w:val="doNotCompress"/>
  <w:footnotePr>
    <w:numRestart w:val="eachPage"/>
    <w:footnote w:id="-1"/>
    <w:footnote w:id="0"/>
  </w:footnotePr>
  <w:endnotePr>
    <w:numFmt w:val="decimal"/>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docVars>
    <w:docVar w:name="dvdocse" w:val="B10-0191/2024"/>
    <w:docVar w:name="dvlangue" w:val="EL"/>
    <w:docVar w:name="dvnumam" w:val="0"/>
    <w:docVar w:name="dvpe" w:val="766.505"/>
    <w:docVar w:name="dvtitre" w:val="Ψήφισμα του Ευρωπαϊκού Κοινοβουλίου σχετικά με την ενίσχυση της ακλόνητης υποστήριξης της ΕΕ προς την Ουκρανία κατά του επιθετικού πολέμου της Ρωσίας και της αυξανόμενης στρατιωτικής συνεργασίας μεταξύ της Βόρειας Κορέας και της Ρωσίας(2024/2940(RSP))"/>
  </w:docVars>
  <w:rsids>
    <w:rsidRoot w:val="00DB5DF8"/>
    <w:rsid w:val="00002272"/>
    <w:rsid w:val="00064002"/>
    <w:rsid w:val="000677B9"/>
    <w:rsid w:val="000831BA"/>
    <w:rsid w:val="00090908"/>
    <w:rsid w:val="000A42CC"/>
    <w:rsid w:val="000E7DD9"/>
    <w:rsid w:val="0010095E"/>
    <w:rsid w:val="00125B37"/>
    <w:rsid w:val="00187494"/>
    <w:rsid w:val="001F32AE"/>
    <w:rsid w:val="002767FF"/>
    <w:rsid w:val="002B18FE"/>
    <w:rsid w:val="002B5493"/>
    <w:rsid w:val="00343214"/>
    <w:rsid w:val="00361C00"/>
    <w:rsid w:val="00395FA1"/>
    <w:rsid w:val="003E15D4"/>
    <w:rsid w:val="00411CCE"/>
    <w:rsid w:val="0041666E"/>
    <w:rsid w:val="00421060"/>
    <w:rsid w:val="00471C19"/>
    <w:rsid w:val="004867E3"/>
    <w:rsid w:val="00494A28"/>
    <w:rsid w:val="004C0004"/>
    <w:rsid w:val="004C5D52"/>
    <w:rsid w:val="004F311B"/>
    <w:rsid w:val="0050519A"/>
    <w:rsid w:val="005072A1"/>
    <w:rsid w:val="00514517"/>
    <w:rsid w:val="00545827"/>
    <w:rsid w:val="00560270"/>
    <w:rsid w:val="005C2568"/>
    <w:rsid w:val="005D5C4E"/>
    <w:rsid w:val="005F1B17"/>
    <w:rsid w:val="005F433A"/>
    <w:rsid w:val="006037C0"/>
    <w:rsid w:val="006631B6"/>
    <w:rsid w:val="00680577"/>
    <w:rsid w:val="006F74FA"/>
    <w:rsid w:val="00731ADD"/>
    <w:rsid w:val="00734777"/>
    <w:rsid w:val="00747932"/>
    <w:rsid w:val="00751A4A"/>
    <w:rsid w:val="00756632"/>
    <w:rsid w:val="00762C74"/>
    <w:rsid w:val="00786EC0"/>
    <w:rsid w:val="007D1690"/>
    <w:rsid w:val="007E22AD"/>
    <w:rsid w:val="00817416"/>
    <w:rsid w:val="00842779"/>
    <w:rsid w:val="00865F67"/>
    <w:rsid w:val="00881A7B"/>
    <w:rsid w:val="008840E5"/>
    <w:rsid w:val="00884941"/>
    <w:rsid w:val="00887B3E"/>
    <w:rsid w:val="008C2AC6"/>
    <w:rsid w:val="00930C23"/>
    <w:rsid w:val="0093193B"/>
    <w:rsid w:val="009509D8"/>
    <w:rsid w:val="00950B64"/>
    <w:rsid w:val="00981893"/>
    <w:rsid w:val="00A1687D"/>
    <w:rsid w:val="00A43E52"/>
    <w:rsid w:val="00A4678D"/>
    <w:rsid w:val="00A778C7"/>
    <w:rsid w:val="00AB441E"/>
    <w:rsid w:val="00AB6293"/>
    <w:rsid w:val="00AE0928"/>
    <w:rsid w:val="00AF3B82"/>
    <w:rsid w:val="00B12E95"/>
    <w:rsid w:val="00B22876"/>
    <w:rsid w:val="00B558F0"/>
    <w:rsid w:val="00BD48FE"/>
    <w:rsid w:val="00BD7BD8"/>
    <w:rsid w:val="00BE6ADC"/>
    <w:rsid w:val="00C05BFE"/>
    <w:rsid w:val="00C23CD4"/>
    <w:rsid w:val="00C61C0C"/>
    <w:rsid w:val="00C941CB"/>
    <w:rsid w:val="00CC2357"/>
    <w:rsid w:val="00CF071A"/>
    <w:rsid w:val="00D058B8"/>
    <w:rsid w:val="00D56C11"/>
    <w:rsid w:val="00D834A0"/>
    <w:rsid w:val="00D872DF"/>
    <w:rsid w:val="00D91E21"/>
    <w:rsid w:val="00DA7FCD"/>
    <w:rsid w:val="00DB5DF8"/>
    <w:rsid w:val="00E365E1"/>
    <w:rsid w:val="00E820A4"/>
    <w:rsid w:val="00EB006A"/>
    <w:rsid w:val="00EB4772"/>
    <w:rsid w:val="00ED169E"/>
    <w:rsid w:val="00ED4235"/>
    <w:rsid w:val="00EF365E"/>
    <w:rsid w:val="00F03145"/>
    <w:rsid w:val="00F04346"/>
    <w:rsid w:val="00F075DC"/>
    <w:rsid w:val="00F149E9"/>
    <w:rsid w:val="00F5134D"/>
    <w:rsid w:val="00F52AE5"/>
    <w:rsid w:val="00F74202"/>
    <w:rsid w:val="00F87713"/>
    <w:rsid w:val="00FB4360"/>
    <w:rsid w:val="00FD0C70"/>
  </w:rsids>
  <m:mathPr>
    <m:mathFont m:val="Cambria Math"/>
    <m:brkBin m:val="before"/>
    <m:brkBinSub m:val="--"/>
    <m:smallFrac m:val="0"/>
    <m:dispDef/>
    <m:lMargin m:val="0"/>
    <m:rMargin m:val="0"/>
    <m:defJc m:val="centerGroup"/>
    <m:wrapIndent m:val="1440"/>
    <m:intLim m:val="subSup"/>
    <m:naryLim m:val="undOvr"/>
  </m:mathPr>
  <w:themeFontLang w:val="en-GB" w:eastAsia="ja-JP" w:bidi="lo-LA"/>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1026"/>
    <o:shapelayout v:ext="edit">
      <o:idmap v:ext="edit" data="1"/>
    </o:shapelayout>
  </w:shapeDefaults>
  <w:decimalSymbol w:val=","/>
  <w:listSeparator w:val=";"/>
  <w15:chartTrackingRefBased/>
  <w15:docId w15:val="{74F8B094-E4AA-4BD8-937C-C112D9FA47A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docDefaults>
    <w:rPrDefault>
      <w:rPr>
        <w:rFonts w:ascii="Times New Roman" w:eastAsia="Times New Roman" w:hAnsi="Times New Roman" w:cs="Times New Roman"/>
        <w:lang w:val="en-GB" w:eastAsia="en-GB" w:bidi="ar-SA"/>
      </w:rPr>
    </w:rPrDefault>
    <w:pPrDefault/>
  </w:docDefaults>
  <w:latentStyles w:defLockedState="0" w:defUIPriority="0" w:defSemiHidden="0" w:defUnhideWhenUsed="0" w:defQFormat="0" w:count="371">
    <w:lsdException w:name="Normal" w:qFormat="1"/>
    <w:lsdException w:name="heading 1" w:qFormat="1"/>
    <w:lsdException w:name="heading 2" w:qFormat="1"/>
    <w:lsdException w:name="heading 3" w:qFormat="1"/>
    <w:lsdException w:name="heading 4" w:qFormat="1"/>
    <w:lsdException w:name="heading 5" w:qFormat="1"/>
    <w:lsdException w:name="heading 6" w:qFormat="1"/>
    <w:lsdException w:name="heading 7" w:qFormat="1"/>
    <w:lsdException w:name="heading 8" w:qFormat="1"/>
    <w:lsdException w:name="heading 9" w:qFormat="1"/>
    <w:lsdException w:name="caption" w:semiHidden="1" w:unhideWhenUsed="1" w:qFormat="1"/>
    <w:lsdException w:name="Title" w:qFormat="1"/>
    <w:lsdException w:name="Subtitle" w:qFormat="1"/>
    <w:lsdException w:name="Strong" w:qFormat="1"/>
    <w:lsdException w:name="Emphasis" w:qFormat="1"/>
    <w:lsdException w:name="Normal Table" w:semiHidden="1" w:unhideWhenUsed="1"/>
    <w:lsdException w:name="No List" w:uiPriority="99"/>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uiPriority="39"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DA7FCD"/>
    <w:pPr>
      <w:widowControl w:val="0"/>
    </w:pPr>
    <w:rPr>
      <w:sz w:val="24"/>
      <w:lang w:val="el-GR"/>
    </w:rPr>
  </w:style>
  <w:style w:type="paragraph" w:styleId="Heading1">
    <w:name w:val="heading 1"/>
    <w:basedOn w:val="Normal"/>
    <w:next w:val="Normal"/>
    <w:semiHidden/>
    <w:qFormat/>
    <w:rsid w:val="00395FA1"/>
    <w:pPr>
      <w:keepNext/>
      <w:keepLines/>
      <w:widowControl/>
      <w:spacing w:after="120"/>
      <w:ind w:left="510" w:hanging="510"/>
      <w:outlineLvl w:val="0"/>
    </w:pPr>
    <w:rPr>
      <w:b/>
      <w:kern w:val="28"/>
      <w:sz w:val="28"/>
      <w:lang w:val="fr-FR" w:eastAsia="fr-FR"/>
    </w:rPr>
  </w:style>
  <w:style w:type="paragraph" w:styleId="Heading2">
    <w:name w:val="heading 2"/>
    <w:basedOn w:val="Normal"/>
    <w:next w:val="Normal"/>
    <w:semiHidden/>
    <w:qFormat/>
    <w:rsid w:val="00395FA1"/>
    <w:pPr>
      <w:keepNext/>
      <w:widowControl/>
      <w:numPr>
        <w:ilvl w:val="1"/>
        <w:numId w:val="43"/>
      </w:numPr>
      <w:spacing w:before="240" w:after="60"/>
      <w:outlineLvl w:val="1"/>
    </w:pPr>
    <w:rPr>
      <w:lang w:val="fr-FR" w:eastAsia="fr-FR"/>
    </w:rPr>
  </w:style>
  <w:style w:type="paragraph" w:styleId="Heading3">
    <w:name w:val="heading 3"/>
    <w:basedOn w:val="Normal"/>
    <w:next w:val="Normal"/>
    <w:semiHidden/>
    <w:qFormat/>
    <w:rsid w:val="00395FA1"/>
    <w:pPr>
      <w:keepNext/>
      <w:widowControl/>
      <w:numPr>
        <w:ilvl w:val="2"/>
        <w:numId w:val="43"/>
      </w:numPr>
      <w:spacing w:before="240" w:after="60"/>
      <w:outlineLvl w:val="2"/>
    </w:pPr>
    <w:rPr>
      <w:rFonts w:ascii="Arial" w:hAnsi="Arial"/>
      <w:lang w:val="fr-FR" w:eastAsia="fr-FR"/>
    </w:rPr>
  </w:style>
  <w:style w:type="paragraph" w:styleId="Heading4">
    <w:name w:val="heading 4"/>
    <w:basedOn w:val="Normal"/>
    <w:next w:val="Normal"/>
    <w:semiHidden/>
    <w:qFormat/>
    <w:rsid w:val="00395FA1"/>
    <w:pPr>
      <w:keepNext/>
      <w:widowControl/>
      <w:numPr>
        <w:ilvl w:val="3"/>
        <w:numId w:val="43"/>
      </w:numPr>
      <w:spacing w:before="240" w:after="60"/>
      <w:outlineLvl w:val="3"/>
    </w:pPr>
    <w:rPr>
      <w:lang w:val="en-US" w:eastAsia="fr-FR"/>
    </w:rPr>
  </w:style>
  <w:style w:type="paragraph" w:styleId="Heading5">
    <w:name w:val="heading 5"/>
    <w:basedOn w:val="Normal"/>
    <w:next w:val="Normal"/>
    <w:semiHidden/>
    <w:qFormat/>
    <w:rsid w:val="00395FA1"/>
    <w:pPr>
      <w:widowControl/>
      <w:numPr>
        <w:ilvl w:val="4"/>
        <w:numId w:val="44"/>
      </w:numPr>
      <w:spacing w:before="240" w:after="60"/>
      <w:outlineLvl w:val="4"/>
    </w:pPr>
    <w:rPr>
      <w:lang w:val="en-US" w:eastAsia="fr-FR"/>
    </w:rPr>
  </w:style>
  <w:style w:type="paragraph" w:styleId="Heading6">
    <w:name w:val="heading 6"/>
    <w:basedOn w:val="Normal"/>
    <w:next w:val="Normal"/>
    <w:semiHidden/>
    <w:qFormat/>
    <w:pPr>
      <w:spacing w:before="240" w:after="60"/>
      <w:outlineLvl w:val="5"/>
    </w:pPr>
    <w:rPr>
      <w:i/>
      <w:sz w:val="22"/>
    </w:rPr>
  </w:style>
  <w:style w:type="paragraph" w:styleId="Heading7">
    <w:name w:val="heading 7"/>
    <w:basedOn w:val="Normal"/>
    <w:next w:val="Normal"/>
    <w:semiHidden/>
    <w:qFormat/>
    <w:pPr>
      <w:spacing w:before="240" w:after="60"/>
      <w:outlineLvl w:val="6"/>
    </w:pPr>
    <w:rPr>
      <w:rFonts w:ascii="Arial" w:hAnsi="Arial"/>
    </w:rPr>
  </w:style>
  <w:style w:type="paragraph" w:styleId="Heading8">
    <w:name w:val="heading 8"/>
    <w:basedOn w:val="Normal"/>
    <w:next w:val="Normal"/>
    <w:semiHidden/>
    <w:qFormat/>
    <w:pPr>
      <w:spacing w:before="240" w:after="60"/>
      <w:outlineLvl w:val="7"/>
    </w:pPr>
    <w:rPr>
      <w:rFonts w:ascii="Arial" w:hAnsi="Arial"/>
      <w:i/>
    </w:rPr>
  </w:style>
  <w:style w:type="paragraph" w:styleId="Heading9">
    <w:name w:val="heading 9"/>
    <w:basedOn w:val="Normal"/>
    <w:next w:val="Normal"/>
    <w:semiHidden/>
    <w:qFormat/>
    <w:pPr>
      <w:spacing w:before="240" w:after="60"/>
      <w:outlineLvl w:val="8"/>
    </w:pPr>
    <w:rPr>
      <w:rFonts w:ascii="Arial" w:hAnsi="Arial"/>
      <w:b/>
      <w:i/>
      <w:sz w:val="18"/>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ideTWBExt">
    <w:name w:val="HideTWBExt"/>
    <w:rPr>
      <w:rFonts w:ascii="Arial" w:hAnsi="Arial"/>
      <w:noProof/>
      <w:vanish/>
      <w:color w:val="000080"/>
      <w:sz w:val="20"/>
    </w:rPr>
  </w:style>
  <w:style w:type="paragraph" w:styleId="TOC1">
    <w:name w:val="toc 1"/>
    <w:basedOn w:val="Normal"/>
    <w:next w:val="Normal"/>
    <w:autoRedefine/>
    <w:semiHidden/>
    <w:rsid w:val="00395FA1"/>
    <w:pPr>
      <w:keepNext/>
      <w:keepLines/>
      <w:widowControl/>
      <w:spacing w:before="200"/>
    </w:pPr>
    <w:rPr>
      <w:b/>
      <w:noProof/>
      <w:lang w:val="fr-FR" w:eastAsia="fr-FR"/>
    </w:rPr>
  </w:style>
  <w:style w:type="character" w:customStyle="1" w:styleId="HideTWBInt">
    <w:name w:val="HideTWBInt"/>
    <w:rPr>
      <w:rFonts w:ascii="Arial" w:hAnsi="Arial" w:cs="Arial"/>
      <w:vanish/>
      <w:color w:val="808080"/>
      <w:sz w:val="20"/>
    </w:rPr>
  </w:style>
  <w:style w:type="paragraph" w:customStyle="1" w:styleId="EPBodyTA2">
    <w:name w:val="EPBodyTA2"/>
    <w:basedOn w:val="Normal"/>
    <w:rsid w:val="00AE0928"/>
    <w:pPr>
      <w:jc w:val="center"/>
    </w:pPr>
    <w:rPr>
      <w:rFonts w:ascii="Arial" w:hAnsi="Arial"/>
      <w:bCs/>
      <w:i/>
      <w:sz w:val="20"/>
    </w:rPr>
  </w:style>
  <w:style w:type="table" w:styleId="TableGrid">
    <w:name w:val="Table Grid"/>
    <w:basedOn w:val="TableNormal"/>
    <w:rsid w:val="00D058B8"/>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EPBodyTA1">
    <w:name w:val="EPBodyTA1"/>
    <w:basedOn w:val="Normal"/>
    <w:rsid w:val="00AE0928"/>
    <w:pPr>
      <w:jc w:val="center"/>
    </w:pPr>
    <w:rPr>
      <w:rFonts w:ascii="Arial" w:hAnsi="Arial" w:cs="Arial"/>
      <w:b/>
      <w:sz w:val="22"/>
      <w:szCs w:val="22"/>
    </w:rPr>
  </w:style>
  <w:style w:type="paragraph" w:customStyle="1" w:styleId="LineTop">
    <w:name w:val="LineTop"/>
    <w:basedOn w:val="Normal"/>
    <w:next w:val="Normal"/>
    <w:rsid w:val="00D058B8"/>
    <w:pPr>
      <w:pBdr>
        <w:top w:val="single" w:sz="4" w:space="1" w:color="auto"/>
      </w:pBdr>
      <w:jc w:val="center"/>
    </w:pPr>
    <w:rPr>
      <w:rFonts w:ascii="Arial" w:hAnsi="Arial" w:cs="Arial"/>
      <w:sz w:val="16"/>
      <w:szCs w:val="16"/>
    </w:rPr>
  </w:style>
  <w:style w:type="paragraph" w:customStyle="1" w:styleId="LineBottom">
    <w:name w:val="LineBottom"/>
    <w:basedOn w:val="Normal"/>
    <w:next w:val="Normal"/>
    <w:rsid w:val="00A1687D"/>
    <w:pPr>
      <w:pBdr>
        <w:bottom w:val="single" w:sz="4" w:space="1" w:color="auto"/>
      </w:pBdr>
      <w:spacing w:after="240"/>
      <w:jc w:val="center"/>
    </w:pPr>
    <w:rPr>
      <w:rFonts w:ascii="Arial" w:hAnsi="Arial" w:cs="Arial"/>
      <w:sz w:val="16"/>
      <w:szCs w:val="16"/>
    </w:rPr>
  </w:style>
  <w:style w:type="paragraph" w:customStyle="1" w:styleId="ATHeading1">
    <w:name w:val="AT Heading 1"/>
    <w:basedOn w:val="Normal"/>
    <w:next w:val="Normal"/>
    <w:rsid w:val="00F5134D"/>
    <w:pPr>
      <w:keepNext/>
      <w:keepLines/>
      <w:widowControl/>
      <w:spacing w:before="480" w:after="120"/>
      <w:outlineLvl w:val="0"/>
    </w:pPr>
    <w:rPr>
      <w:b/>
      <w:sz w:val="28"/>
      <w:lang w:eastAsia="fr-FR"/>
    </w:rPr>
  </w:style>
  <w:style w:type="paragraph" w:customStyle="1" w:styleId="ATHeading2">
    <w:name w:val="AT Heading 2"/>
    <w:basedOn w:val="Normal"/>
    <w:next w:val="Normal"/>
    <w:rsid w:val="00395FA1"/>
    <w:pPr>
      <w:widowControl/>
      <w:spacing w:before="120" w:after="120"/>
      <w:outlineLvl w:val="1"/>
    </w:pPr>
    <w:rPr>
      <w:b/>
      <w:sz w:val="28"/>
      <w:lang w:eastAsia="fr-FR"/>
    </w:rPr>
  </w:style>
  <w:style w:type="paragraph" w:customStyle="1" w:styleId="ATHeading3">
    <w:name w:val="AT Heading 3"/>
    <w:basedOn w:val="Normal"/>
    <w:next w:val="Normal"/>
    <w:rsid w:val="00395FA1"/>
    <w:pPr>
      <w:keepNext/>
      <w:keepLines/>
      <w:widowControl/>
      <w:spacing w:before="120" w:after="120"/>
      <w:outlineLvl w:val="2"/>
    </w:pPr>
    <w:rPr>
      <w:b/>
      <w:lang w:eastAsia="fr-FR"/>
    </w:rPr>
  </w:style>
  <w:style w:type="paragraph" w:customStyle="1" w:styleId="ATHeadingMotiv">
    <w:name w:val="AT Heading Motiv"/>
    <w:basedOn w:val="Normal"/>
    <w:next w:val="Normal"/>
    <w:rsid w:val="00395FA1"/>
    <w:pPr>
      <w:keepNext/>
      <w:widowControl/>
      <w:spacing w:before="60" w:after="60"/>
      <w:jc w:val="center"/>
    </w:pPr>
    <w:rPr>
      <w:i/>
      <w:lang w:eastAsia="fr-FR"/>
    </w:rPr>
  </w:style>
  <w:style w:type="character" w:styleId="FootnoteReference">
    <w:name w:val="footnote reference"/>
    <w:rsid w:val="00395FA1"/>
    <w:rPr>
      <w:b w:val="0"/>
      <w:vertAlign w:val="superscript"/>
    </w:rPr>
  </w:style>
  <w:style w:type="paragraph" w:styleId="FootnoteText">
    <w:name w:val="footnote text"/>
    <w:basedOn w:val="Normal"/>
    <w:link w:val="FootnoteTextChar"/>
    <w:rsid w:val="00395FA1"/>
    <w:pPr>
      <w:keepLines/>
      <w:widowControl/>
      <w:spacing w:line="260" w:lineRule="exact"/>
      <w:ind w:left="425" w:hanging="425"/>
    </w:pPr>
    <w:rPr>
      <w:sz w:val="22"/>
      <w:lang w:val="fr-FR" w:eastAsia="fr-FR"/>
    </w:rPr>
  </w:style>
  <w:style w:type="character" w:customStyle="1" w:styleId="FootnoteTextChar">
    <w:name w:val="Footnote Text Char"/>
    <w:link w:val="FootnoteText"/>
    <w:rsid w:val="00762C74"/>
    <w:rPr>
      <w:sz w:val="22"/>
      <w:lang w:val="fr-FR" w:eastAsia="fr-FR"/>
    </w:rPr>
  </w:style>
  <w:style w:type="character" w:styleId="PageNumber">
    <w:name w:val="page number"/>
    <w:semiHidden/>
    <w:rsid w:val="00395FA1"/>
  </w:style>
  <w:style w:type="paragraph" w:styleId="TOC2">
    <w:name w:val="toc 2"/>
    <w:basedOn w:val="Normal"/>
    <w:next w:val="Normal"/>
    <w:autoRedefine/>
    <w:semiHidden/>
    <w:rsid w:val="00395FA1"/>
    <w:pPr>
      <w:keepNext/>
      <w:keepLines/>
      <w:widowControl/>
    </w:pPr>
    <w:rPr>
      <w:b/>
      <w:noProof/>
      <w:lang w:val="fr-FR" w:eastAsia="fr-FR"/>
    </w:rPr>
  </w:style>
  <w:style w:type="paragraph" w:styleId="TOC3">
    <w:name w:val="toc 3"/>
    <w:basedOn w:val="Normal"/>
    <w:next w:val="Normal"/>
    <w:autoRedefine/>
    <w:semiHidden/>
    <w:rsid w:val="00395FA1"/>
    <w:pPr>
      <w:keepLines/>
      <w:widowControl/>
      <w:ind w:right="510"/>
    </w:pPr>
    <w:rPr>
      <w:noProof/>
      <w:lang w:val="fr-FR" w:eastAsia="fr-FR"/>
    </w:rPr>
  </w:style>
  <w:style w:type="paragraph" w:customStyle="1" w:styleId="EPName">
    <w:name w:val="EPName"/>
    <w:basedOn w:val="Normal"/>
    <w:rsid w:val="00751A4A"/>
    <w:pPr>
      <w:spacing w:before="80" w:after="80"/>
    </w:pPr>
    <w:rPr>
      <w:rFonts w:ascii="Arial Narrow" w:hAnsi="Arial Narrow" w:cs="Arial"/>
      <w:b/>
      <w:sz w:val="32"/>
      <w:szCs w:val="22"/>
    </w:rPr>
  </w:style>
  <w:style w:type="paragraph" w:customStyle="1" w:styleId="EPTerm">
    <w:name w:val="EPTerm"/>
    <w:basedOn w:val="Normal"/>
    <w:next w:val="Normal"/>
    <w:rsid w:val="00751A4A"/>
    <w:pPr>
      <w:spacing w:after="80"/>
    </w:pPr>
    <w:rPr>
      <w:rFonts w:ascii="Arial" w:hAnsi="Arial" w:cs="Arial"/>
      <w:sz w:val="20"/>
      <w:szCs w:val="22"/>
    </w:rPr>
  </w:style>
  <w:style w:type="paragraph" w:customStyle="1" w:styleId="EPLogo">
    <w:name w:val="EPLogo"/>
    <w:basedOn w:val="Normal"/>
    <w:qFormat/>
    <w:rsid w:val="00751A4A"/>
    <w:pPr>
      <w:jc w:val="right"/>
    </w:pPr>
  </w:style>
  <w:style w:type="paragraph" w:customStyle="1" w:styleId="NormalBold">
    <w:name w:val="NormalBold"/>
    <w:basedOn w:val="Normal"/>
    <w:rsid w:val="00EF365E"/>
    <w:rPr>
      <w:b/>
    </w:rPr>
  </w:style>
  <w:style w:type="paragraph" w:customStyle="1" w:styleId="NormalHanging12a">
    <w:name w:val="NormalHanging12a"/>
    <w:basedOn w:val="Normal"/>
    <w:rsid w:val="00EF365E"/>
    <w:pPr>
      <w:spacing w:after="240"/>
      <w:ind w:left="567" w:hanging="567"/>
    </w:pPr>
  </w:style>
  <w:style w:type="paragraph" w:customStyle="1" w:styleId="EPComma">
    <w:name w:val="EPComma"/>
    <w:basedOn w:val="Normal"/>
    <w:link w:val="EPCommaChar"/>
    <w:rsid w:val="00EF365E"/>
    <w:pPr>
      <w:spacing w:before="480" w:after="240"/>
    </w:pPr>
  </w:style>
  <w:style w:type="character" w:customStyle="1" w:styleId="Aucun">
    <w:name w:val="Aucun"/>
    <w:rsid w:val="00EF365E"/>
  </w:style>
  <w:style w:type="character" w:customStyle="1" w:styleId="EPCommaChar">
    <w:name w:val="EPComma Char"/>
    <w:basedOn w:val="DefaultParagraphFont"/>
    <w:link w:val="EPComma"/>
    <w:rsid w:val="00EF365E"/>
    <w:rPr>
      <w:sz w:val="24"/>
      <w:lang w:val="el-GR"/>
    </w:rPr>
  </w:style>
  <w:style w:type="character" w:styleId="Hyperlink">
    <w:name w:val="Hyperlink"/>
    <w:basedOn w:val="DefaultParagraphFont"/>
    <w:rsid w:val="00EF365E"/>
    <w:rPr>
      <w:color w:val="0563C1" w:themeColor="hyperlink"/>
      <w:u w:val="single"/>
    </w:rPr>
  </w:style>
  <w:style w:type="paragraph" w:styleId="BalloonText">
    <w:name w:val="Balloon Text"/>
    <w:basedOn w:val="Normal"/>
    <w:link w:val="BalloonTextChar"/>
    <w:rsid w:val="005F433A"/>
    <w:rPr>
      <w:rFonts w:ascii="Segoe UI" w:hAnsi="Segoe UI" w:cs="Segoe UI"/>
      <w:sz w:val="18"/>
      <w:szCs w:val="18"/>
    </w:rPr>
  </w:style>
  <w:style w:type="character" w:customStyle="1" w:styleId="BalloonTextChar">
    <w:name w:val="Balloon Text Char"/>
    <w:basedOn w:val="DefaultParagraphFont"/>
    <w:link w:val="BalloonText"/>
    <w:rsid w:val="005F433A"/>
    <w:rPr>
      <w:rFonts w:ascii="Segoe UI" w:hAnsi="Segoe UI" w:cs="Segoe UI"/>
      <w:sz w:val="18"/>
      <w:szCs w:val="18"/>
      <w:lang w:val="el-GR"/>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se="http://schemas.microsoft.com/office/word/2015/wordml/symex" mc:Ignorable="w14 w15 w16se">
  <w:optimizeForBrowser/>
</w:webSettings>
</file>

<file path=word/_rels/document.xml.rels><?xml version="1.0" encoding="UTF-8" standalone="yes"?>
<Relationships xmlns="http://schemas.openxmlformats.org/package/2006/relationships"><Relationship Id="rId8" Type="http://schemas.openxmlformats.org/officeDocument/2006/relationships/image" Target="media/image1.png"/><Relationship Id="rId13" Type="http://schemas.openxmlformats.org/officeDocument/2006/relationships/header" Target="head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6"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fontTable" Target="fontTable.xml"/><Relationship Id="rId10" Type="http://schemas.openxmlformats.org/officeDocument/2006/relationships/header" Target="header2.xml"/><Relationship Id="rId4" Type="http://schemas.openxmlformats.org/officeDocument/2006/relationships/settings" Target="settings.xml"/><Relationship Id="rId9" Type="http://schemas.openxmlformats.org/officeDocument/2006/relationships/header" Target="header1.xml"/><Relationship Id="rId14" Type="http://schemas.openxmlformats.org/officeDocument/2006/relationships/footer" Target="footer3.xml"/></Relationships>
</file>

<file path=word/_rels/footnotes.xml.rels><?xml version="1.0" encoding="UTF-8" standalone="yes"?>
<Relationships xmlns="http://schemas.openxmlformats.org/package/2006/relationships"><Relationship Id="rId1" Type="http://schemas.openxmlformats.org/officeDocument/2006/relationships/hyperlink" Target="http://data.europa.eu/eli/C/2024/6129/oj"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76FEF5AB-7765-47FB-8683-74935A36056E}">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1</TotalTime>
  <Pages>12</Pages>
  <Words>5835</Words>
  <Characters>33263</Characters>
  <Application>Microsoft Office Word</Application>
  <DocSecurity>0</DocSecurity>
  <Lines>277</Lines>
  <Paragraphs>78</Paragraphs>
  <ScaleCrop>false</ScaleCrop>
  <HeadingPairs>
    <vt:vector size="2" baseType="variant">
      <vt:variant>
        <vt:lpstr>Title</vt:lpstr>
      </vt:variant>
      <vt:variant>
        <vt:i4>1</vt:i4>
      </vt:variant>
    </vt:vector>
  </HeadingPairs>
  <TitlesOfParts>
    <vt:vector size="1" baseType="lpstr">
      <vt:lpstr>TA</vt:lpstr>
    </vt:vector>
  </TitlesOfParts>
  <Company/>
  <LinksUpToDate>false</LinksUpToDate>
  <CharactersWithSpaces>39020</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TA</dc:title>
  <dc:subject/>
  <dc:creator>RELFINAL Amalia</dc:creator>
  <cp:keywords/>
  <cp:lastModifiedBy>KOLOKYTHIA Amalia</cp:lastModifiedBy>
  <cp:revision>2</cp:revision>
  <cp:lastPrinted>2004-11-19T15:42:00Z</cp:lastPrinted>
  <dcterms:created xsi:type="dcterms:W3CDTF">2024-11-28T12:57:00Z</dcterms:created>
  <dcterms:modified xsi:type="dcterms:W3CDTF">2024-11-28T12:57:00Z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lt;Extension&gt;">
    <vt:lpwstr>EL</vt:lpwstr>
  </property>
  <property fmtid="{D5CDD505-2E9C-101B-9397-08002B2CF9AE}" pid="3" name="&lt;FdR&gt;">
    <vt:lpwstr>B10-0191/2024</vt:lpwstr>
  </property>
  <property fmtid="{D5CDD505-2E9C-101B-9397-08002B2CF9AE}" pid="4" name="&lt;Type&gt;">
    <vt:lpwstr>RR</vt:lpwstr>
  </property>
</Properties>
</file>