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4EAB" w14:paraId="732552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6BEE54" w14:textId="77777777" w:rsidR="00751A4A" w:rsidRPr="00754EAB" w:rsidRDefault="00CC7697" w:rsidP="0010095E">
            <w:pPr>
              <w:pStyle w:val="EPName"/>
            </w:pPr>
            <w:r w:rsidRPr="00754EAB">
              <w:t>Parlamento Europeu</w:t>
            </w:r>
          </w:p>
          <w:p w14:paraId="75A2C60F" w14:textId="77777777" w:rsidR="00751A4A" w:rsidRPr="00754E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EAB">
              <w:t>2024</w:t>
            </w:r>
            <w:r w:rsidR="00817416" w:rsidRPr="00754EAB">
              <w:t>-202</w:t>
            </w:r>
            <w:r w:rsidRPr="00754EAB">
              <w:t>9</w:t>
            </w:r>
          </w:p>
        </w:tc>
        <w:tc>
          <w:tcPr>
            <w:tcW w:w="2268" w:type="dxa"/>
            <w:shd w:val="clear" w:color="auto" w:fill="auto"/>
          </w:tcPr>
          <w:p w14:paraId="00951A79" w14:textId="77777777" w:rsidR="00751A4A" w:rsidRPr="00754EAB" w:rsidRDefault="00187494" w:rsidP="0010095E">
            <w:pPr>
              <w:pStyle w:val="EPLogo"/>
            </w:pPr>
            <w:r w:rsidRPr="00754EAB">
              <w:rPr>
                <w:noProof/>
                <w:lang w:val="en-GB"/>
              </w:rPr>
              <w:drawing>
                <wp:inline distT="0" distB="0" distL="0" distR="0" wp14:anchorId="59EFB7A6" wp14:editId="5C6538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BABDB" w14:textId="77777777" w:rsidR="00D058B8" w:rsidRPr="00754EAB" w:rsidRDefault="00D058B8" w:rsidP="004C5D52">
      <w:pPr>
        <w:pStyle w:val="LineTop"/>
      </w:pPr>
    </w:p>
    <w:p w14:paraId="7B5CD961" w14:textId="77777777" w:rsidR="00680577" w:rsidRPr="00754EAB" w:rsidRDefault="00CC7697" w:rsidP="00680577">
      <w:pPr>
        <w:pStyle w:val="EPBodyTA1"/>
      </w:pPr>
      <w:r w:rsidRPr="00754EAB">
        <w:t>TEXTOS APROVADOS</w:t>
      </w:r>
    </w:p>
    <w:p w14:paraId="340C62F0" w14:textId="77777777" w:rsidR="00D058B8" w:rsidRPr="00754EAB" w:rsidRDefault="00D058B8" w:rsidP="00D058B8">
      <w:pPr>
        <w:pStyle w:val="LineBottom"/>
      </w:pPr>
    </w:p>
    <w:p w14:paraId="5A3C5F09" w14:textId="3C06F2A2" w:rsidR="00CC7697" w:rsidRPr="00754EAB" w:rsidRDefault="00CC7697" w:rsidP="00CC7697">
      <w:pPr>
        <w:pStyle w:val="ATHeading1"/>
      </w:pPr>
      <w:bookmarkStart w:id="0" w:name="TANumber"/>
      <w:r w:rsidRPr="00754EAB">
        <w:t>P10_TA(2024)00</w:t>
      </w:r>
      <w:r w:rsidR="005307C2" w:rsidRPr="00754EAB">
        <w:t>5</w:t>
      </w:r>
      <w:bookmarkEnd w:id="0"/>
      <w:r w:rsidR="00BB0D4E">
        <w:t>5</w:t>
      </w:r>
      <w:bookmarkStart w:id="1" w:name="_GoBack"/>
      <w:bookmarkEnd w:id="1"/>
    </w:p>
    <w:p w14:paraId="5916D1E8" w14:textId="09EA6C4F" w:rsidR="00CC7697" w:rsidRPr="00754EAB" w:rsidRDefault="00CC7697" w:rsidP="005307C2">
      <w:pPr>
        <w:pStyle w:val="ATHeading2"/>
      </w:pPr>
      <w:bookmarkStart w:id="2" w:name="title"/>
      <w:r w:rsidRPr="00754EAB">
        <w:t xml:space="preserve">Reforço do apoio </w:t>
      </w:r>
      <w:r w:rsidR="00600B9A" w:rsidRPr="00754EAB">
        <w:t xml:space="preserve">inabalável </w:t>
      </w:r>
      <w:r w:rsidRPr="00754EAB">
        <w:t>da UE à Ucrânia contra a guerra de agressão da Rússia e a crescente</w:t>
      </w:r>
      <w:r w:rsidR="00195579" w:rsidRPr="00754EAB">
        <w:t xml:space="preserve"> </w:t>
      </w:r>
      <w:r w:rsidRPr="00754EAB">
        <w:t>cooperação militar entre a Coreia do Norte e a Rússia</w:t>
      </w:r>
      <w:bookmarkEnd w:id="2"/>
    </w:p>
    <w:p w14:paraId="5B7F91DD" w14:textId="77777777" w:rsidR="00CC7697" w:rsidRPr="00754EAB" w:rsidRDefault="00CC7697" w:rsidP="00CC7697">
      <w:pPr>
        <w:rPr>
          <w:i/>
          <w:vanish/>
        </w:rPr>
      </w:pPr>
      <w:r w:rsidRPr="00754EAB">
        <w:rPr>
          <w:i/>
        </w:rPr>
        <w:fldChar w:fldCharType="begin"/>
      </w:r>
      <w:r w:rsidRPr="00754EAB">
        <w:rPr>
          <w:i/>
        </w:rPr>
        <w:instrText xml:space="preserve"> TC"(</w:instrText>
      </w:r>
      <w:bookmarkStart w:id="3" w:name="DocNumber"/>
      <w:r w:rsidRPr="00754EAB">
        <w:rPr>
          <w:i/>
        </w:rPr>
        <w:instrText>B10-0191, 0192, 0193, 0198 e 0200/2024</w:instrText>
      </w:r>
      <w:bookmarkEnd w:id="3"/>
      <w:r w:rsidRPr="00754EAB">
        <w:rPr>
          <w:i/>
        </w:rPr>
        <w:instrText xml:space="preserve">)"\l3 \n&gt; \* MERGEFORMAT </w:instrText>
      </w:r>
      <w:r w:rsidRPr="00754EAB">
        <w:rPr>
          <w:i/>
        </w:rPr>
        <w:fldChar w:fldCharType="end"/>
      </w:r>
    </w:p>
    <w:p w14:paraId="480BAA4B" w14:textId="77777777" w:rsidR="00CC7697" w:rsidRPr="00754EAB" w:rsidRDefault="00CC7697" w:rsidP="00CC7697">
      <w:pPr>
        <w:rPr>
          <w:vanish/>
        </w:rPr>
      </w:pPr>
      <w:bookmarkStart w:id="4" w:name="PE"/>
      <w:r w:rsidRPr="00754EAB">
        <w:rPr>
          <w:vanish/>
        </w:rPr>
        <w:t>PE766.505</w:t>
      </w:r>
      <w:bookmarkEnd w:id="4"/>
    </w:p>
    <w:p w14:paraId="0290E561" w14:textId="26DE5528" w:rsidR="00CC7697" w:rsidRPr="00754EAB" w:rsidRDefault="00CC7697" w:rsidP="00CC7697">
      <w:pPr>
        <w:pStyle w:val="ATHeading3"/>
      </w:pPr>
      <w:bookmarkStart w:id="5" w:name="Sujet"/>
      <w:r w:rsidRPr="00754EAB">
        <w:t xml:space="preserve">Resolução do Parlamento Europeu, de </w:t>
      </w:r>
      <w:r w:rsidR="009F79C4" w:rsidRPr="00754EAB">
        <w:t>28</w:t>
      </w:r>
      <w:r w:rsidRPr="00754EAB">
        <w:t xml:space="preserve"> de </w:t>
      </w:r>
      <w:r w:rsidR="009F79C4" w:rsidRPr="00754EAB">
        <w:t>novembro</w:t>
      </w:r>
      <w:r w:rsidRPr="00754EAB">
        <w:t xml:space="preserve"> de 2024, sobre o reforço do apoio </w:t>
      </w:r>
      <w:r w:rsidR="00600B9A" w:rsidRPr="00754EAB">
        <w:t xml:space="preserve">inabalável </w:t>
      </w:r>
      <w:r w:rsidRPr="00754EAB">
        <w:t>da UE à Ucrânia contra a guerra de agressão da Rússia e a crescente cooperação militar entre a Coreia do Norte e a Rússia</w:t>
      </w:r>
      <w:bookmarkEnd w:id="5"/>
      <w:r w:rsidRPr="00754EAB">
        <w:t xml:space="preserve"> </w:t>
      </w:r>
      <w:bookmarkStart w:id="6" w:name="References"/>
      <w:r w:rsidRPr="00754EAB">
        <w:t>(2024/2940(RSP))</w:t>
      </w:r>
      <w:bookmarkEnd w:id="6"/>
    </w:p>
    <w:p w14:paraId="0BBC5D75" w14:textId="77777777" w:rsidR="009E3702" w:rsidRPr="00754EAB" w:rsidRDefault="009E3702" w:rsidP="009E3702">
      <w:pPr>
        <w:pStyle w:val="EPComma"/>
      </w:pPr>
      <w:bookmarkStart w:id="7" w:name="TextBodyBegin"/>
      <w:bookmarkEnd w:id="7"/>
      <w:r w:rsidRPr="00754EAB">
        <w:rPr>
          <w:i/>
          <w:iCs/>
        </w:rPr>
        <w:t>O Parlamento Europeu,</w:t>
      </w:r>
    </w:p>
    <w:p w14:paraId="545A1338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>Tendo em conta as suas anteriores resoluções sobre a Ucrânia e a Rússia, em particular as de 17 de julho de 2024, sobre a necessidade de a UE apoiar continuamente a Ucrânia</w:t>
      </w:r>
      <w:r w:rsidRPr="00754EAB">
        <w:rPr>
          <w:rStyle w:val="FootnoteReference"/>
        </w:rPr>
        <w:footnoteReference w:id="1"/>
      </w:r>
      <w:r w:rsidRPr="00754EAB">
        <w:t xml:space="preserve"> e de 19 de setembro de 2024 sobre a prossecução do apoio financeiro e militar prestado à Ucrânia pelos Estados-Membros da UE</w:t>
      </w:r>
      <w:r w:rsidRPr="00754EAB">
        <w:rPr>
          <w:rStyle w:val="FootnoteReference"/>
        </w:rPr>
        <w:footnoteReference w:id="2"/>
      </w:r>
      <w:r w:rsidRPr="00754EAB">
        <w:t>, bem como as suas anteriores resoluções sobre a situação da Península da Coreia,</w:t>
      </w:r>
    </w:p>
    <w:p w14:paraId="1EA02148" w14:textId="77777777" w:rsidR="009E3702" w:rsidRPr="00754EAB" w:rsidRDefault="009E3702" w:rsidP="00754EAB">
      <w:pPr>
        <w:pStyle w:val="NormalHanging12a"/>
        <w:rPr>
          <w:u w:color="000000"/>
        </w:rPr>
      </w:pPr>
      <w:r w:rsidRPr="00754EAB">
        <w:t>–</w:t>
      </w:r>
      <w:r w:rsidRPr="00754EAB">
        <w:tab/>
        <w:t>Tendo em conta a Carta das Nações Unidas, as Convenções da Haia, as Convenções de Genebra e os seus protocolos adicionais, bem como o Estatuto de Roma do Tribunal Penal Internacional,</w:t>
      </w:r>
    </w:p>
    <w:p w14:paraId="00297877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>Tendo em conta a Ata Final de Helsínquia, a Carta de Paris para uma Nova Europa e o Memorando de Budapeste sobre Garantias de Segurança,</w:t>
      </w:r>
    </w:p>
    <w:p w14:paraId="51FF0E46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>Tendo em conta o Regulamento (UE) 2024/792 do Parlamento Europeu e do Conselho, de 29 de fevereiro de 2024, relativo à criação do Mecanismo para a Ucrânia</w:t>
      </w:r>
      <w:r w:rsidRPr="00754EAB">
        <w:rPr>
          <w:rStyle w:val="FootnoteReference"/>
        </w:rPr>
        <w:footnoteReference w:id="3"/>
      </w:r>
      <w:r w:rsidRPr="00754EAB">
        <w:t>, o Regulamento (UE) 2024/2773 do Parlamento Europeu e do Conselho, de 24 de outubro de 2024, que cria o Mecanismo de Cooperação para Empréstimos à Ucrânia e que concede assistência macrofinanceira excecional a esse país</w:t>
      </w:r>
      <w:r w:rsidRPr="00754EAB">
        <w:rPr>
          <w:rStyle w:val="FootnoteReference"/>
        </w:rPr>
        <w:footnoteReference w:id="4"/>
      </w:r>
      <w:r w:rsidRPr="00754EAB">
        <w:t xml:space="preserve">, e outras formas de apoio da UE à Ucrânia, </w:t>
      </w:r>
    </w:p>
    <w:p w14:paraId="40D3713E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 xml:space="preserve">Tendo em conta a declaração conjunta do Ministro dos Negócios Estrangeiros da República da Coreia, Cho Tae-yul, e do alto representante da União para os Negócios </w:t>
      </w:r>
      <w:r w:rsidRPr="00754EAB">
        <w:lastRenderedPageBreak/>
        <w:t>Estrangeiros e a Política de Segurança, Josep Borrell, de 4 de novembro de 2024, sobre a cooperação RPDC-Rússia,</w:t>
      </w:r>
    </w:p>
    <w:p w14:paraId="0AAC2946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>Tendo em conta o discurso do Presidente ucraniano, Volodymyr Zelenskyy, ao Parlamento Europeu, em 19 de novembro de 2024, assinalando os 1000 dias desde a invasão em grande escala da Ucrânia pela Rússia,</w:t>
      </w:r>
    </w:p>
    <w:p w14:paraId="09B81C6E" w14:textId="77777777" w:rsidR="009E3702" w:rsidRPr="00754EAB" w:rsidRDefault="009E3702" w:rsidP="009E3702">
      <w:pPr>
        <w:pStyle w:val="NormalHanging12a"/>
        <w:rPr>
          <w:bCs/>
          <w:u w:color="000000"/>
        </w:rPr>
      </w:pPr>
      <w:r w:rsidRPr="00754EAB">
        <w:t>–</w:t>
      </w:r>
      <w:r w:rsidRPr="00754EAB">
        <w:tab/>
        <w:t>Tendo em conta o Tratado de Não Proliferação de Armas Nucleares e as resoluções do Conselho de Segurança das Nações Unidas sobre a Coreia do Norte, nomeadamente a Resolução 1718 (2006) do Conselho de Segurança das Nações Unidas, de 14 de outubro de 2006,</w:t>
      </w:r>
    </w:p>
    <w:p w14:paraId="77274BB3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–</w:t>
      </w:r>
      <w:r w:rsidRPr="00754EAB">
        <w:tab/>
        <w:t xml:space="preserve">Tendo em conta a declaração do Conselho do Atlântico Norte, de 8 de novembro de 2024, sobre a República Popular Democrática da Coreia, </w:t>
      </w:r>
    </w:p>
    <w:p w14:paraId="39900485" w14:textId="77777777" w:rsidR="009E3702" w:rsidRPr="00754EAB" w:rsidRDefault="009E3702" w:rsidP="009E3702">
      <w:pPr>
        <w:pStyle w:val="NormalHanging12a"/>
        <w:rPr>
          <w:bCs/>
          <w:u w:color="000000"/>
        </w:rPr>
      </w:pPr>
      <w:r w:rsidRPr="00754EAB">
        <w:t>–</w:t>
      </w:r>
      <w:r w:rsidRPr="00754EAB">
        <w:tab/>
        <w:t>Tendo em conta a Parceria Estratégica UE-República da Coreia de 2010,</w:t>
      </w:r>
    </w:p>
    <w:p w14:paraId="650A2AC5" w14:textId="77777777" w:rsidR="009E3702" w:rsidRPr="00754EAB" w:rsidRDefault="009E3702" w:rsidP="009E3702">
      <w:pPr>
        <w:pStyle w:val="NormalHanging12a"/>
      </w:pPr>
      <w:r w:rsidRPr="00754EAB">
        <w:t>–</w:t>
      </w:r>
      <w:r w:rsidRPr="00754EAB">
        <w:tab/>
        <w:t>Tendo em conta o artigo 136.º, n.</w:t>
      </w:r>
      <w:r w:rsidRPr="00754EAB">
        <w:rPr>
          <w:vertAlign w:val="superscript"/>
        </w:rPr>
        <w:t>os</w:t>
      </w:r>
      <w:r w:rsidRPr="00754EAB">
        <w:t xml:space="preserve"> 2 e 4, do seu Regimento,</w:t>
      </w:r>
    </w:p>
    <w:p w14:paraId="5217BA35" w14:textId="7E10089F" w:rsidR="009E3702" w:rsidRPr="00754EAB" w:rsidRDefault="009E3702" w:rsidP="009E3702">
      <w:pPr>
        <w:pStyle w:val="NormalHanging12a"/>
        <w:rPr>
          <w:u w:color="000000"/>
        </w:rPr>
      </w:pPr>
      <w:r w:rsidRPr="00754EAB">
        <w:t>A.</w:t>
      </w:r>
      <w:r w:rsidRPr="00754EAB">
        <w:tab/>
        <w:t>Considerando que a Rússia tem vindo a travar uma guerra de agressão ilegal, não provocada e injustificada contra a Ucrânia desde 24 de fevereiro de 2022 – no seguimento das suas agressões anteriores perpetradas desde 2014, nomeadamente a anexação ilegal da Crimeia e a ocupação de partes das regiões de Donetsk</w:t>
      </w:r>
      <w:r w:rsidR="004B3A1C" w:rsidRPr="00754EAB">
        <w:t>,</w:t>
      </w:r>
      <w:r w:rsidRPr="00754EAB">
        <w:t xml:space="preserve"> Lugansk</w:t>
      </w:r>
      <w:r w:rsidR="004B3A1C" w:rsidRPr="00754EAB">
        <w:t>, Zaporizhzhia e Kherson</w:t>
      </w:r>
      <w:r w:rsidRPr="00754EAB">
        <w:t xml:space="preserve"> –, violando de forma reiterada, flagrante e descarada os princípios da Carta das Nações Unidas e o direito internacional humanitário, tal como estabelecido nas Convenções de Genebra de 1949;</w:t>
      </w:r>
    </w:p>
    <w:p w14:paraId="734F59A5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B.</w:t>
      </w:r>
      <w:r w:rsidRPr="00754EAB">
        <w:tab/>
        <w:t>Considerando que as forças russas atacaram de forma sistemática e indiscriminada zonas residenciais e infraestruturas civis, o que conduziu à morte de milhares de civis ucranianos e à destruição de propriedade pública e privada; considerando que as forças russas são responsáveis por deportações forçadas, desaparecimentos, inclusive de crianças, detenções ilegais, tortura, execuções de civis, soldados e prisioneiros de guerra, bem como por atos de terrorismo — nos quais se incluem o recurso à violência sexual e à violação em massa como armas de guerra —, e continuam a alterar a composição étnica dos territórios ocupados da Ucrânia;</w:t>
      </w:r>
    </w:p>
    <w:p w14:paraId="462EF957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C.</w:t>
      </w:r>
      <w:r w:rsidRPr="00754EAB">
        <w:tab/>
        <w:t xml:space="preserve">Considerando que a Rússia intensificou os seus ataques aéreos contra a Ucrânia, disponibilizando um número significativo de mísseis e </w:t>
      </w:r>
      <w:r w:rsidRPr="00754EAB">
        <w:rPr>
          <w:i/>
        </w:rPr>
        <w:t>drones</w:t>
      </w:r>
      <w:r w:rsidRPr="00754EAB">
        <w:t xml:space="preserve"> para visar infraestruturas de produção e transporte de eletricidade a nível nacional, o que causou falhas de energia e tornou necessárias as medidas de racionamento a nível nacional anunciadas pelo principal fornecedor de eletricidade da Ucrânia, Ukrenergo, a fim de estabilizar o sistema energético;</w:t>
      </w:r>
    </w:p>
    <w:p w14:paraId="132055C0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D.</w:t>
      </w:r>
      <w:r w:rsidRPr="00754EAB">
        <w:tab/>
        <w:t>Considerando que a UE e os seus Estados-Membros estão solidários com a Ucrânia, tendo empenhado um apoio humanitário, financeiro e militar significativo para ajudar a defesa da Ucrânia até à sua vitória e recuperação; considerando, no entanto, que o nível de ajuda militar continua a ser insuficiente, tanto em termos de qualidade como de quantidade, e que há um atraso na entrega efetiva de armas e munições à Ucrânia após a tomada das decisões de entrega; considerando que, na sequência da decisão tomada na Cimeira da NATO, a Ucrânia devia receber um número significativo de sistemas de defesa que ainda não foram fornecidos;</w:t>
      </w:r>
    </w:p>
    <w:p w14:paraId="5A8663BE" w14:textId="248BDD94" w:rsidR="009E3702" w:rsidRPr="00754EAB" w:rsidRDefault="009E3702" w:rsidP="009E3702">
      <w:pPr>
        <w:pStyle w:val="NormalHanging12a"/>
        <w:rPr>
          <w:u w:color="000000"/>
        </w:rPr>
      </w:pPr>
      <w:r w:rsidRPr="00754EAB">
        <w:lastRenderedPageBreak/>
        <w:t>E.</w:t>
      </w:r>
      <w:r w:rsidRPr="00754EAB">
        <w:tab/>
        <w:t xml:space="preserve">Considerando que vários países terceiros — nomeadamente o Irão, a Coreia do Norte e a Bielorrússia — </w:t>
      </w:r>
      <w:r w:rsidR="009F79C4" w:rsidRPr="00754EAB">
        <w:t xml:space="preserve">disponibilizaram </w:t>
      </w:r>
      <w:r w:rsidRPr="00754EAB">
        <w:t>à Rússia fornecimentos substanciais de armas e munições e que a Bielorrússia permitiu que a Rússia utilizasse o seu território para atacar a Ucrânia;</w:t>
      </w:r>
    </w:p>
    <w:p w14:paraId="70AD4451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F.</w:t>
      </w:r>
      <w:r w:rsidRPr="00754EAB">
        <w:tab/>
        <w:t>Considerando que o Tratado de Parceria Estratégica Global entre a Rússia e a Coreia do Norte, assinado em 18 de junho de 2024, prevê a assistência militar mútua, incluindo o apoio nuclear e convencional, em caso de agressão armada, aprofundando assim os laços militares entre as duas nações; considerando que este desenvolvimento leva a que se entrelacem os desafios significativos em matéria de segurança com que a Ásia e a Europa se deparam, o que complica ainda mais a manutenção da estabilidade mundial;</w:t>
      </w:r>
    </w:p>
    <w:p w14:paraId="4222BE87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G.</w:t>
      </w:r>
      <w:r w:rsidRPr="00754EAB">
        <w:tab/>
        <w:t>Considerando que, com o destacamento de tropas norte-coreanas, lado a lado com as forças armadas russas, a Coreia do Norte e a Rússia provocaram diretamente uma escalada do conflito na Ucrânia, assinalando um alastramento perigoso da guerra, o que tem graves implicações para a segurança regional e mundial; considerando que as transferências de armas da Coreia do Norte para a Rússia, nomeadamente o fornecimento de munições e equipamento militar, constituem uma clara violação das sanções impostas pelo Conselho de Segurança das Nações Unidas com o intuito de impedir a proliferação de armas provenientes da Coreia do Norte;</w:t>
      </w:r>
    </w:p>
    <w:p w14:paraId="49F4187C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H.</w:t>
      </w:r>
      <w:r w:rsidRPr="00754EAB">
        <w:tab/>
        <w:t>Considerando que o Presidente ucraniano, Volodymyr Zelenskyy, comunicou que já foram destacados 11 000 soldados norte-coreanos para junto das fronteiras da Ucrânia, podendo este contingente aumentar ainda mais; considerando que a Coreia do Norte recebe da Rússia alimentos, petróleo e dinheiro, de que tanto necessita, em troca do fornecimento de munições e da disponibilização de tropas, e eventualmente mais apoio para desenvolver conhecimentos especializados em matéria de armas nucleares e tecnologia dos mísseis;</w:t>
      </w:r>
    </w:p>
    <w:p w14:paraId="345C25EA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I.</w:t>
      </w:r>
      <w:r w:rsidRPr="00754EAB">
        <w:tab/>
        <w:t>Considerando que a Coreia do Norte intensificou as suas ameaças, abandonou a sua política de unificação e continuou as provocações na região, nomeadamente através de testes de mísseis e de manifestações militares, que aumentam o risco de conflito militar e comprometem os esforços para uma resolução pacífica do conflito coreano;</w:t>
      </w:r>
    </w:p>
    <w:p w14:paraId="4E2745D1" w14:textId="24C049F0" w:rsidR="009E3702" w:rsidRPr="00754EAB" w:rsidRDefault="009E3702" w:rsidP="009E3702">
      <w:pPr>
        <w:pStyle w:val="NormalHanging12a"/>
        <w:rPr>
          <w:u w:color="000000"/>
        </w:rPr>
      </w:pPr>
      <w:r w:rsidRPr="00754EAB">
        <w:t>J.</w:t>
      </w:r>
      <w:r w:rsidRPr="00754EAB">
        <w:tab/>
        <w:t xml:space="preserve">Considerando que, segundo consta, as forças armadas russas recrutaram centenas de mercenários hutis iemenitas para combater no conflito na Ucrânia, o que foi facilitado por uma operação de tráfico </w:t>
      </w:r>
      <w:r w:rsidR="00EC26A6" w:rsidRPr="00754EAB">
        <w:t xml:space="preserve">obscura </w:t>
      </w:r>
      <w:r w:rsidRPr="00754EAB">
        <w:t>que revela os laços crescentes entre Moscovo e o grupo rebelde huti;</w:t>
      </w:r>
    </w:p>
    <w:p w14:paraId="53AE4B86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K.</w:t>
      </w:r>
      <w:r w:rsidRPr="00754EAB">
        <w:tab/>
        <w:t xml:space="preserve">Considerando que o Irão transferiu para a Rússia remessas de mísseis balísticos de curto alcance Fath-360; </w:t>
      </w:r>
      <w:r w:rsidR="009F79C4" w:rsidRPr="00754EAB">
        <w:t xml:space="preserve">considerando </w:t>
      </w:r>
      <w:r w:rsidRPr="00754EAB">
        <w:t>que, em resposta, a UE, a França, a Alemanha e o Reino Unido introduziram novas sanções contra o Irão;</w:t>
      </w:r>
    </w:p>
    <w:p w14:paraId="60944365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L.</w:t>
      </w:r>
      <w:r w:rsidRPr="00754EAB">
        <w:tab/>
        <w:t xml:space="preserve">Considerando que a China é atualmente o maior fornecedor de produtos militares e bens de dupla utilização que sustenta a base militar da Rússia e a sua guerra de agressão contra a Ucrânia; considerando que a UE tem provas concludentes de que estão a ser produzidos </w:t>
      </w:r>
      <w:r w:rsidRPr="00754EAB">
        <w:rPr>
          <w:i/>
        </w:rPr>
        <w:t>drones</w:t>
      </w:r>
      <w:r w:rsidRPr="00754EAB">
        <w:t xml:space="preserve"> armados para as forças armadas russas na região ocidental do Sinquião, da China;</w:t>
      </w:r>
    </w:p>
    <w:p w14:paraId="32EA733A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M.</w:t>
      </w:r>
      <w:r w:rsidRPr="00754EAB">
        <w:tab/>
        <w:t xml:space="preserve">Considerando que as presidentes recém-eleitas do Parlamento Europeu e da Comissão se comprometeram imediatamente a manter o seu apoio inquebrantável à Ucrânia; </w:t>
      </w:r>
      <w:r w:rsidRPr="00754EAB">
        <w:lastRenderedPageBreak/>
        <w:t>considerando que se espera que o Presidente eleito dos Estados Unidos faça o mesmo; considerando que tudo o que não seja a vitória da Ucrânia seria amplamente encarado como uma derrota estratégica – tanto para a Europa como para os Estados Unidos – e teria consequências de grande alcance para a sua segurança;</w:t>
      </w:r>
    </w:p>
    <w:p w14:paraId="6753435F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N.</w:t>
      </w:r>
      <w:r w:rsidRPr="00754EAB">
        <w:tab/>
        <w:t>Considerando que o Presidente dos EUA, Joe Biden, autorizou a Ucrânia a utilizar os sistemas de mísseis táticos do exército (ATACMS) de fabrico norte-americano na região de Kursk da Federação da Rússia; considerando que a França e o Reino Unido forneceram mísseis de cruzeiro Storm Shadow/SCALP à Ucrânia, tendo estes dois países permitido a utilização dos referidos mísseis contra alvos russos; considerando que a Alemanha prossegue a sua política de obstrução à entrega de mísseis de longo alcance «Taurus» à Ucrânia;</w:t>
      </w:r>
    </w:p>
    <w:p w14:paraId="004C8269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O.</w:t>
      </w:r>
      <w:r w:rsidRPr="00754EAB">
        <w:tab/>
        <w:t>Considerando que, nos termos do direito internacional, o direito da Ucrânia à legítima defesa inclui uma ação militar proporcionada que se estenda para lá do seu próprio território; considerando que, na sequência do recente levantamento das restrições por parte dos países doadores, a Ucrânia terá utilizado os sistemas de armas de longo alcance doados para atingir alvos militares no território russo;</w:t>
      </w:r>
    </w:p>
    <w:p w14:paraId="1233A308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P.</w:t>
      </w:r>
      <w:r w:rsidRPr="00754EAB">
        <w:tab/>
        <w:t>Considerando que, em 21 de novembro de 2024, a Rússia atacou a cidade ucraniana de Dnipro com um míssil balístico de médio alcance;</w:t>
      </w:r>
    </w:p>
    <w:p w14:paraId="620215D0" w14:textId="4827B7EB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Q.</w:t>
      </w:r>
      <w:r w:rsidRPr="00754EAB">
        <w:tab/>
        <w:t xml:space="preserve">Considerando que, desde fevereiro de 2022, a UE aprovou 14 pacotes de sanções destinados, principalmente, a limitar, tanto quanto possível, a capacidade do Kremlin para financiar a guerra que desencadeou; considerando que estas sanções são válidas por um período de seis meses; considerando que não foi aprovada uma proposta de prorrogação do período de vigência das sanções por três anos; considerando que a proposta foi bloqueada pelo veto </w:t>
      </w:r>
      <w:r w:rsidR="002A2B9A" w:rsidRPr="00754EAB">
        <w:t>do governo húngaro</w:t>
      </w:r>
      <w:r w:rsidRPr="00754EAB">
        <w:t>, o que prejudica a estabilidade a longo prazo e o apoio a esta estrutura de empréstimos;</w:t>
      </w:r>
    </w:p>
    <w:p w14:paraId="050BC5B5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R.</w:t>
      </w:r>
      <w:r w:rsidRPr="00754EAB">
        <w:tab/>
        <w:t>Considerando que o apoio militar global da UE à Ucrânia – prestado através do Mecanismo Europeu de Apoio à Paz (MEAP) e diretamente pelos Estados-Membros – ascende a cerca de 43,5 mil milhões de EUR; considerando que, em agosto de 2024, a UE mobilizou, através do MEAP, a primeira parcela de 1,4 mil milhões de EUR em ganhos inesperados provenientes dos ativos congelados do Banco Central da Rússia, a fim de viabilizar mais assistência militar à Ucrânia;</w:t>
      </w:r>
    </w:p>
    <w:p w14:paraId="2FAC6115" w14:textId="77777777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S.</w:t>
      </w:r>
      <w:r w:rsidRPr="00754EAB">
        <w:tab/>
        <w:t>Considerando que a UE, juntamente com os países do G7, adotou o Mecanismo de Cooperação para Empréstimos à Ucrânia, que utiliza os ganhos inesperados dos ativos russos congelados para reembolsar os empréstimos concedidos pela UE à Ucrânia; considerando que estes ativos congelados ainda não estão a ser utilizados diretamente para apoiar financeiramente a Ucrânia, mas apenas os ganhos inesperados gerados por esses ativos congelados; considerando que a UE irá disponibilizar até 35 mil milhões de EUR em nova assistência macrofinanceira no âmbito do Mecanismo de Cooperação para Empréstimos à Ucrânia;</w:t>
      </w:r>
    </w:p>
    <w:p w14:paraId="0315428B" w14:textId="36C78B76" w:rsidR="009E3702" w:rsidRPr="00754EAB" w:rsidRDefault="009E3702" w:rsidP="009E3702">
      <w:pPr>
        <w:pStyle w:val="NormalHanging12a"/>
        <w:rPr>
          <w:i/>
          <w:iCs/>
          <w:u w:color="000000"/>
        </w:rPr>
      </w:pPr>
      <w:r w:rsidRPr="00754EAB">
        <w:t>T.</w:t>
      </w:r>
      <w:r w:rsidRPr="00754EAB">
        <w:tab/>
        <w:t xml:space="preserve">Considerando que </w:t>
      </w:r>
      <w:r w:rsidR="00A07491" w:rsidRPr="00754EAB">
        <w:t xml:space="preserve">o governo húngaro </w:t>
      </w:r>
      <w:r w:rsidRPr="00754EAB">
        <w:t xml:space="preserve">está a bloquear o recém-criado fundo de assistência à Ucrânia no valor de 5 mil milhões de EUR, criado em março de 2024 no âmbito do MEAP, e a oitava parcela de reembolsos do MEAP aos Estados-Membros que têm prestado ajuda militar à Ucrânia desde há quase dois anos; considerando que o primeiro-ministro e o ministro dos Negócios Estrangeiros da Hungria se deslocaram a </w:t>
      </w:r>
      <w:r w:rsidRPr="00754EAB">
        <w:lastRenderedPageBreak/>
        <w:t>Moscovo para dialogar com um Estado agressor;</w:t>
      </w:r>
    </w:p>
    <w:p w14:paraId="61A66ECA" w14:textId="77777777" w:rsidR="009E3702" w:rsidRPr="00754EAB" w:rsidRDefault="009E3702" w:rsidP="009E3702">
      <w:pPr>
        <w:pStyle w:val="NormalHanging12a"/>
        <w:rPr>
          <w:u w:color="000000"/>
        </w:rPr>
      </w:pPr>
      <w:r w:rsidRPr="00754EAB">
        <w:t>U.</w:t>
      </w:r>
      <w:r w:rsidRPr="00754EAB">
        <w:tab/>
        <w:t>Considerando que o Presidente Volodymyr Zelenskyy, no seu discurso perante o Verkhovna Rada, proferido em 19 de novembro de 2024, apresentou o Plano de Resiliência Interna da Ucrânia, que inclui dez pontos fundamentais: unidade, frente, armamento, dinheiro, energia, segurança, comunidades, capital humano, soberania cultural e política de heróis; considerando que, em setembro de 2022, o presidente Zelenskyy apresentou a Fórmula Ucraniana para a Paz, em que são definidos dez requisitos para uma paz justa na Ucrânia e para o restabelecimento da ordem assente em regras;</w:t>
      </w:r>
    </w:p>
    <w:p w14:paraId="48F5203D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Reitera a sua condenação da guerra de agressão da Rússia contra a Ucrânia, que dura há mais de 1000 dias, sem contar com a agressão iniciada em 2014, bem como o envolvimento e o apoio de países terceiros nesta guerra; exige que a Rússia cesse imediatamente todas as atividades militares na Ucrânia, retire incondicionalmente todas as forças e equipamento militar de todo o território internacionalmente reconhecido da Ucrânia, liberte os prisioneiros de guerra e os civis ucranianos detidos ilegalmente, devolva as crianças ucranianas raptadas e indemnize a Ucrânia pelos danos causados ao seu povo, terra, natureza e infraestruturas;</w:t>
      </w:r>
    </w:p>
    <w:p w14:paraId="7EE2A15E" w14:textId="77777777" w:rsidR="009E3702" w:rsidRPr="00754EAB" w:rsidRDefault="009E3702" w:rsidP="009E3702">
      <w:pPr>
        <w:pStyle w:val="NormalHanging12a"/>
        <w:rPr>
          <w:szCs w:val="24"/>
        </w:rPr>
      </w:pPr>
      <w:r w:rsidRPr="00754EAB">
        <w:rPr>
          <w:u w:color="000000"/>
        </w:rPr>
        <w:t>2.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Condena ainda a incessante escalada da Rússia na sua guerra de agressão, em particular os bombardeamentos de civis e infraestruturas críticas, o seu recurso à Coreia do Norte para disponibilizar tropas para combater as forças militares ucranianas e o seu teste de novos mísseis balísticos na Ucrânia; considera que estas recentes medidas de escalada representam uma nova fase da guerra e um novo risco para a segurança da Europa no seu conjunto; insta a UE, os Estados-Membros e os outros parceiros da Ucrânia a responderem em conformidade;</w:t>
      </w:r>
    </w:p>
    <w:p w14:paraId="575591DA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3.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 xml:space="preserve">Recorda que as ameaças nucleares por parte da Rússia não dissuadirão a UE de prestar assistência adicional à Ucrânia para garantir a autodefesa deste país; </w:t>
      </w:r>
      <w:r w:rsidRPr="00754EAB">
        <w:t>insta todos os Estados a oporem-se a que a intimidação nuclear se torne prática corrente;</w:t>
      </w:r>
    </w:p>
    <w:p w14:paraId="08C93808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4.</w:t>
      </w:r>
      <w:r w:rsidRPr="00754EAB">
        <w:rPr>
          <w:rStyle w:val="Aucun"/>
          <w:color w:val="000000"/>
          <w:u w:color="000000"/>
        </w:rPr>
        <w:tab/>
      </w:r>
      <w:r w:rsidRPr="00754EAB">
        <w:t xml:space="preserve">Afirma a sua solidariedade incondicional para com o povo da Ucrânia; </w:t>
      </w:r>
      <w:r w:rsidRPr="00754EAB">
        <w:rPr>
          <w:rStyle w:val="Aucun"/>
          <w:color w:val="000000"/>
        </w:rPr>
        <w:t xml:space="preserve">Reitera o compromisso inquebrantável da UE para com a soberania, a independência e a integridade territorial da Ucrânia nas suas fronteiras internacionalmente reconhecidas e salienta a necessidade de aumentar e acelerar a solidariedade da UE na prestação de apoio político, militar, humanitário, económico e financeiro à Ucrânia </w:t>
      </w:r>
      <w:r w:rsidRPr="00754EAB">
        <w:t>até à vitória da Ucrânia, a fim de pôr termo à guerra de agressão da Rússia e permitir que a Ucrânia liberte todo o seu povo</w:t>
      </w:r>
      <w:r w:rsidRPr="00754EAB">
        <w:rPr>
          <w:rStyle w:val="Aucun"/>
          <w:color w:val="000000"/>
        </w:rPr>
        <w:t>;</w:t>
      </w:r>
      <w:r w:rsidRPr="00754EAB">
        <w:t xml:space="preserve"> reitera que a Ucrânia, enquanto vítima de agressão, tem o direito legítimo à autodefesa, em conformidade com o artigo 51.º da Carta das Nações Unidas;</w:t>
      </w:r>
      <w:r w:rsidRPr="00754EAB">
        <w:rPr>
          <w:rStyle w:val="Aucun"/>
          <w:color w:val="000000"/>
        </w:rPr>
        <w:t xml:space="preserve"> reafirma o compromisso da UE para com uma paz justa e duradoura na Ucrânia, baseada na sua soberania e integridade territorial, e apoia a Fórmula Ucraniana para a Paz enquanto quadro para o compromisso internacional;</w:t>
      </w:r>
    </w:p>
    <w:p w14:paraId="2A774A99" w14:textId="7FE1477D" w:rsidR="009E3702" w:rsidRPr="00754EAB" w:rsidRDefault="009E3702" w:rsidP="009E3702">
      <w:pPr>
        <w:pStyle w:val="NormalHanging12a"/>
      </w:pPr>
      <w:r w:rsidRPr="00754EAB">
        <w:t>5.</w:t>
      </w:r>
      <w:r w:rsidRPr="00754EAB">
        <w:tab/>
      </w:r>
      <w:r w:rsidRPr="00754EAB">
        <w:rPr>
          <w:rStyle w:val="Aucun"/>
          <w:color w:val="000000"/>
        </w:rPr>
        <w:t xml:space="preserve">Insta a UE e os seus Estados-Membros a trabalharem ativamente com vista a alcançar e manter o mais amplo apoio internacional possível à Ucrânia e descobrir uma solução pacífica para a guerra, a qual deve basear-se no pleno respeito pela independência, soberania e integridade territorial da Ucrânia, nos princípios do direito internacional, na responsabilização pelos crimes de guerra e pelo crime de agressão cometidos pela Rússia, e em reparações e outros pagamentos pela Rússia para compensar os enormes danos materiais e imateriais causados na Ucrânia; insiste em que não pode haver </w:t>
      </w:r>
      <w:r w:rsidRPr="00754EAB">
        <w:rPr>
          <w:rStyle w:val="Aucun"/>
          <w:color w:val="000000"/>
        </w:rPr>
        <w:lastRenderedPageBreak/>
        <w:t xml:space="preserve">negociações sobre a Ucrânia sem a Ucrânia; </w:t>
      </w:r>
      <w:r w:rsidR="00C45E31" w:rsidRPr="00754EAB">
        <w:rPr>
          <w:rStyle w:val="Aucun"/>
          <w:color w:val="000000"/>
        </w:rPr>
        <w:t>i</w:t>
      </w:r>
      <w:r w:rsidRPr="00754EAB">
        <w:rPr>
          <w:rStyle w:val="Aucun"/>
          <w:color w:val="000000"/>
        </w:rPr>
        <w:t>nsta a UE e os Estados-Membros a empenharem-se na aplicação da Fórmula Ucraniana para a Paz e no estabelecimento das condições necessárias para a realização da segunda Cimeira sobre a Paz, envolvendo também países do Sul Global; está convicto de que é absolutamente necessário que a UE e os seus Estados-Membros participem no estabelecimento de futuras garantias sólidas em matéria de segurança da Ucrânia, com base na Fórmula Ucraniana para a Paz e no plano de paz da Ucrânia, com uma estratégia clara, objetivos específicos e um roteiro concreto; lamenta a recente conversa telefónica do Chanceler alemão com Vladimir Putin</w:t>
      </w:r>
      <w:r w:rsidRPr="00754EAB">
        <w:t>;</w:t>
      </w:r>
    </w:p>
    <w:p w14:paraId="3D759232" w14:textId="77777777" w:rsidR="009E3702" w:rsidRPr="00754EAB" w:rsidRDefault="009E3702" w:rsidP="009E3702">
      <w:pPr>
        <w:pStyle w:val="NormalHanging12a"/>
        <w:rPr>
          <w:szCs w:val="24"/>
        </w:rPr>
      </w:pPr>
      <w:r w:rsidRPr="00754EAB">
        <w:rPr>
          <w:u w:color="000000"/>
        </w:rPr>
        <w:t>6.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Denuncia o Irão, a Bielorrússia e a Coreia do Norte pelo seu apoio militar à Rússia e, em particular, todo o apoio militar ativo da Coreia do Norte à Rússia, o que agrava ainda mais o conflito; reitera que tanto a guerra de agressão da Rússia contra a Ucrânia como a participação da Coreia do Norte nesta guerra, bem como os seus programas nucleares e de mísseis, constituem graves ameaças à ordem internacional assente em regras; Condena o facto de a Rússia e a Coreia do Norte — um regime que está sujeito ao mais rigoroso sistema de sanções imposto pelas Nações Unidas — terem assinado e recentemente ratificado o Tratado de Parceria Estratégica Global; insta a Coreia do Norte a retirar as suas tropas e a pôr termo à cooperação militar com a Rússia; insta a Rússia a cessar todas as formas de cooperação militar e tecnológica com a Coreia do Norte e a cumprir as obrigações que lhe incumbem por força do Tratado de Não Proliferação e de várias resoluções do Conselho de Segurança das Nações Unidas; alerta para as graves implicações desta parceria militar, que pode inspirar outros regimes autocráticos a envolverem-se ativamente em conflitos militares;</w:t>
      </w:r>
    </w:p>
    <w:p w14:paraId="62764DFF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7.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Condena com a maior veemência possível o fornecimento de produtos militares e bens de dupla utilização pela China à Rússia; recorda à China as responsabilidades que sobre ela recaem enquanto membro permanente do Conselho de Segurança das Nações Unidas no sentido de defender a ordem internacional assente em regras, pelo que insta Pequim a pôr termo a toda a assistência militar ou de dupla utilização à Rússia e à sua guerra de agressão contra a Ucrânia; sublinha que a recusa de mudar de rumo nesta matéria é suscetível de afetar gravemente as relações bilaterais entre a UE e a China; destaca a influência significativa da China sobre a Coreia do Norte e a Rússia e insta a China a ajudar a reduzir as tensões e a evitar uma nova escalada das hostilidades; manifesta a sua profunda preocupação com o efeito que a dependência europeia em relação à China tem na credibilidade da capacidade dos Estados-Membros para salvaguardar a sua segurança nacional e a UE no seu conjunto;</w:t>
      </w:r>
    </w:p>
    <w:p w14:paraId="6F9B1490" w14:textId="77777777" w:rsidR="009E3702" w:rsidRPr="00754EAB" w:rsidRDefault="009E3702" w:rsidP="009E3702">
      <w:pPr>
        <w:pStyle w:val="NormalHanging12a"/>
        <w:rPr>
          <w:rStyle w:val="Aucun"/>
          <w:color w:val="000000"/>
        </w:rPr>
      </w:pPr>
      <w:r w:rsidRPr="00754EAB">
        <w:rPr>
          <w:u w:color="000000"/>
        </w:rPr>
        <w:t>8.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 xml:space="preserve">Insta a comunidade internacional a tomar medidas céleres e categóricas para fazer face a esta escalada alarmante; exorta ao reforço da cooperação internacional para impedir o envio de armas da Coreia do Norte para a Rússia, incluindo mecanismos reforçados de controlo e execução no quadro das Nações Unidas e através de alianças multilaterais; insta a UE a tomar medidas decisivas para aplicar sanções às pessoas e entidades da Coreia do Norte envolvidas em transferências de armas e tropas, bem como aos intermediários que facilitam essas transações; congratula-se com os esforços da comunidade internacional para reprimir o comércio ilícito de armas da Coreia do Norte e salienta a necessidade de pressão sustentada sobre Pionguiangue para pôr termo às suas ações desestabilizadoras; insta todos os Estados-Membros da UE e os Estados membros das Nações Unidas a fazerem tudo o que estiver ao seu alcance para assegurar a aplicação de todas as resoluções do Conselho de Segurança das Nações Unidas sobre a Coreia do Norte e a bloquearem de forma pró-ativa todas as rotas que permitam à </w:t>
      </w:r>
      <w:r w:rsidRPr="00754EAB">
        <w:rPr>
          <w:rStyle w:val="Aucun"/>
          <w:color w:val="000000"/>
        </w:rPr>
        <w:lastRenderedPageBreak/>
        <w:t>Coreia do Norte obter financiamento, materiais ou conhecimentos para os seus programas ilegais de armas;</w:t>
      </w:r>
    </w:p>
    <w:p w14:paraId="2B70CBDB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u w:color="000000"/>
        </w:rPr>
        <w:t>9.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Exorta os Estados</w:t>
      </w:r>
      <w:r w:rsidRPr="00754EAB">
        <w:rPr>
          <w:rStyle w:val="Aucun"/>
          <w:color w:val="000000"/>
        </w:rPr>
        <w:noBreakHyphen/>
        <w:t>Membros a alargarem e reforçarem em maior medida o regime de sanções contra a Coreia do Norte, a Bielorrússia e o Irão, à luz do apoio militar destes países à guerra de agressão da Rússia contra a Ucrânia, e a acrescentarem à lista de sanções da UE todas as principais entidades e pessoas chinesas que prestam apoio direto à guerra de agressão da Rússia contra a Ucrânia e ao setor da defesa e segurança russo;</w:t>
      </w:r>
    </w:p>
    <w:p w14:paraId="214947A2" w14:textId="14F46812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10.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Manifesta a sua profunda</w:t>
      </w:r>
      <w:r w:rsidR="00C45E31" w:rsidRPr="00754EAB">
        <w:rPr>
          <w:rStyle w:val="Aucun"/>
          <w:color w:val="000000"/>
        </w:rPr>
        <w:t xml:space="preserve"> preocupação</w:t>
      </w:r>
      <w:r w:rsidRPr="00754EAB">
        <w:rPr>
          <w:rStyle w:val="Aucun"/>
          <w:color w:val="000000"/>
        </w:rPr>
        <w:t xml:space="preserve"> quanto à possibilidade de transferência, para a Coreia do Norte, de tecnologia relacionada com armamento nuclear ou mísseis balísticos, o que comprometeria os esforços internacionais de não proliferação e constituiria uma grave ameaça para a paz e a estabilidade na Península da Coreia, assim como a nível mundial; exorta a UE e os seus Estados</w:t>
      </w:r>
      <w:r w:rsidRPr="00754EAB">
        <w:rPr>
          <w:rStyle w:val="Aucun"/>
          <w:color w:val="000000"/>
        </w:rPr>
        <w:noBreakHyphen/>
        <w:t>Membros – em cooperação com os parceiros do G7 e do G20 – a desenvolverem e promoverem um mecanismo alternativo ao Painel de Peritos da ONU, a fim de assegurar o acompanhamento e execução eficientes das sanções contra a Coreia do Norte;</w:t>
      </w:r>
    </w:p>
    <w:p w14:paraId="134DD8BD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11.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Manifesta a sua profunda preocupação com as violações graves dos direitos humanos que se registam atualmente na Coreia do Norte, onde as políticas opressivas do regime e a negligência sistémica das necessidades básicas têm causado um sofrimento generalizado do povo deste país; condena o desvio de recursos para atividades militares e conflitos externos, nomeadamente o apoio à guerra de agressão da Rússia, em detrimento de uma resposta às necessidades humanitárias urgentes na Coreia do Norte; insta a UE e os parceiros internacionais a redobrarem esforços para chamar o regime norte</w:t>
      </w:r>
      <w:r w:rsidRPr="00754EAB">
        <w:rPr>
          <w:rStyle w:val="Aucun"/>
          <w:color w:val="000000"/>
        </w:rPr>
        <w:noBreakHyphen/>
        <w:t>coreano à responsabilidade pelas violações dos direitos humanos cometidas; insta à concessão de um maior apoio às organizações da sociedade civil e aos defensores dos direitos humanos que trabalham para documentar os abusos e prestar ajuda aos cidadãos norte</w:t>
      </w:r>
      <w:r w:rsidRPr="00754EAB">
        <w:rPr>
          <w:rStyle w:val="Aucun"/>
          <w:color w:val="000000"/>
        </w:rPr>
        <w:noBreakHyphen/>
        <w:t>coreanos; insta o governo chinês a pôr termo às práticas de repulsão e a facultar aos refugiados norte</w:t>
      </w:r>
      <w:r w:rsidRPr="00754EAB">
        <w:rPr>
          <w:rStyle w:val="Aucun"/>
          <w:color w:val="000000"/>
        </w:rPr>
        <w:noBreakHyphen/>
        <w:t>coreanos o acesso à proteção internacional; exorta a Coreia do Norte a conceder aos organismos de defesa dos direitos humanos das Nações Unidas acesso ao país para avaliar a situação dos direitos humanos, os desaparecimentos forçados e as condições dos detidos e dos refugiados repatriados, incluindo os casos de Kim Cheol</w:t>
      </w:r>
      <w:r w:rsidRPr="00754EAB">
        <w:rPr>
          <w:rStyle w:val="Aucun"/>
          <w:color w:val="000000"/>
        </w:rPr>
        <w:noBreakHyphen/>
        <w:t>ok e dos missionários sul</w:t>
      </w:r>
      <w:r w:rsidRPr="00754EAB">
        <w:rPr>
          <w:rStyle w:val="Aucun"/>
          <w:color w:val="000000"/>
        </w:rPr>
        <w:noBreakHyphen/>
        <w:t>coreanos Kim Jung</w:t>
      </w:r>
      <w:r w:rsidRPr="00754EAB">
        <w:rPr>
          <w:rStyle w:val="Aucun"/>
          <w:color w:val="000000"/>
        </w:rPr>
        <w:noBreakHyphen/>
        <w:t>Wook, Kim Kook</w:t>
      </w:r>
      <w:r w:rsidRPr="00754EAB">
        <w:rPr>
          <w:rStyle w:val="Aucun"/>
          <w:color w:val="000000"/>
        </w:rPr>
        <w:noBreakHyphen/>
        <w:t>Kie, Choi Chun</w:t>
      </w:r>
      <w:r w:rsidRPr="00754EAB">
        <w:rPr>
          <w:rStyle w:val="Aucun"/>
          <w:color w:val="000000"/>
        </w:rPr>
        <w:noBreakHyphen/>
        <w:t>Gil;</w:t>
      </w:r>
    </w:p>
    <w:p w14:paraId="2C8077B2" w14:textId="77777777" w:rsidR="009E3702" w:rsidRPr="00754EAB" w:rsidRDefault="009E3702" w:rsidP="009E3702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12.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Salienta a necessidade duma estratégia abrangente da UE para abordar as implicações mais vastas das alianças autoritárias, especialmente entre a Rússia, a Coreia do Norte, a Bielorrússia, o Irão, a China e outros Estados que comprometem a ordem internacional assente em regras; preconiza esforços ativos da UE e dos seus Estados</w:t>
      </w:r>
      <w:r w:rsidRPr="00754EAB">
        <w:rPr>
          <w:rStyle w:val="Aucun"/>
          <w:color w:val="000000"/>
        </w:rPr>
        <w:noBreakHyphen/>
        <w:t>Membros para promover o regime mundial de não proliferação nuclear e a uma cooperação mais estreita com os parceiros internacionais, a fim de reduzir as tensões na região do Indo</w:t>
      </w:r>
      <w:r w:rsidRPr="00754EAB">
        <w:rPr>
          <w:rStyle w:val="Aucun"/>
          <w:color w:val="000000"/>
        </w:rPr>
        <w:noBreakHyphen/>
        <w:t>Pacífico;</w:t>
      </w:r>
    </w:p>
    <w:p w14:paraId="577CA182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13.</w:t>
      </w:r>
      <w:r w:rsidRPr="00754EAB">
        <w:rPr>
          <w:rStyle w:val="Aucun"/>
          <w:color w:val="000000"/>
          <w:u w:color="000000"/>
        </w:rPr>
        <w:tab/>
      </w:r>
      <w:r w:rsidRPr="00754EAB">
        <w:t>Insta a UE e os seus Estados</w:t>
      </w:r>
      <w:r w:rsidRPr="00754EAB">
        <w:noBreakHyphen/>
        <w:t>Membros a reforçarem ainda mais o seu apoio militar à Ucrânia – incluindo através do fornecimento de aeronaves, mísseis de longo alcance (incluindo mísseis Taurus), sistemas modernos de defesa aérea (incluindo Patriots e SAMP/T), munições, MANPADS, artilharia e programas de formação para as forças ucranianas – e solicita a entrega acelerada do equipamento prometido para satisfazer as necessidades urgentes da Ucrânia;</w:t>
      </w:r>
      <w:r w:rsidRPr="00754EAB">
        <w:rPr>
          <w:rStyle w:val="Aucun"/>
          <w:color w:val="000000"/>
        </w:rPr>
        <w:t xml:space="preserve"> </w:t>
      </w:r>
      <w:r w:rsidRPr="00754EAB">
        <w:t>reafirma a sua posição anterior de que todos os Estados</w:t>
      </w:r>
      <w:r w:rsidRPr="00754EAB">
        <w:noBreakHyphen/>
        <w:t>Membros da UE e aliados da OTAN devem comprometer</w:t>
      </w:r>
      <w:r w:rsidRPr="00754EAB">
        <w:noBreakHyphen/>
        <w:t xml:space="preserve">se coletiva e </w:t>
      </w:r>
      <w:r w:rsidRPr="00754EAB">
        <w:lastRenderedPageBreak/>
        <w:t>individualmente no apoio militar à Ucrânia com, pelo menos, 0,25% do seu PIB anual; congratula</w:t>
      </w:r>
      <w:r w:rsidRPr="00754EAB">
        <w:noBreakHyphen/>
        <w:t>se com a assinatura dos compromissos conjuntos em matéria de segurança entre a UE e a Ucrânia e convida a Comissão e os Estados</w:t>
      </w:r>
      <w:r w:rsidRPr="00754EAB">
        <w:noBreakHyphen/>
        <w:t>Membros a agirem rapidamente para aplicar eficazmente os compromissos assumidos; insta a Comissão e o Conselho a darem prioridade à tarefa de tornar plenamente operacionais as capacidades de comunicação espacial europeias IRIS</w:t>
      </w:r>
      <w:r w:rsidRPr="00754EAB">
        <w:rPr>
          <w:vertAlign w:val="superscript"/>
        </w:rPr>
        <w:t>2</w:t>
      </w:r>
      <w:r w:rsidRPr="00754EAB">
        <w:t xml:space="preserve"> e a concederem acesso à Ucrânia (e a Taiwan) o mais depressa possível;</w:t>
      </w:r>
    </w:p>
    <w:p w14:paraId="634CDAC1" w14:textId="3EF6969B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14.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 xml:space="preserve">Insta o Conselho a prorrogar as suas sanções contra a Rússia; </w:t>
      </w:r>
      <w:r w:rsidRPr="00754EAB">
        <w:t>solicita a imposição de novas sanções a setores (metalúrgico, nuclear, químico, agrícola e bancário) de especial importância económica para a Rússia e a matérias</w:t>
      </w:r>
      <w:r w:rsidRPr="00754EAB">
        <w:noBreakHyphen/>
        <w:t>primas russas (como o alumínio, os produtos do aço, o urânio, o titânio e o níquel), um embargo total às importações para a UE de combustíveis fósseis e de gás natural liquefeito (GNL) russos, bem como – em coordenação com os parceiros do G7 – uma nova redução do limite máximo de preços para os produtos petrolíferos russos, a fim de deixar de contribuir para o financiamento da guerra ilegal de agressão da Rússia;</w:t>
      </w:r>
      <w:r w:rsidRPr="00754EAB">
        <w:rPr>
          <w:rStyle w:val="Aucun"/>
          <w:color w:val="000000"/>
        </w:rPr>
        <w:t xml:space="preserve"> solicita a imposição de sanções mais fortes e mais específicas contra a «frota</w:t>
      </w:r>
      <w:r w:rsidRPr="00754EAB">
        <w:rPr>
          <w:rStyle w:val="Aucun"/>
          <w:color w:val="000000"/>
        </w:rPr>
        <w:noBreakHyphen/>
        <w:t>fantasma» da Rússia;</w:t>
      </w:r>
      <w:r w:rsidRPr="00754EAB">
        <w:t xml:space="preserve"> sublinha a necessidade de cessar toda a cooperação com a Rússia no setor da energia nuclear;</w:t>
      </w:r>
      <w:r w:rsidR="002A2B9A" w:rsidRPr="00754EAB">
        <w:t xml:space="preserve"> salienta que a Rússia está a passar da dependência das exportações de gás para a dos adubos derivados do gás, que constituem uma importante fonte de receitas e de divisas para o Estado russo, alimenta</w:t>
      </w:r>
      <w:r w:rsidR="00600B9A" w:rsidRPr="00754EAB">
        <w:t>ndo</w:t>
      </w:r>
      <w:r w:rsidR="002A2B9A" w:rsidRPr="00754EAB">
        <w:t xml:space="preserve"> diretamente a sua máquina de guerra, compromete</w:t>
      </w:r>
      <w:r w:rsidR="00600B9A" w:rsidRPr="00754EAB">
        <w:t>ndo simultaneamente</w:t>
      </w:r>
      <w:r w:rsidR="002A2B9A" w:rsidRPr="00754EAB">
        <w:t xml:space="preserve"> as economias da UE e ameaça</w:t>
      </w:r>
      <w:r w:rsidR="00600B9A" w:rsidRPr="00754EAB">
        <w:t>ndo</w:t>
      </w:r>
      <w:r w:rsidR="002A2B9A" w:rsidRPr="00754EAB">
        <w:t xml:space="preserve"> a sua segurança alimentar; insta a UE a enfrentar este desafio de forma adequada, urgente e com medidas firmes e decisivas, dado que a dependência da UE dos adubos russos está a aumentar a um ritmo alarmante; </w:t>
      </w:r>
    </w:p>
    <w:p w14:paraId="167118D9" w14:textId="77777777" w:rsidR="009E3702" w:rsidRPr="00754EAB" w:rsidRDefault="009E3702" w:rsidP="009E3702">
      <w:pPr>
        <w:pStyle w:val="NormalHanging12a"/>
        <w:rPr>
          <w:rStyle w:val="Aucun"/>
          <w:color w:val="000000"/>
        </w:rPr>
      </w:pPr>
      <w:r w:rsidRPr="00754EAB">
        <w:rPr>
          <w:rStyle w:val="Aucun"/>
          <w:color w:val="000000"/>
        </w:rPr>
        <w:t>15.</w:t>
      </w:r>
      <w:r w:rsidRPr="00754EAB">
        <w:rPr>
          <w:rStyle w:val="Aucun"/>
          <w:color w:val="000000"/>
        </w:rPr>
        <w:tab/>
        <w:t>Exorta, em particular, os Estados</w:t>
      </w:r>
      <w:r w:rsidRPr="00754EAB">
        <w:rPr>
          <w:rStyle w:val="Aucun"/>
          <w:color w:val="000000"/>
        </w:rPr>
        <w:noBreakHyphen/>
        <w:t>Membros que não estão a cumprir os seus próprios compromissos em matéria de produção de produtos de defesa e de apoio direto às capacidades de produção pertinentes a participarem em empresas comuns com a Ucrânia ou a efetuarem encomendas diretamente na Ucrânia; convida os Estados</w:t>
      </w:r>
      <w:r w:rsidRPr="00754EAB">
        <w:rPr>
          <w:rStyle w:val="Aucun"/>
          <w:color w:val="000000"/>
        </w:rPr>
        <w:noBreakHyphen/>
        <w:t>Membros a acelerarem os investimentos diretos para aumentar a capacidade industrial militar da Ucrânia, seguindo o modelo utilizado pela Dinamarca; insta a UE a incluir este modelo no fundo de assistência à Ucrânia;</w:t>
      </w:r>
    </w:p>
    <w:p w14:paraId="0BD3048B" w14:textId="14FC8869" w:rsidR="009E3702" w:rsidRPr="00754EAB" w:rsidRDefault="009E3702" w:rsidP="009E3702">
      <w:pPr>
        <w:pStyle w:val="NormalHanging12a"/>
      </w:pPr>
      <w:r w:rsidRPr="00754EAB">
        <w:t>16.</w:t>
      </w:r>
      <w:r w:rsidRPr="00754EAB">
        <w:tab/>
      </w:r>
      <w:r w:rsidRPr="00754EAB">
        <w:rPr>
          <w:rStyle w:val="Aucun"/>
          <w:color w:val="000000"/>
        </w:rPr>
        <w:t>Insta as instituições da UE e os Estados</w:t>
      </w:r>
      <w:r w:rsidRPr="00754EAB">
        <w:rPr>
          <w:rStyle w:val="Aucun"/>
          <w:color w:val="000000"/>
        </w:rPr>
        <w:noBreakHyphen/>
        <w:t xml:space="preserve">Membros a contribuírem ativamente para manter a unidade nas sanções e a procurarem obter rapidamente a adoção do 15.º pacote de sanções; </w:t>
      </w:r>
      <w:r w:rsidRPr="00754EAB">
        <w:t>insta os Estados</w:t>
      </w:r>
      <w:r w:rsidRPr="00754EAB">
        <w:noBreakHyphen/>
        <w:t xml:space="preserve">Membros a pressionarem ativamente </w:t>
      </w:r>
      <w:r w:rsidR="002A2B9A" w:rsidRPr="00754EAB">
        <w:t>o governo húngaro</w:t>
      </w:r>
      <w:r w:rsidRPr="00754EAB">
        <w:t xml:space="preserve"> para que ponha termo ao seu irresponsável bloqueio do Mecanismo Europeu de Apoio à Paz – incluindo o recém</w:t>
      </w:r>
      <w:r w:rsidRPr="00754EAB">
        <w:noBreakHyphen/>
        <w:t>criado fundo de assistência à Ucrânia – que impediu a libertação de 6,6 mil milhões de EUR em reembolsos parciais aos Estados</w:t>
      </w:r>
      <w:r w:rsidRPr="00754EAB">
        <w:noBreakHyphen/>
        <w:t>Membros que prestam apoio militar à Ucrânia; salienta que se o MEAP permanecer bloqueado até ao próximo Conselho Europeu, tem de ser imediatamente criado um novo formato que inclua apenas os Estados</w:t>
      </w:r>
      <w:r w:rsidRPr="00754EAB">
        <w:noBreakHyphen/>
        <w:t>Membros dispostos e capazes de prestar assistência militar à Ucrânia, ou as contribuições nacionais terão de ser reembolsadas, a fim de não prejudicar o financiamento harmonioso da ajuda bilateral;</w:t>
      </w:r>
    </w:p>
    <w:p w14:paraId="3961F574" w14:textId="77777777" w:rsidR="009E3702" w:rsidRPr="00754EAB" w:rsidRDefault="009E3702" w:rsidP="009E3702">
      <w:pPr>
        <w:pStyle w:val="NormalHanging12a"/>
        <w:rPr>
          <w:rStyle w:val="Aucun"/>
          <w:color w:val="000000"/>
        </w:rPr>
      </w:pPr>
      <w:r w:rsidRPr="00754EAB">
        <w:rPr>
          <w:rStyle w:val="Aucun"/>
          <w:color w:val="000000"/>
        </w:rPr>
        <w:t>17.</w:t>
      </w:r>
      <w:r w:rsidRPr="00754EAB">
        <w:rPr>
          <w:rStyle w:val="Aucun"/>
          <w:color w:val="000000"/>
        </w:rPr>
        <w:tab/>
        <w:t>Exorta o Conselho e os Estados</w:t>
      </w:r>
      <w:r w:rsidRPr="00754EAB">
        <w:rPr>
          <w:rStyle w:val="Aucun"/>
          <w:color w:val="000000"/>
        </w:rPr>
        <w:noBreakHyphen/>
        <w:t xml:space="preserve">Membros a sanarem de forma sistemática o problema da evasão às sanções por parte de indivíduos e empresas sediadas na UE, entidades e países terceiros e a adotarem e aplicarem rigorosamente medidas restritivas contra todas as entidades que facilitem a evasão às sanções ou disponibilizem tecnologias e equipamentos militares e de dupla utilização ao complexo militar da Rússia, assegurando que nenhuma lacuna é explorada para canalizar armas ou recursos para a </w:t>
      </w:r>
      <w:r w:rsidRPr="00754EAB">
        <w:rPr>
          <w:rStyle w:val="Aucun"/>
          <w:color w:val="000000"/>
        </w:rPr>
        <w:lastRenderedPageBreak/>
        <w:t xml:space="preserve">Rússia; </w:t>
      </w:r>
      <w:r w:rsidRPr="00754EAB">
        <w:t xml:space="preserve">considera que é essencial aumentar os controlos da exportação e manutenção de equipamento de alta tecnologia produzido na UE e reforçar as medidas de execução e a cooperação para impedir a evasão às sanções; </w:t>
      </w:r>
      <w:r w:rsidRPr="00754EAB">
        <w:rPr>
          <w:rStyle w:val="Aucun"/>
          <w:color w:val="000000"/>
        </w:rPr>
        <w:t>insta a intensificar urgentemente a revisão do comércio dos Estados</w:t>
      </w:r>
      <w:r w:rsidRPr="00754EAB">
        <w:rPr>
          <w:rStyle w:val="Aucun"/>
          <w:color w:val="000000"/>
        </w:rPr>
        <w:noBreakHyphen/>
        <w:t>Membros da UE com os países da Ásia Central e ainda com a Turquia e o Azerbaijão, entre outros, dado que estes são claramente utilizados na evasão às sanções da UE;</w:t>
      </w:r>
    </w:p>
    <w:p w14:paraId="7E123C60" w14:textId="77777777" w:rsidR="009E3702" w:rsidRPr="00754EAB" w:rsidRDefault="009E3702" w:rsidP="009E3702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18.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Reitera o seu apelo à UE e aos seus Estados</w:t>
      </w:r>
      <w:r w:rsidRPr="00754EAB">
        <w:rPr>
          <w:rStyle w:val="Aucun"/>
          <w:color w:val="000000"/>
        </w:rPr>
        <w:noBreakHyphen/>
        <w:t>Membros para que revejam a atual duração das sanções impostas à Rússia, prorrogando o período de validade dos atuais seis meses para um período mais sólido e estratégico de três anos; assinala que tal medida reforçaria a coerência e a previsibilidade da posição da UE em matéria de política externa, protegendo</w:t>
      </w:r>
      <w:r w:rsidRPr="00754EAB">
        <w:rPr>
          <w:rStyle w:val="Aucun"/>
          <w:color w:val="000000"/>
        </w:rPr>
        <w:noBreakHyphen/>
        <w:t>a da instrumentalização abusiva dos requisitos de unanimidade, reforçaria o impacto das sanções e enviaria uma mensagem clara de empenho na defesa do direito internacional e da segurança europeia, reduzindo simultaneamente os encargos administrativos das renovações frequentes;</w:t>
      </w:r>
    </w:p>
    <w:p w14:paraId="1CA33BE4" w14:textId="77777777" w:rsidR="009E3702" w:rsidRPr="00754EAB" w:rsidRDefault="009E3702" w:rsidP="009E3702">
      <w:pPr>
        <w:pStyle w:val="NormalHanging12a"/>
        <w:rPr>
          <w:bCs/>
          <w:szCs w:val="24"/>
        </w:rPr>
      </w:pPr>
      <w:r w:rsidRPr="00754EAB">
        <w:rPr>
          <w:u w:color="000000"/>
        </w:rPr>
        <w:t>19.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Acolhe favoravelmente a decisão do presidente Joe Biden de autorizar a Ucrânia a utilizar sistemas de mísseis avançados contra alvos militares no território russo, salientando que esta autorização respeita o direito legítimo da Ucrânia à autodefesa nos termos do artigo 51.º da Carta das Nações Unidas; insta a UE e os seus Estados</w:t>
      </w:r>
      <w:r w:rsidRPr="00754EAB">
        <w:rPr>
          <w:rStyle w:val="Aucun"/>
          <w:color w:val="000000"/>
        </w:rPr>
        <w:noBreakHyphen/>
        <w:t>Membros a adotarem medidas semelhantes, eliminando as restrições à utilização de sistemas militares para operações defensivas legítimas fora das fronteiras da Ucrânia, a fim de dissuadir a continuação da agressão russa;</w:t>
      </w:r>
    </w:p>
    <w:p w14:paraId="3D3D6DF9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20.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Exorta a UE e os seus Estados</w:t>
      </w:r>
      <w:r w:rsidRPr="00754EAB">
        <w:rPr>
          <w:rStyle w:val="Aucun"/>
          <w:color w:val="000000"/>
        </w:rPr>
        <w:noBreakHyphen/>
        <w:t>Membros a colaborarem com a nova administração dos EUA para reforçar a cooperação transatlântica mutuamente benéfica – realçando o interesse estratégico comum de apoiar a Ucrânia – e a salientarem que a Rússia e os seus aliados representam não só uma ameaça para a estabilidade europeia, mas também um perigo significativo para a segurança mundial e a ordem internacional assente em regras; espera que a nova administração Trump mantenha o apoio à Ucrânia e permaneça firme no seu compromisso com a OTAN e, ao mesmo tempo, exorta a UE e os seus Estados</w:t>
      </w:r>
      <w:r w:rsidRPr="00754EAB">
        <w:rPr>
          <w:rStyle w:val="Aucun"/>
          <w:color w:val="000000"/>
        </w:rPr>
        <w:noBreakHyphen/>
        <w:t>Membros a passarem das palavras aos atos, criando uma verdadeira União da defesa também como pilar europeu da OTAN, a começar pelo reforço das suas capacidades de defesa;</w:t>
      </w:r>
    </w:p>
    <w:p w14:paraId="78B0C29E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21.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Reclama a responsabilização por crimes de guerra e violações do direito internacional cometidos pela Rússia e seus aliados, incluindo a Coreia do Norte, através duma cooperação reforçada com o Tribunal Penal Internacional e outros organismos judiciais; insta a UE e os parceiros internacionais a intensificarem os esforços para responsabilizar todos os infratores;</w:t>
      </w:r>
    </w:p>
    <w:p w14:paraId="30272D72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22.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 xml:space="preserve">Insta a Comissão a propor medidas adicionais para apoiar a economia ucraniana, prestando mais apoio financeiro e facilitando oportunidades de investimento; </w:t>
      </w:r>
      <w:r w:rsidRPr="00754EAB">
        <w:t>congratula</w:t>
      </w:r>
      <w:r w:rsidRPr="00754EAB">
        <w:noBreakHyphen/>
        <w:t>se com o acordo com o Conselho sobre uma assistência macrofinanceira à Ucrânia num montante máximo de 35 mil milhões de EUR, que utiliza ativos russos congelados, bem como o novo Mecanismo de Cooperação para Empréstimos à Ucrânia;</w:t>
      </w:r>
      <w:r w:rsidRPr="00754EAB">
        <w:rPr>
          <w:rStyle w:val="Aucun"/>
          <w:color w:val="000000"/>
        </w:rPr>
        <w:t xml:space="preserve"> apela à aplicação rápida de ambos os instrumentos, de modo a permitir que a Ucrânia beneficie o mais rapidamente possível destas novas possibilidades de financiamento;</w:t>
      </w:r>
    </w:p>
    <w:p w14:paraId="6A07469A" w14:textId="77777777" w:rsidR="009E3702" w:rsidRPr="00754EAB" w:rsidRDefault="009E3702" w:rsidP="009E3702">
      <w:pPr>
        <w:pStyle w:val="NormalHanging12a"/>
        <w:rPr>
          <w:szCs w:val="24"/>
        </w:rPr>
      </w:pPr>
      <w:r w:rsidRPr="00754EAB">
        <w:rPr>
          <w:u w:color="000000"/>
        </w:rPr>
        <w:t>23.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Reitera o seu pedido à UE e aos seus Estados</w:t>
      </w:r>
      <w:r w:rsidRPr="00754EAB">
        <w:rPr>
          <w:rStyle w:val="Aucun"/>
          <w:color w:val="000000"/>
        </w:rPr>
        <w:noBreakHyphen/>
        <w:t xml:space="preserve">Membros para tomarem medidas mais substanciais com vista a instituir soluções criativas, ao abrigo dum regime jurídico </w:t>
      </w:r>
      <w:r w:rsidRPr="00754EAB">
        <w:rPr>
          <w:rStyle w:val="Aucun"/>
          <w:color w:val="000000"/>
        </w:rPr>
        <w:lastRenderedPageBreak/>
        <w:t>sólido, para o confisco dos bens estatais russos imobilizados pela UE e a sua utilização para abordar as implicações diversificadas da guerra de agressão da Rússia contra a Ucrânia, incluindo evitar mais destruição e perdas de vidas humanas, a reconstrução do país e a indemnização das vítimas da agressão russa; salienta que qualquer reclamação futura da Rússia sobre estes ativos só poderá ser resolvida após uma análise global das reparações pendentes devidas à Ucrânia; salienta a importância do Mecanismo para a Ucrânia enquanto mecanismo de apoio financeiro a longo prazo, bem como para os esforços de reconstrução e recuperação, e insta à sua aplicação rápida e eficiente; insta a Comissão a propor assistência financeira a longo prazo para além de 2027 para a reconstrução da Ucrânia, com base na experiência do Mecanismo para a Ucrânia;</w:t>
      </w:r>
    </w:p>
    <w:p w14:paraId="342C7A22" w14:textId="77777777" w:rsidR="009E3702" w:rsidRPr="00754EAB" w:rsidRDefault="009E3702" w:rsidP="009E3702">
      <w:pPr>
        <w:pStyle w:val="NormalHanging12a"/>
        <w:rPr>
          <w:rStyle w:val="Aucun"/>
          <w:color w:val="000000"/>
          <w:szCs w:val="24"/>
        </w:rPr>
      </w:pPr>
      <w:r w:rsidRPr="00754EAB">
        <w:rPr>
          <w:rStyle w:val="Aucun"/>
          <w:color w:val="000000"/>
          <w:u w:color="000000"/>
        </w:rPr>
        <w:t>24.</w:t>
      </w:r>
      <w:r w:rsidRPr="00754EAB">
        <w:rPr>
          <w:rStyle w:val="Aucun"/>
          <w:color w:val="000000"/>
          <w:u w:color="000000"/>
        </w:rPr>
        <w:tab/>
      </w:r>
      <w:r w:rsidRPr="00754EAB">
        <w:rPr>
          <w:rStyle w:val="Aucun"/>
          <w:color w:val="000000"/>
        </w:rPr>
        <w:t>Salienta a necessidade de criar um quadro mais estável e previsível para as relações comerciais entre a UE e a Ucrânia; insta a Comissão, a este respeito, a acelerar as consultas com a Ucrânia nos termos do artigo 29.º do Acordo de Associação e exorta ambas as partes a chegarem a acordo sobre o nível de liberalização mais ambicioso possível; insta a Comissão a envolver estreitamente o Parlamento na revisão da zona de comércio livre abrangente e aprofundado (ZCLAA); constata as restrições às importações de produtos agroalimentares provenientes da Ucrânia impostas unilateralmente por vários Estados</w:t>
      </w:r>
      <w:r w:rsidRPr="00754EAB">
        <w:rPr>
          <w:rStyle w:val="Aucun"/>
          <w:color w:val="000000"/>
        </w:rPr>
        <w:noBreakHyphen/>
        <w:t>Membros, que afetam a competência exclusiva da UE em matéria de comércio no âmbito da política comercial comum e as obrigações da UE ao abrigo da ZCLAA com a Ucrânia;</w:t>
      </w:r>
      <w:r w:rsidRPr="00754EAB">
        <w:rPr>
          <w:i/>
        </w:rPr>
        <w:t xml:space="preserve"> </w:t>
      </w:r>
      <w:r w:rsidRPr="00754EAB">
        <w:rPr>
          <w:rStyle w:val="Aucun"/>
          <w:color w:val="000000"/>
        </w:rPr>
        <w:t>insta a Comissão a encontrar soluções europeias para potenciais distorções do mercado causadas pelo aumento do afluxo de produtos agroalimentares ucranianos, em consulta com a Ucrânia e os Estados</w:t>
      </w:r>
      <w:r w:rsidRPr="00754EAB">
        <w:rPr>
          <w:rStyle w:val="Aucun"/>
          <w:color w:val="000000"/>
        </w:rPr>
        <w:noBreakHyphen/>
        <w:t>Membros pertinentes;</w:t>
      </w:r>
    </w:p>
    <w:p w14:paraId="29562B51" w14:textId="77777777" w:rsidR="009E3702" w:rsidRPr="00754EAB" w:rsidRDefault="009E3702" w:rsidP="009E3702">
      <w:pPr>
        <w:pStyle w:val="NormalHanging12a"/>
      </w:pPr>
      <w:r w:rsidRPr="00754EAB">
        <w:t>25.</w:t>
      </w:r>
      <w:r w:rsidRPr="00754EAB">
        <w:tab/>
      </w:r>
      <w:r w:rsidRPr="00754EAB">
        <w:rPr>
          <w:rStyle w:val="Aucun"/>
          <w:color w:val="000000"/>
        </w:rPr>
        <w:t>Exorta a um aumento significativo – tendo em conta os rigorosos meses de inverno que se avizinham – da ajuda humanitária da UE para fazer face à terrível situação causada pelos ataques sistemáticos da Rússia contra infraestruturas civis, designadamente infraestruturas energéticas, que deixaram milhões de ucranianos sem serviços essenciais; reconhece o trabalho de muitas organizações da sociedade civil ucranianas e outras na assistência às famílias de crianças ucranianas raptadas, prisioneiros de guerra e civis ucranianos detidos ilegalmente, bem como os seus esforços incansáveis para trazer os seus entes queridos para casa; exorta a UE, os seus Estados</w:t>
      </w:r>
      <w:r w:rsidRPr="00754EAB">
        <w:rPr>
          <w:rStyle w:val="Aucun"/>
          <w:color w:val="000000"/>
        </w:rPr>
        <w:noBreakHyphen/>
        <w:t>Membros e a comunidade internacional a apoiarem as suas atividades e a utilizarem todos os fóruns internacionais disponíveis para pressionar a Rússia a fazer regressar as crianças ucranianas raptadas e os prisioneiros de guerra e civis ucranianos detidos ilegalmente;</w:t>
      </w:r>
    </w:p>
    <w:p w14:paraId="69C88868" w14:textId="77777777" w:rsidR="009E3702" w:rsidRPr="00754EAB" w:rsidRDefault="009E3702" w:rsidP="009E3702">
      <w:pPr>
        <w:pStyle w:val="NormalHanging12a"/>
        <w:rPr>
          <w:szCs w:val="24"/>
        </w:rPr>
      </w:pPr>
      <w:r w:rsidRPr="00754EAB">
        <w:rPr>
          <w:u w:color="000000"/>
        </w:rPr>
        <w:t>26.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Lamenta o assassínio e os maus</w:t>
      </w:r>
      <w:r w:rsidRPr="00754EAB">
        <w:rPr>
          <w:rStyle w:val="Aucun"/>
          <w:color w:val="000000"/>
        </w:rPr>
        <w:noBreakHyphen/>
        <w:t>tratos intencionais de prisioneiros de guerra ucranianos pela Rússia e insta</w:t>
      </w:r>
      <w:r w:rsidRPr="00754EAB">
        <w:rPr>
          <w:rStyle w:val="Aucun"/>
          <w:color w:val="000000"/>
        </w:rPr>
        <w:noBreakHyphen/>
        <w:t>a a cumprir as suas obrigações internacionais, designadamente a Convenção de Genebra, e a permitir que organizações internacionais – como o Comité Internacional da Cruz Vermelha – visitem os prisioneiros de guerra e avaliem o seu estado de saúde; insta a UE, os seus Estados</w:t>
      </w:r>
      <w:r w:rsidRPr="00754EAB">
        <w:rPr>
          <w:rStyle w:val="Aucun"/>
          <w:color w:val="000000"/>
        </w:rPr>
        <w:noBreakHyphen/>
        <w:t>Membros e a comunidade internacional, especialmente a ONU, a reverem e adaptarem as convenções internacionais e o trabalho das organizações internacionais pertinentes às realidades atuais e a torná</w:t>
      </w:r>
      <w:r w:rsidRPr="00754EAB">
        <w:rPr>
          <w:rStyle w:val="Aucun"/>
          <w:color w:val="000000"/>
        </w:rPr>
        <w:noBreakHyphen/>
        <w:t>las mais reativas às necessidades dos prisioneiros de guerra;</w:t>
      </w:r>
    </w:p>
    <w:p w14:paraId="4D25F0A5" w14:textId="77777777" w:rsidR="009E3702" w:rsidRPr="00754EAB" w:rsidRDefault="009E3702" w:rsidP="009E3702">
      <w:pPr>
        <w:pStyle w:val="NormalHanging12a"/>
      </w:pPr>
      <w:r w:rsidRPr="00754EAB">
        <w:t>27.</w:t>
      </w:r>
      <w:r w:rsidRPr="00754EAB">
        <w:tab/>
        <w:t>Constata com preocupação que a Rússia recruta ativamente pessoas de regiões remotas – como África, Médio Oriente e América Latina – com recurso a artifícios ou coação, para as enviar para a guerra contra o povo da Ucrânia; insta as Nações Unidas, a União Africana e os países cujas populações são visadas por Moscovo a tomarem medidas ativas para combater este recrutamento;</w:t>
      </w:r>
    </w:p>
    <w:p w14:paraId="438DD53D" w14:textId="77777777" w:rsidR="009E3702" w:rsidRPr="00754EAB" w:rsidRDefault="009E3702" w:rsidP="009E3702">
      <w:pPr>
        <w:pStyle w:val="NormalHanging12a"/>
      </w:pPr>
      <w:r w:rsidRPr="00754EAB">
        <w:lastRenderedPageBreak/>
        <w:t>28.</w:t>
      </w:r>
      <w:r w:rsidRPr="00754EAB">
        <w:tab/>
      </w:r>
      <w:r w:rsidRPr="00754EAB">
        <w:rPr>
          <w:rStyle w:val="Aucun"/>
          <w:color w:val="000000"/>
        </w:rPr>
        <w:t>Realça uma vez mais o papel construtivo da Coreia do Sul na ordem internacional assente em regras, incluindo o seu compromisso inquebrantável para com a Ucrânia; insta a UE e os seus Estados</w:t>
      </w:r>
      <w:r w:rsidRPr="00754EAB">
        <w:rPr>
          <w:rStyle w:val="Aucun"/>
          <w:color w:val="000000"/>
        </w:rPr>
        <w:noBreakHyphen/>
        <w:t>Membros a colaborarem com a Coreia do Sul e a procurarem mudar a sua posição sobre o armamento da Ucrânia, a fim de disponibilizar recursos militares significativos para ajudar as operações de defesa da Ucrânia; congratula</w:t>
      </w:r>
      <w:r w:rsidRPr="00754EAB">
        <w:rPr>
          <w:rStyle w:val="Aucun"/>
          <w:color w:val="000000"/>
        </w:rPr>
        <w:noBreakHyphen/>
        <w:t>se com o primeiro Diálogo Estratégico UE</w:t>
      </w:r>
      <w:r w:rsidRPr="00754EAB">
        <w:rPr>
          <w:rStyle w:val="Aucun"/>
          <w:color w:val="000000"/>
        </w:rPr>
        <w:noBreakHyphen/>
        <w:t>República da Coreia – que teve lugar em Seul, em 4 de novembro de 2024 – e com a subsequente Parceria de Segurança e Defesa entre a UE e a Coreia do Sul; apoia o aprofundamento das relações da UE com a Coreia do Sul e o reforço da cooperação bilateral em matéria de segurança e defesa; insta a UE e os seus Estados</w:t>
      </w:r>
      <w:r w:rsidRPr="00754EAB">
        <w:rPr>
          <w:rStyle w:val="Aucun"/>
          <w:color w:val="000000"/>
        </w:rPr>
        <w:noBreakHyphen/>
        <w:t xml:space="preserve">Membros – em cooperação com a Ucrânia e a Coreia do Sul – a incentivarem e estarem preparados para a eventual deserção de membros do Exército do Povo Coreano; </w:t>
      </w:r>
      <w:r w:rsidRPr="00754EAB">
        <w:t>insta a UE e os seus Estados</w:t>
      </w:r>
      <w:r w:rsidRPr="00754EAB">
        <w:noBreakHyphen/>
        <w:t>Membros a aprofundarem a sua cooperação com a Coreia do Sul sobre o futuro da Ucrânia, concentrando</w:t>
      </w:r>
      <w:r w:rsidRPr="00754EAB">
        <w:noBreakHyphen/>
        <w:t>se nas suas aspirações de adesão à UE, nas garantias de segurança e na reconstrução; exorta a uma cooperação mais estreita com outros parceiros que partilham das mesmas ideias – em particular o Japão, a Austrália e Taiwan – e salienta a necessidade dum maior diálogo no Indo</w:t>
      </w:r>
      <w:r w:rsidRPr="00754EAB">
        <w:noBreakHyphen/>
        <w:t>Pacífico;</w:t>
      </w:r>
    </w:p>
    <w:p w14:paraId="333A6332" w14:textId="77777777" w:rsidR="009E3702" w:rsidRPr="00754EAB" w:rsidRDefault="009E3702" w:rsidP="009E3702">
      <w:pPr>
        <w:pStyle w:val="NormalHanging12a"/>
        <w:rPr>
          <w:bCs/>
          <w:i/>
          <w:iCs/>
          <w:szCs w:val="24"/>
        </w:rPr>
      </w:pPr>
      <w:r w:rsidRPr="00754EAB">
        <w:rPr>
          <w:u w:color="000000"/>
        </w:rPr>
        <w:t>29.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Insta a UE e os seus Estados</w:t>
      </w:r>
      <w:r w:rsidRPr="00754EAB">
        <w:rPr>
          <w:rStyle w:val="Aucun"/>
          <w:color w:val="000000"/>
        </w:rPr>
        <w:noBreakHyphen/>
        <w:t>Membros a continuarem a prestar apoio à oposição democrática russa, a garantirem a sua proteção e a incentivá</w:t>
      </w:r>
      <w:r w:rsidRPr="00754EAB">
        <w:rPr>
          <w:rStyle w:val="Aucun"/>
          <w:color w:val="000000"/>
        </w:rPr>
        <w:noBreakHyphen/>
        <w:t>la a lutar contra o regime de Putin – em particular contra os sentimentos militaristas, chauvinistas e imperialistas da sociedade russa – e ainda a expressar firmemente e procurar ativamente o apoio à Ucrânia;</w:t>
      </w:r>
    </w:p>
    <w:p w14:paraId="61FC4D6E" w14:textId="77777777" w:rsidR="009E3702" w:rsidRPr="00754EAB" w:rsidRDefault="009E3702" w:rsidP="009E3702">
      <w:pPr>
        <w:pStyle w:val="NormalHanging12a"/>
      </w:pPr>
      <w:r w:rsidRPr="00754EAB">
        <w:rPr>
          <w:rStyle w:val="Aucun"/>
          <w:color w:val="000000"/>
        </w:rPr>
        <w:t>30.</w:t>
      </w:r>
      <w:r w:rsidRPr="00754EAB">
        <w:rPr>
          <w:rStyle w:val="Aucun"/>
          <w:color w:val="000000"/>
        </w:rPr>
        <w:tab/>
      </w:r>
      <w:r w:rsidRPr="00754EAB">
        <w:t>Condena os recentes atos no mar Báltico que danificaram infraestruturas críticas europeias; salienta a necessidade urgente de investigar estes incidentes graves e de divulgar informações sobre os autores e respetivas intenções; sublinha que vários representantes de governos europeus consideram que o incidente mais recente constitui um grave ato de sabotagem; insta o vice</w:t>
      </w:r>
      <w:r w:rsidRPr="00754EAB">
        <w:noBreakHyphen/>
        <w:t>presidente da Comissão/alto representante da União para os Negócios Estrangeiros e a Política de Segurança e os Estados</w:t>
      </w:r>
      <w:r w:rsidRPr="00754EAB">
        <w:noBreakHyphen/>
        <w:t>Membros a responderem com medidas adequadas contra quaisquer intervenientes estatais ou não estatais responsáveis, caso existam provas da sua participação;</w:t>
      </w:r>
    </w:p>
    <w:p w14:paraId="27334DC1" w14:textId="0080754F" w:rsidR="00E365E1" w:rsidRPr="00754EAB" w:rsidRDefault="009E3702" w:rsidP="00195579">
      <w:pPr>
        <w:pStyle w:val="NormalHanging12a"/>
      </w:pPr>
      <w:r w:rsidRPr="00754EAB">
        <w:rPr>
          <w:u w:color="000000"/>
        </w:rPr>
        <w:t>31.</w:t>
      </w:r>
      <w:r w:rsidRPr="00754EAB">
        <w:rPr>
          <w:u w:color="000000"/>
        </w:rPr>
        <w:tab/>
      </w:r>
      <w:r w:rsidRPr="00754EAB">
        <w:rPr>
          <w:rStyle w:val="Aucun"/>
          <w:color w:val="000000"/>
        </w:rPr>
        <w:t>Encarrega a sua Presidente de transmitir a presente resolução ao Conselho, à Comissão, ao vice</w:t>
      </w:r>
      <w:r w:rsidRPr="00754EAB">
        <w:rPr>
          <w:rStyle w:val="Aucun"/>
          <w:color w:val="000000"/>
        </w:rPr>
        <w:noBreakHyphen/>
        <w:t>presidente da Comissão/alto representante da União para os Negócios Estrangeiros e a Política de Segurança, aos governos e parlamentos dos Estados</w:t>
      </w:r>
      <w:r w:rsidRPr="00754EAB">
        <w:rPr>
          <w:rStyle w:val="Aucun"/>
          <w:color w:val="000000"/>
        </w:rPr>
        <w:noBreakHyphen/>
        <w:t xml:space="preserve">Membros, ao presidente, ao </w:t>
      </w:r>
      <w:r w:rsidRPr="00754EAB">
        <w:t>governo</w:t>
      </w:r>
      <w:r w:rsidRPr="00754EAB">
        <w:rPr>
          <w:rStyle w:val="Aucun"/>
          <w:color w:val="000000"/>
        </w:rPr>
        <w:t xml:space="preserve"> e ao Verkhovna Rada da Ucrânia, ao governo russo, aos governos da Coreia </w:t>
      </w:r>
      <w:r w:rsidR="00C07174" w:rsidRPr="00754EAB">
        <w:rPr>
          <w:rStyle w:val="Aucun"/>
          <w:color w:val="000000"/>
        </w:rPr>
        <w:t xml:space="preserve">do Sul </w:t>
      </w:r>
      <w:r w:rsidRPr="00754EAB">
        <w:rPr>
          <w:rStyle w:val="Aucun"/>
          <w:color w:val="000000"/>
        </w:rPr>
        <w:t>e da Coreia do Norte e aos restantes governos em causa, e às Nações Unidas.</w:t>
      </w:r>
    </w:p>
    <w:sectPr w:rsidR="00E365E1" w:rsidRPr="00754EAB" w:rsidSect="00CE50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CB91B" w14:textId="77777777" w:rsidR="00CC7697" w:rsidRPr="00CE502E" w:rsidRDefault="00CC7697">
      <w:r w:rsidRPr="00CE502E">
        <w:separator/>
      </w:r>
    </w:p>
  </w:endnote>
  <w:endnote w:type="continuationSeparator" w:id="0">
    <w:p w14:paraId="655ED32A" w14:textId="77777777" w:rsidR="00CC7697" w:rsidRPr="00CE502E" w:rsidRDefault="00CC7697">
      <w:r w:rsidRPr="00CE50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06376" w14:textId="77777777" w:rsidR="00064002" w:rsidRPr="00CE50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07C1D" w14:textId="77777777" w:rsidR="00064002" w:rsidRPr="00CE50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E3DFC" w14:textId="77777777" w:rsidR="00064002" w:rsidRPr="00CE50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7B56F" w14:textId="77777777" w:rsidR="00CC7697" w:rsidRPr="00CE502E" w:rsidRDefault="00CC7697">
      <w:r w:rsidRPr="00CE502E">
        <w:separator/>
      </w:r>
    </w:p>
  </w:footnote>
  <w:footnote w:type="continuationSeparator" w:id="0">
    <w:p w14:paraId="0E35C885" w14:textId="77777777" w:rsidR="00CC7697" w:rsidRPr="00CE502E" w:rsidRDefault="00CC7697">
      <w:r w:rsidRPr="00CE502E">
        <w:continuationSeparator/>
      </w:r>
    </w:p>
  </w:footnote>
  <w:footnote w:id="1">
    <w:p w14:paraId="2DF58F40" w14:textId="77777777" w:rsidR="009E3702" w:rsidRPr="005307C2" w:rsidRDefault="009E3702" w:rsidP="00CE502E">
      <w:pPr>
        <w:pStyle w:val="FootnoteText"/>
        <w:ind w:left="567" w:hanging="567"/>
        <w:rPr>
          <w:sz w:val="24"/>
          <w:lang w:val="fi-FI"/>
        </w:rPr>
      </w:pPr>
      <w:r w:rsidRPr="00CE502E">
        <w:rPr>
          <w:rStyle w:val="FootnoteReference"/>
          <w:sz w:val="24"/>
          <w:lang w:val="pt-PT"/>
        </w:rPr>
        <w:footnoteRef/>
      </w:r>
      <w:r w:rsidR="00CE502E" w:rsidRPr="005307C2">
        <w:rPr>
          <w:sz w:val="24"/>
          <w:lang w:val="fi-FI"/>
        </w:rPr>
        <w:t xml:space="preserve"> </w:t>
      </w:r>
      <w:r w:rsidR="00CE502E" w:rsidRPr="005307C2">
        <w:rPr>
          <w:sz w:val="24"/>
          <w:lang w:val="fi-FI"/>
        </w:rPr>
        <w:tab/>
      </w:r>
      <w:r w:rsidRPr="005307C2">
        <w:rPr>
          <w:sz w:val="24"/>
          <w:lang w:val="fi-FI"/>
        </w:rPr>
        <w:t xml:space="preserve">JO C, C/2024/6129, 22.10.2024, ELI: </w:t>
      </w:r>
      <w:hyperlink r:id="rId1" w:history="1">
        <w:r w:rsidRPr="005307C2">
          <w:rPr>
            <w:rStyle w:val="Hyperlink"/>
            <w:sz w:val="24"/>
            <w:lang w:val="fi-FI"/>
          </w:rPr>
          <w:t>http://data.europa.eu/eli/C/2024/6129/oj</w:t>
        </w:r>
      </w:hyperlink>
      <w:r w:rsidRPr="005307C2">
        <w:rPr>
          <w:sz w:val="24"/>
          <w:lang w:val="fi-FI"/>
        </w:rPr>
        <w:t>.</w:t>
      </w:r>
    </w:p>
  </w:footnote>
  <w:footnote w:id="2">
    <w:p w14:paraId="4085516F" w14:textId="77777777" w:rsidR="009E3702" w:rsidRPr="00CE502E" w:rsidRDefault="009E3702" w:rsidP="00CE502E">
      <w:pPr>
        <w:pStyle w:val="FootnoteText"/>
        <w:ind w:left="567" w:hanging="567"/>
        <w:rPr>
          <w:sz w:val="24"/>
          <w:lang w:val="pt-PT"/>
        </w:rPr>
      </w:pPr>
      <w:r w:rsidRPr="00CE502E">
        <w:rPr>
          <w:rStyle w:val="FootnoteReference"/>
          <w:sz w:val="24"/>
          <w:lang w:val="pt-PT"/>
        </w:rPr>
        <w:footnoteRef/>
      </w:r>
      <w:r w:rsidR="00CE502E" w:rsidRPr="00CE502E">
        <w:rPr>
          <w:sz w:val="24"/>
          <w:lang w:val="pt-PT"/>
        </w:rPr>
        <w:t xml:space="preserve"> </w:t>
      </w:r>
      <w:r w:rsidR="00CE502E" w:rsidRPr="00CE502E">
        <w:rPr>
          <w:sz w:val="24"/>
          <w:lang w:val="pt-PT"/>
        </w:rPr>
        <w:tab/>
      </w:r>
      <w:r w:rsidRPr="00CE502E">
        <w:rPr>
          <w:sz w:val="24"/>
          <w:lang w:val="pt-PT"/>
        </w:rPr>
        <w:t>Textos Aprovados, P10_TA(2024)0012.</w:t>
      </w:r>
    </w:p>
  </w:footnote>
  <w:footnote w:id="3">
    <w:p w14:paraId="5591D83A" w14:textId="77777777" w:rsidR="009E3702" w:rsidRPr="00754EAB" w:rsidRDefault="009E3702" w:rsidP="00CE502E">
      <w:pPr>
        <w:pStyle w:val="FootnoteText"/>
        <w:ind w:left="567" w:hanging="567"/>
        <w:rPr>
          <w:sz w:val="24"/>
          <w:lang w:val="pt-PT"/>
        </w:rPr>
      </w:pPr>
      <w:r w:rsidRPr="00CE502E">
        <w:rPr>
          <w:rStyle w:val="FootnoteReference"/>
          <w:sz w:val="24"/>
          <w:lang w:val="pt-PT"/>
        </w:rPr>
        <w:footnoteRef/>
      </w:r>
      <w:r w:rsidR="00CE502E" w:rsidRPr="00754EAB">
        <w:rPr>
          <w:sz w:val="24"/>
          <w:lang w:val="pt-PT"/>
        </w:rPr>
        <w:t xml:space="preserve"> </w:t>
      </w:r>
      <w:r w:rsidR="00CE502E" w:rsidRPr="00754EAB">
        <w:rPr>
          <w:sz w:val="24"/>
          <w:lang w:val="pt-PT"/>
        </w:rPr>
        <w:tab/>
      </w:r>
      <w:r w:rsidRPr="00754EAB">
        <w:rPr>
          <w:sz w:val="24"/>
          <w:lang w:val="pt-PT"/>
        </w:rPr>
        <w:t xml:space="preserve">JO L, 2024/792, 29.2.2024, ELI: </w:t>
      </w:r>
      <w:hyperlink r:id="rId2" w:history="1">
        <w:r w:rsidRPr="00754EAB">
          <w:rPr>
            <w:rStyle w:val="Hyperlink"/>
            <w:sz w:val="24"/>
            <w:lang w:val="pt-PT"/>
          </w:rPr>
          <w:t>http://data.europa.eu/eli/reg/2024/792/oj</w:t>
        </w:r>
      </w:hyperlink>
      <w:r w:rsidRPr="00754EAB">
        <w:rPr>
          <w:sz w:val="24"/>
          <w:lang w:val="pt-PT"/>
        </w:rPr>
        <w:t>.</w:t>
      </w:r>
    </w:p>
  </w:footnote>
  <w:footnote w:id="4">
    <w:p w14:paraId="57211F28" w14:textId="77777777" w:rsidR="009E3702" w:rsidRPr="005307C2" w:rsidRDefault="009E3702" w:rsidP="00CE502E">
      <w:pPr>
        <w:pStyle w:val="FootnoteText"/>
        <w:ind w:left="567" w:hanging="567"/>
        <w:rPr>
          <w:sz w:val="24"/>
          <w:lang w:val="fi-FI"/>
        </w:rPr>
      </w:pPr>
      <w:r w:rsidRPr="00CE502E">
        <w:rPr>
          <w:rStyle w:val="FootnoteReference"/>
          <w:sz w:val="24"/>
          <w:lang w:val="pt-PT"/>
        </w:rPr>
        <w:footnoteRef/>
      </w:r>
      <w:r w:rsidR="00CE502E" w:rsidRPr="005307C2">
        <w:rPr>
          <w:sz w:val="24"/>
          <w:lang w:val="fi-FI"/>
        </w:rPr>
        <w:t xml:space="preserve"> </w:t>
      </w:r>
      <w:r w:rsidR="00CE502E" w:rsidRPr="005307C2">
        <w:rPr>
          <w:sz w:val="24"/>
          <w:lang w:val="fi-FI"/>
        </w:rPr>
        <w:tab/>
      </w:r>
      <w:r w:rsidRPr="005307C2">
        <w:rPr>
          <w:sz w:val="24"/>
          <w:lang w:val="fi-FI"/>
        </w:rPr>
        <w:t xml:space="preserve">JO L, 2024/2773, 28.10.2024, ELI: </w:t>
      </w:r>
      <w:hyperlink r:id="rId3" w:history="1">
        <w:r w:rsidRPr="005307C2">
          <w:rPr>
            <w:rStyle w:val="Hyperlink"/>
            <w:sz w:val="24"/>
            <w:lang w:val="fi-FI"/>
          </w:rPr>
          <w:t>http://data.europa.eu/eli/reg/2024/2773/oj</w:t>
        </w:r>
      </w:hyperlink>
      <w:r w:rsidRPr="005307C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02B34" w14:textId="77777777" w:rsidR="00064002" w:rsidRPr="00CE50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69987" w14:textId="77777777" w:rsidR="00064002" w:rsidRPr="00CE50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30841" w14:textId="77777777" w:rsidR="00064002" w:rsidRPr="00CE50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1, 0192, 0193, 0198 e 0200/2024"/>
    <w:docVar w:name="dvlangue" w:val="PT"/>
    <w:docVar w:name="dvnumam" w:val="0"/>
    <w:docVar w:name="dvpe" w:val="766.505"/>
    <w:docVar w:name="dvtitre" w:val="Resolução do Parlamento Europeu, de ... de ... de 2024, sobre o reforço do apoio inquebrantável da UE à Ucrânia contra a guerra de agressão da Rússia e a crescente cooperação militar entre a Coreia do Norte e a Rússia(2024/2940(RSP))"/>
  </w:docVars>
  <w:rsids>
    <w:rsidRoot w:val="00CC76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579"/>
    <w:rsid w:val="001A3584"/>
    <w:rsid w:val="001F32AE"/>
    <w:rsid w:val="002767FF"/>
    <w:rsid w:val="002A2B9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1C"/>
    <w:rsid w:val="004C0004"/>
    <w:rsid w:val="004C5D52"/>
    <w:rsid w:val="0050519A"/>
    <w:rsid w:val="005072A1"/>
    <w:rsid w:val="00514517"/>
    <w:rsid w:val="005307C2"/>
    <w:rsid w:val="00545827"/>
    <w:rsid w:val="00560270"/>
    <w:rsid w:val="005C2568"/>
    <w:rsid w:val="005F1B17"/>
    <w:rsid w:val="00600B9A"/>
    <w:rsid w:val="006037C0"/>
    <w:rsid w:val="006631B6"/>
    <w:rsid w:val="00680577"/>
    <w:rsid w:val="006F74FA"/>
    <w:rsid w:val="00731ADD"/>
    <w:rsid w:val="00734777"/>
    <w:rsid w:val="00747932"/>
    <w:rsid w:val="00751A4A"/>
    <w:rsid w:val="00754EAB"/>
    <w:rsid w:val="00756632"/>
    <w:rsid w:val="00762C74"/>
    <w:rsid w:val="0077263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878"/>
    <w:rsid w:val="009E3702"/>
    <w:rsid w:val="009F79C4"/>
    <w:rsid w:val="00A074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D4E"/>
    <w:rsid w:val="00BD48FE"/>
    <w:rsid w:val="00BD7BD8"/>
    <w:rsid w:val="00BE6ADC"/>
    <w:rsid w:val="00C05BFE"/>
    <w:rsid w:val="00C07174"/>
    <w:rsid w:val="00C23CD4"/>
    <w:rsid w:val="00C45E31"/>
    <w:rsid w:val="00C61C0C"/>
    <w:rsid w:val="00C941CB"/>
    <w:rsid w:val="00CC2357"/>
    <w:rsid w:val="00CC7697"/>
    <w:rsid w:val="00CE502E"/>
    <w:rsid w:val="00CF071A"/>
    <w:rsid w:val="00D058B8"/>
    <w:rsid w:val="00D56C11"/>
    <w:rsid w:val="00D624CA"/>
    <w:rsid w:val="00D834A0"/>
    <w:rsid w:val="00D872DF"/>
    <w:rsid w:val="00D91E21"/>
    <w:rsid w:val="00DA7FCD"/>
    <w:rsid w:val="00E365E1"/>
    <w:rsid w:val="00E820A4"/>
    <w:rsid w:val="00EB006A"/>
    <w:rsid w:val="00EB4772"/>
    <w:rsid w:val="00EC26A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76C87"/>
  <w15:chartTrackingRefBased/>
  <w15:docId w15:val="{2475DF55-DF08-41F9-8B2E-FED0890F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E370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E370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E3702"/>
    <w:rPr>
      <w:sz w:val="24"/>
      <w:lang w:val="pt-PT"/>
    </w:rPr>
  </w:style>
  <w:style w:type="character" w:customStyle="1" w:styleId="Aucun">
    <w:name w:val="Aucun"/>
    <w:rsid w:val="009E3702"/>
  </w:style>
  <w:style w:type="character" w:styleId="Hyperlink">
    <w:name w:val="Hyperlink"/>
    <w:basedOn w:val="DefaultParagraphFont"/>
    <w:rsid w:val="009E37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F79C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9F79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79C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624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24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24C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62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4CA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2773/oj" TargetMode="External"/><Relationship Id="rId2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61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55FBC-FC2C-44C0-824E-E07DBEF3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5459</Words>
  <Characters>31119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2024-11-28T13:46:00Z</dcterms:created>
  <dcterms:modified xsi:type="dcterms:W3CDTF">2024-11-28T13:46:00Z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B10-0191, 0192, 0193, 0198 e 0200/2024</vt:lpwstr>
  </property>
  <property fmtid="{D5CDD505-2E9C-101B-9397-08002B2CF9AE}" pid="4" name="&lt;Type&gt;">
    <vt:lpwstr>RR</vt:lpwstr>
  </property>
</Properties>
</file>