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B3F43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6B3F43" w:rsidRDefault="00642DD8" w:rsidP="00425111">
            <w:pPr>
              <w:pStyle w:val="EPName"/>
              <w:rPr>
                <w:lang w:val="bg-BG"/>
              </w:rPr>
            </w:pPr>
            <w:r w:rsidRPr="006B3F43">
              <w:rPr>
                <w:lang w:val="bg-BG"/>
              </w:rPr>
              <w:t>Европейски парламент</w:t>
            </w:r>
          </w:p>
          <w:p w:rsidR="00757DD5" w:rsidRPr="006B3F43" w:rsidRDefault="00642DD8" w:rsidP="00425111">
            <w:pPr>
              <w:pStyle w:val="EPTerm"/>
              <w:rPr>
                <w:rStyle w:val="HideTWBExt"/>
                <w:noProof w:val="0"/>
                <w:vanish w:val="0"/>
                <w:lang w:val="bg-BG"/>
              </w:rPr>
            </w:pPr>
            <w:r w:rsidRPr="00056AF2">
              <w:rPr>
                <w:lang w:val="bg-BG"/>
              </w:rPr>
              <w:t>20</w:t>
            </w:r>
            <w:r w:rsidR="008008B5" w:rsidRPr="00056AF2">
              <w:rPr>
                <w:lang w:val="bg-BG"/>
              </w:rPr>
              <w:t>24</w:t>
            </w:r>
            <w:r w:rsidRPr="006B3F43">
              <w:rPr>
                <w:lang w:val="bg-BG"/>
              </w:rPr>
              <w:t xml:space="preserve"> – </w:t>
            </w:r>
            <w:r w:rsidRPr="00056AF2">
              <w:rPr>
                <w:lang w:val="bg-BG"/>
              </w:rPr>
              <w:t>202</w:t>
            </w:r>
            <w:r w:rsidR="008008B5" w:rsidRPr="00056AF2">
              <w:rPr>
                <w:lang w:val="bg-BG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757DD5" w:rsidRPr="006B3F43" w:rsidRDefault="00172070" w:rsidP="00425111">
            <w:pPr>
              <w:pStyle w:val="EPLogo"/>
              <w:rPr>
                <w:lang w:val="bg-BG"/>
              </w:rPr>
            </w:pPr>
            <w:r w:rsidRPr="006B3F43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6B3F43" w:rsidRDefault="008E7632" w:rsidP="008E7632">
      <w:pPr>
        <w:pStyle w:val="LineTop"/>
        <w:rPr>
          <w:lang w:val="bg-BG"/>
        </w:rPr>
      </w:pPr>
    </w:p>
    <w:p w:rsidR="008E7632" w:rsidRPr="006B3F43" w:rsidRDefault="00642DD8" w:rsidP="008E7632">
      <w:pPr>
        <w:pStyle w:val="ZSessionDoc"/>
        <w:rPr>
          <w:b/>
          <w:i w:val="0"/>
          <w:lang w:val="bg-BG"/>
        </w:rPr>
      </w:pPr>
      <w:r w:rsidRPr="006B3F43">
        <w:rPr>
          <w:b/>
          <w:i w:val="0"/>
          <w:lang w:val="bg-BG"/>
        </w:rPr>
        <w:t>ПРИЕТИ ТЕКСТОВЕ</w:t>
      </w:r>
    </w:p>
    <w:p w:rsidR="008E7632" w:rsidRPr="006B3F43" w:rsidRDefault="00642DD8" w:rsidP="008E7632">
      <w:pPr>
        <w:pStyle w:val="LineBottom"/>
        <w:rPr>
          <w:lang w:val="bg-BG"/>
        </w:rPr>
      </w:pPr>
      <w:r w:rsidRPr="006B3F43">
        <w:rPr>
          <w:rFonts w:cs="Arial"/>
          <w:i/>
          <w:sz w:val="20"/>
          <w:szCs w:val="22"/>
          <w:lang w:val="bg-BG"/>
        </w:rPr>
        <w:t xml:space="preserve"> </w:t>
      </w:r>
    </w:p>
    <w:p w:rsidR="009C4014" w:rsidRPr="006B3F43" w:rsidRDefault="008008B5" w:rsidP="008E7632">
      <w:pPr>
        <w:pStyle w:val="ATHeading1"/>
        <w:spacing w:before="480"/>
        <w:rPr>
          <w:noProof w:val="0"/>
          <w:lang w:val="bg-BG"/>
        </w:rPr>
      </w:pPr>
      <w:bookmarkStart w:id="0" w:name="TA_Heading"/>
      <w:r w:rsidRPr="006B3F43">
        <w:rPr>
          <w:noProof w:val="0"/>
          <w:lang w:val="bg-BG"/>
        </w:rPr>
        <w:t>P</w:t>
      </w:r>
      <w:r w:rsidRPr="00056AF2">
        <w:rPr>
          <w:noProof w:val="0"/>
          <w:lang w:val="bg-BG"/>
        </w:rPr>
        <w:t>10</w:t>
      </w:r>
      <w:r w:rsidR="00642DD8" w:rsidRPr="006B3F43">
        <w:rPr>
          <w:noProof w:val="0"/>
          <w:lang w:val="bg-BG"/>
        </w:rPr>
        <w:t>_TA(</w:t>
      </w:r>
      <w:r w:rsidR="00642DD8" w:rsidRPr="00056AF2">
        <w:rPr>
          <w:noProof w:val="0"/>
          <w:lang w:val="bg-BG"/>
        </w:rPr>
        <w:t>2024</w:t>
      </w:r>
      <w:r w:rsidR="00642DD8" w:rsidRPr="006B3F43">
        <w:rPr>
          <w:noProof w:val="0"/>
          <w:lang w:val="bg-BG"/>
        </w:rPr>
        <w:t>)</w:t>
      </w:r>
      <w:bookmarkStart w:id="1" w:name="TANumber"/>
      <w:bookmarkEnd w:id="0"/>
      <w:r w:rsidR="00642DD8" w:rsidRPr="00056AF2">
        <w:rPr>
          <w:noProof w:val="0"/>
          <w:lang w:val="bg-BG"/>
        </w:rPr>
        <w:t>00</w:t>
      </w:r>
      <w:r w:rsidR="00BA185C" w:rsidRPr="00056AF2">
        <w:rPr>
          <w:noProof w:val="0"/>
          <w:lang w:val="bg-BG"/>
        </w:rPr>
        <w:t>58</w:t>
      </w:r>
      <w:bookmarkEnd w:id="1"/>
    </w:p>
    <w:p w:rsidR="009C4014" w:rsidRPr="006B3F43" w:rsidRDefault="008008B5" w:rsidP="008008B5">
      <w:pPr>
        <w:pStyle w:val="ATHeading2"/>
        <w:rPr>
          <w:noProof w:val="0"/>
          <w:lang w:val="bg-BG"/>
        </w:rPr>
      </w:pPr>
      <w:r w:rsidRPr="006B3F43">
        <w:rPr>
          <w:noProof w:val="0"/>
          <w:lang w:val="bg-BG"/>
        </w:rPr>
        <w:t>Регламент за обезлесяването: разпоредби, свързани с датата на прилагане</w:t>
      </w:r>
      <w:r w:rsidR="009C4014" w:rsidRPr="006B3F43">
        <w:rPr>
          <w:noProof w:val="0"/>
          <w:lang w:val="bg-BG"/>
        </w:rPr>
        <w:t xml:space="preserve"> </w:t>
      </w:r>
      <w:bookmarkStart w:id="2" w:name="Etoiles"/>
      <w:bookmarkEnd w:id="2"/>
    </w:p>
    <w:p w:rsidR="009C4014" w:rsidRPr="006B3F43" w:rsidRDefault="009C4014" w:rsidP="009C4014">
      <w:pPr>
        <w:rPr>
          <w:i/>
          <w:vanish/>
          <w:lang w:val="bg-BG"/>
        </w:rPr>
      </w:pPr>
      <w:r w:rsidRPr="006B3F43">
        <w:rPr>
          <w:i/>
          <w:lang w:val="bg-BG"/>
        </w:rPr>
        <w:fldChar w:fldCharType="begin"/>
      </w:r>
      <w:r w:rsidRPr="006B3F43">
        <w:rPr>
          <w:i/>
          <w:lang w:val="bg-BG"/>
        </w:rPr>
        <w:instrText xml:space="preserve"> TC"</w:instrText>
      </w:r>
      <w:bookmarkStart w:id="3" w:name="DocNumber"/>
      <w:r w:rsidR="00A265B2">
        <w:rPr>
          <w:i/>
          <w:lang w:val="bg-BG"/>
        </w:rPr>
        <w:instrText>(C</w:instrText>
      </w:r>
      <w:r w:rsidR="00A265B2" w:rsidRPr="00056AF2">
        <w:rPr>
          <w:i/>
          <w:lang w:val="bg-BG"/>
        </w:rPr>
        <w:instrText>10</w:instrText>
      </w:r>
      <w:r w:rsidR="008008B5" w:rsidRPr="006B3F43">
        <w:rPr>
          <w:i/>
          <w:lang w:val="bg-BG"/>
        </w:rPr>
        <w:instrText>-</w:instrText>
      </w:r>
      <w:r w:rsidR="008008B5" w:rsidRPr="00056AF2">
        <w:rPr>
          <w:i/>
          <w:lang w:val="bg-BG"/>
        </w:rPr>
        <w:instrText>011</w:instrText>
      </w:r>
      <w:r w:rsidR="00642DD8" w:rsidRPr="00056AF2">
        <w:rPr>
          <w:i/>
          <w:lang w:val="bg-BG"/>
        </w:rPr>
        <w:instrText>9</w:instrText>
      </w:r>
      <w:r w:rsidR="00642DD8" w:rsidRPr="006B3F43">
        <w:rPr>
          <w:i/>
          <w:lang w:val="bg-BG"/>
        </w:rPr>
        <w:instrText>/</w:instrText>
      </w:r>
      <w:r w:rsidR="00642DD8" w:rsidRPr="00056AF2">
        <w:rPr>
          <w:i/>
          <w:lang w:val="bg-BG"/>
        </w:rPr>
        <w:instrText>2024</w:instrText>
      </w:r>
      <w:r w:rsidR="00A265B2">
        <w:rPr>
          <w:i/>
          <w:lang w:val="bg-BG"/>
        </w:rPr>
        <w:instrText xml:space="preserve"> - Доклдачик: Кристине Шнайдер</w:instrText>
      </w:r>
      <w:r w:rsidR="00642DD8" w:rsidRPr="006B3F43">
        <w:rPr>
          <w:i/>
          <w:lang w:val="bg-BG"/>
        </w:rPr>
        <w:instrText>)</w:instrText>
      </w:r>
      <w:bookmarkEnd w:id="3"/>
      <w:r w:rsidRPr="006B3F43">
        <w:rPr>
          <w:i/>
          <w:lang w:val="bg-BG"/>
        </w:rPr>
        <w:instrText>"\l</w:instrText>
      </w:r>
      <w:r w:rsidRPr="00056AF2">
        <w:rPr>
          <w:i/>
          <w:lang w:val="bg-BG"/>
        </w:rPr>
        <w:instrText>3</w:instrText>
      </w:r>
      <w:r w:rsidRPr="006B3F43">
        <w:rPr>
          <w:i/>
          <w:lang w:val="bg-BG"/>
        </w:rPr>
        <w:instrText xml:space="preserve"> \n&gt; \* MERGEFORMAT </w:instrText>
      </w:r>
      <w:r w:rsidRPr="006B3F43">
        <w:rPr>
          <w:i/>
          <w:lang w:val="bg-BG"/>
        </w:rPr>
        <w:fldChar w:fldCharType="end"/>
      </w:r>
    </w:p>
    <w:p w:rsidR="00642DD8" w:rsidRPr="006B3F43" w:rsidRDefault="00642DD8" w:rsidP="008008B5">
      <w:pPr>
        <w:rPr>
          <w:vanish/>
          <w:lang w:val="bg-BG"/>
        </w:rPr>
      </w:pPr>
      <w:bookmarkStart w:id="4" w:name="Commission"/>
      <w:r w:rsidRPr="006B3F43">
        <w:rPr>
          <w:vanish/>
          <w:lang w:val="bg-BG"/>
        </w:rPr>
        <w:t xml:space="preserve">Комисия по </w:t>
      </w:r>
      <w:r w:rsidR="008008B5" w:rsidRPr="006B3F43">
        <w:rPr>
          <w:vanish/>
          <w:lang w:val="bg-BG"/>
        </w:rPr>
        <w:t xml:space="preserve">околна среда, обществено здраве и безопасност на храните </w:t>
      </w:r>
    </w:p>
    <w:p w:rsidR="009C4014" w:rsidRPr="006B3F43" w:rsidRDefault="008008B5" w:rsidP="009C4014">
      <w:pPr>
        <w:rPr>
          <w:vanish/>
          <w:lang w:val="bg-BG"/>
        </w:rPr>
      </w:pPr>
      <w:bookmarkStart w:id="5" w:name="PE"/>
      <w:bookmarkEnd w:id="4"/>
      <w:r w:rsidRPr="006B3F43">
        <w:rPr>
          <w:vanish/>
          <w:lang w:val="bg-BG"/>
        </w:rPr>
        <w:t>PE</w:t>
      </w:r>
      <w:r w:rsidRPr="00056AF2">
        <w:rPr>
          <w:vanish/>
          <w:lang w:val="bg-BG"/>
        </w:rPr>
        <w:t>765</w:t>
      </w:r>
      <w:r w:rsidR="00642DD8" w:rsidRPr="006B3F43">
        <w:rPr>
          <w:vanish/>
          <w:lang w:val="bg-BG"/>
        </w:rPr>
        <w:t>.</w:t>
      </w:r>
      <w:r w:rsidR="00642DD8" w:rsidRPr="00056AF2">
        <w:rPr>
          <w:vanish/>
          <w:lang w:val="bg-BG"/>
        </w:rPr>
        <w:t>6</w:t>
      </w:r>
      <w:bookmarkEnd w:id="5"/>
      <w:r w:rsidRPr="00056AF2">
        <w:rPr>
          <w:vanish/>
          <w:lang w:val="bg-BG"/>
        </w:rPr>
        <w:t>61</w:t>
      </w:r>
    </w:p>
    <w:p w:rsidR="00642DD8" w:rsidRPr="006B3F43" w:rsidRDefault="00642DD8" w:rsidP="008008B5">
      <w:pPr>
        <w:pStyle w:val="ATHeading3"/>
        <w:rPr>
          <w:noProof w:val="0"/>
          <w:lang w:val="bg-BG"/>
        </w:rPr>
      </w:pPr>
      <w:bookmarkStart w:id="6" w:name="References"/>
      <w:r w:rsidRPr="006B3F43">
        <w:rPr>
          <w:noProof w:val="0"/>
          <w:lang w:val="bg-BG"/>
        </w:rPr>
        <w:t xml:space="preserve">Законодателна резолюция на Европейския парламент от </w:t>
      </w:r>
      <w:r w:rsidR="008008B5" w:rsidRPr="00056AF2">
        <w:rPr>
          <w:noProof w:val="0"/>
          <w:lang w:val="bg-BG"/>
        </w:rPr>
        <w:t>17</w:t>
      </w:r>
      <w:r w:rsidR="008008B5" w:rsidRPr="006B3F43">
        <w:rPr>
          <w:noProof w:val="0"/>
          <w:lang w:val="bg-BG"/>
        </w:rPr>
        <w:t xml:space="preserve"> декември</w:t>
      </w:r>
      <w:r w:rsidRPr="006B3F43">
        <w:rPr>
          <w:noProof w:val="0"/>
          <w:lang w:val="bg-BG"/>
        </w:rPr>
        <w:t xml:space="preserve"> </w:t>
      </w:r>
      <w:r w:rsidRPr="00056AF2">
        <w:rPr>
          <w:noProof w:val="0"/>
          <w:lang w:val="bg-BG"/>
        </w:rPr>
        <w:t>2024</w:t>
      </w:r>
      <w:r w:rsidRPr="006B3F43">
        <w:rPr>
          <w:noProof w:val="0"/>
          <w:lang w:val="bg-BG"/>
        </w:rPr>
        <w:t xml:space="preserve"> г. относно</w:t>
      </w:r>
      <w:r w:rsidR="008008B5" w:rsidRPr="006B3F43">
        <w:rPr>
          <w:noProof w:val="0"/>
          <w:lang w:val="bg-BG"/>
        </w:rPr>
        <w:t xml:space="preserve"> предложението за регламент на Европейския парламент и на Съвета за изменение на Регламент (ЕС) </w:t>
      </w:r>
      <w:r w:rsidR="008008B5" w:rsidRPr="00056AF2">
        <w:rPr>
          <w:noProof w:val="0"/>
          <w:lang w:val="bg-BG"/>
        </w:rPr>
        <w:t>2023</w:t>
      </w:r>
      <w:r w:rsidR="008008B5" w:rsidRPr="006B3F43">
        <w:rPr>
          <w:noProof w:val="0"/>
          <w:lang w:val="bg-BG"/>
        </w:rPr>
        <w:t>/</w:t>
      </w:r>
      <w:r w:rsidR="008008B5" w:rsidRPr="00056AF2">
        <w:rPr>
          <w:noProof w:val="0"/>
          <w:lang w:val="bg-BG"/>
        </w:rPr>
        <w:t>1115</w:t>
      </w:r>
      <w:r w:rsidR="008008B5" w:rsidRPr="006B3F43">
        <w:rPr>
          <w:noProof w:val="0"/>
          <w:lang w:val="bg-BG"/>
        </w:rPr>
        <w:t xml:space="preserve"> по отношение на разпоредбите, свързани с датата на прилагане (COM(</w:t>
      </w:r>
      <w:r w:rsidR="008008B5" w:rsidRPr="00056AF2">
        <w:rPr>
          <w:noProof w:val="0"/>
          <w:lang w:val="bg-BG"/>
        </w:rPr>
        <w:t>2024</w:t>
      </w:r>
      <w:r w:rsidR="008008B5" w:rsidRPr="006B3F43">
        <w:rPr>
          <w:noProof w:val="0"/>
          <w:lang w:val="bg-BG"/>
        </w:rPr>
        <w:t>)</w:t>
      </w:r>
      <w:r w:rsidR="008008B5" w:rsidRPr="00056AF2">
        <w:rPr>
          <w:noProof w:val="0"/>
          <w:lang w:val="bg-BG"/>
        </w:rPr>
        <w:t>0452</w:t>
      </w:r>
      <w:r w:rsidR="008008B5" w:rsidRPr="006B3F43">
        <w:rPr>
          <w:noProof w:val="0"/>
          <w:lang w:val="bg-BG"/>
        </w:rPr>
        <w:t xml:space="preserve"> – C</w:t>
      </w:r>
      <w:r w:rsidR="008008B5" w:rsidRPr="00056AF2">
        <w:rPr>
          <w:noProof w:val="0"/>
          <w:lang w:val="bg-BG"/>
        </w:rPr>
        <w:t>10</w:t>
      </w:r>
      <w:r w:rsidR="008008B5" w:rsidRPr="006B3F43">
        <w:rPr>
          <w:noProof w:val="0"/>
          <w:lang w:val="bg-BG"/>
        </w:rPr>
        <w:t>-</w:t>
      </w:r>
      <w:r w:rsidR="008008B5" w:rsidRPr="00056AF2">
        <w:rPr>
          <w:noProof w:val="0"/>
          <w:lang w:val="bg-BG"/>
        </w:rPr>
        <w:t>0119</w:t>
      </w:r>
      <w:r w:rsidR="008008B5" w:rsidRPr="006B3F43">
        <w:rPr>
          <w:noProof w:val="0"/>
          <w:lang w:val="bg-BG"/>
        </w:rPr>
        <w:t>/</w:t>
      </w:r>
      <w:r w:rsidR="008008B5" w:rsidRPr="00056AF2">
        <w:rPr>
          <w:noProof w:val="0"/>
          <w:lang w:val="bg-BG"/>
        </w:rPr>
        <w:t>2024</w:t>
      </w:r>
      <w:r w:rsidR="008008B5" w:rsidRPr="006B3F43">
        <w:rPr>
          <w:noProof w:val="0"/>
          <w:lang w:val="bg-BG"/>
        </w:rPr>
        <w:t xml:space="preserve"> – </w:t>
      </w:r>
      <w:r w:rsidR="008008B5" w:rsidRPr="00056AF2">
        <w:rPr>
          <w:noProof w:val="0"/>
          <w:lang w:val="bg-BG"/>
        </w:rPr>
        <w:t>2024</w:t>
      </w:r>
      <w:r w:rsidR="008008B5" w:rsidRPr="006B3F43">
        <w:rPr>
          <w:noProof w:val="0"/>
          <w:lang w:val="bg-BG"/>
        </w:rPr>
        <w:t>/</w:t>
      </w:r>
      <w:r w:rsidR="008008B5" w:rsidRPr="00056AF2">
        <w:rPr>
          <w:noProof w:val="0"/>
          <w:lang w:val="bg-BG"/>
        </w:rPr>
        <w:t>0249</w:t>
      </w:r>
      <w:r w:rsidR="008008B5" w:rsidRPr="006B3F43">
        <w:rPr>
          <w:noProof w:val="0"/>
          <w:lang w:val="bg-BG"/>
        </w:rPr>
        <w:t>(COD))</w:t>
      </w:r>
    </w:p>
    <w:p w:rsidR="009C4014" w:rsidRPr="006B3F43" w:rsidRDefault="00642DD8" w:rsidP="00642DD8">
      <w:pPr>
        <w:pStyle w:val="ATHeading3"/>
        <w:rPr>
          <w:noProof w:val="0"/>
          <w:lang w:val="bg-BG"/>
        </w:rPr>
      </w:pPr>
      <w:r w:rsidRPr="006B3F43">
        <w:rPr>
          <w:noProof w:val="0"/>
          <w:lang w:val="bg-BG"/>
        </w:rPr>
        <w:t>(Обикновена законодателна процедура: първо четене)</w:t>
      </w:r>
      <w:bookmarkEnd w:id="6"/>
    </w:p>
    <w:p w:rsidR="006E5420" w:rsidRPr="006B3F43" w:rsidRDefault="00642DD8" w:rsidP="008B1C2E">
      <w:pPr>
        <w:pStyle w:val="Normal12"/>
        <w:spacing w:before="360"/>
        <w:rPr>
          <w:i/>
          <w:szCs w:val="24"/>
          <w:lang w:val="bg-BG"/>
        </w:rPr>
      </w:pPr>
      <w:bookmarkStart w:id="7" w:name="TextBodyBegin"/>
      <w:bookmarkEnd w:id="7"/>
      <w:r w:rsidRPr="006B3F43">
        <w:rPr>
          <w:i/>
          <w:szCs w:val="24"/>
          <w:lang w:val="bg-BG"/>
        </w:rPr>
        <w:t>Европейският парламент,</w:t>
      </w:r>
    </w:p>
    <w:p w:rsidR="00642DD8" w:rsidRPr="006B3F43" w:rsidRDefault="00642DD8" w:rsidP="008008B5">
      <w:pPr>
        <w:pStyle w:val="NormalHanging12a"/>
        <w:widowControl/>
      </w:pPr>
      <w:r w:rsidRPr="006B3F43">
        <w:t>–</w:t>
      </w:r>
      <w:r w:rsidRPr="006B3F43">
        <w:tab/>
        <w:t>като взе предвид предложението на Комисията до Пар</w:t>
      </w:r>
      <w:r w:rsidR="008008B5" w:rsidRPr="006B3F43">
        <w:t>ламента и до Съвета (COM(</w:t>
      </w:r>
      <w:r w:rsidR="008008B5" w:rsidRPr="00056AF2">
        <w:t>2024</w:t>
      </w:r>
      <w:r w:rsidR="008008B5" w:rsidRPr="006B3F43">
        <w:t>)</w:t>
      </w:r>
      <w:r w:rsidR="008008B5" w:rsidRPr="00056AF2">
        <w:t>0452</w:t>
      </w:r>
      <w:r w:rsidRPr="006B3F43">
        <w:t>),</w:t>
      </w:r>
    </w:p>
    <w:p w:rsidR="00642DD8" w:rsidRPr="006B3F43" w:rsidRDefault="00642DD8" w:rsidP="00642DD8">
      <w:pPr>
        <w:pStyle w:val="NormalHanging12a"/>
        <w:widowControl/>
      </w:pPr>
      <w:r w:rsidRPr="006B3F43">
        <w:t>–</w:t>
      </w:r>
      <w:r w:rsidRPr="006B3F43">
        <w:tab/>
        <w:t>като взе предвид</w:t>
      </w:r>
      <w:r w:rsidR="008008B5" w:rsidRPr="006B3F43">
        <w:t xml:space="preserve"> член </w:t>
      </w:r>
      <w:r w:rsidR="008008B5" w:rsidRPr="00056AF2">
        <w:t>294</w:t>
      </w:r>
      <w:r w:rsidR="008008B5" w:rsidRPr="006B3F43">
        <w:t>, параграф </w:t>
      </w:r>
      <w:r w:rsidR="008008B5" w:rsidRPr="00056AF2">
        <w:t>2</w:t>
      </w:r>
      <w:r w:rsidR="008008B5" w:rsidRPr="006B3F43">
        <w:t xml:space="preserve"> и член </w:t>
      </w:r>
      <w:r w:rsidR="008008B5" w:rsidRPr="00056AF2">
        <w:t>192</w:t>
      </w:r>
      <w:r w:rsidR="008008B5" w:rsidRPr="006B3F43">
        <w:t xml:space="preserve">, параграф </w:t>
      </w:r>
      <w:r w:rsidR="008008B5" w:rsidRPr="00056AF2">
        <w:t>1</w:t>
      </w:r>
      <w:r w:rsidRPr="006B3F43">
        <w:t xml:space="preserve"> от Договора за функционирането на Европейския съюз, съгласно които Комисията е внесла пр</w:t>
      </w:r>
      <w:r w:rsidR="008008B5" w:rsidRPr="006B3F43">
        <w:t>едложението в Парламента (C</w:t>
      </w:r>
      <w:r w:rsidR="00492918">
        <w:t>10</w:t>
      </w:r>
      <w:bookmarkStart w:id="8" w:name="_GoBack"/>
      <w:bookmarkEnd w:id="8"/>
      <w:r w:rsidR="008008B5" w:rsidRPr="006B3F43">
        <w:noBreakHyphen/>
      </w:r>
      <w:r w:rsidR="008008B5" w:rsidRPr="00056AF2">
        <w:t>011</w:t>
      </w:r>
      <w:r w:rsidRPr="00056AF2">
        <w:t>9</w:t>
      </w:r>
      <w:r w:rsidRPr="006B3F43">
        <w:t>/</w:t>
      </w:r>
      <w:r w:rsidRPr="00056AF2">
        <w:t>2024</w:t>
      </w:r>
      <w:r w:rsidRPr="006B3F43">
        <w:t>),</w:t>
      </w:r>
    </w:p>
    <w:p w:rsidR="00642DD8" w:rsidRPr="006B3F43" w:rsidRDefault="00642DD8" w:rsidP="00642DD8">
      <w:pPr>
        <w:pStyle w:val="NormalHanging12a"/>
        <w:widowControl/>
      </w:pPr>
      <w:r w:rsidRPr="006B3F43">
        <w:t>–</w:t>
      </w:r>
      <w:r w:rsidRPr="006B3F43">
        <w:tab/>
        <w:t>като взе предвид член </w:t>
      </w:r>
      <w:r w:rsidRPr="00056AF2">
        <w:t>294</w:t>
      </w:r>
      <w:r w:rsidRPr="006B3F43">
        <w:t xml:space="preserve">, параграф </w:t>
      </w:r>
      <w:r w:rsidRPr="00056AF2">
        <w:t>3</w:t>
      </w:r>
      <w:r w:rsidRPr="006B3F43">
        <w:t xml:space="preserve"> от Договора за функционирането на Европейския съюз,</w:t>
      </w:r>
    </w:p>
    <w:p w:rsidR="008008B5" w:rsidRDefault="008008B5" w:rsidP="00642DD8">
      <w:pPr>
        <w:pStyle w:val="NormalHanging12a"/>
        <w:widowControl/>
      </w:pPr>
      <w:r w:rsidRPr="006B3F43">
        <w:t>–</w:t>
      </w:r>
      <w:r w:rsidRPr="006B3F43">
        <w:tab/>
        <w:t xml:space="preserve">като все предвид становището на Европейския икономически и социален комитет от </w:t>
      </w:r>
      <w:r w:rsidRPr="00056AF2">
        <w:t>23</w:t>
      </w:r>
      <w:r w:rsidRPr="006B3F43">
        <w:t xml:space="preserve"> октомври </w:t>
      </w:r>
      <w:r w:rsidRPr="00056AF2">
        <w:t>2024</w:t>
      </w:r>
      <w:r w:rsidRPr="006B3F43">
        <w:t> г.</w:t>
      </w:r>
      <w:r w:rsidRPr="006B3F43">
        <w:rPr>
          <w:rStyle w:val="FootnoteReference"/>
        </w:rPr>
        <w:footnoteReference w:id="1"/>
      </w:r>
      <w:r w:rsidRPr="006B3F43">
        <w:t>,</w:t>
      </w:r>
    </w:p>
    <w:p w:rsidR="00A265B2" w:rsidRPr="006B3F43" w:rsidRDefault="00A265B2" w:rsidP="00642DD8">
      <w:pPr>
        <w:pStyle w:val="NormalHanging12a"/>
        <w:widowControl/>
      </w:pPr>
      <w:r>
        <w:t>–</w:t>
      </w:r>
      <w:r>
        <w:tab/>
        <w:t>след консултация с Комитета на регионите,</w:t>
      </w:r>
    </w:p>
    <w:p w:rsidR="00642DD8" w:rsidRPr="006B3F43" w:rsidRDefault="00642DD8" w:rsidP="008008B5">
      <w:pPr>
        <w:pStyle w:val="NormalHanging12a"/>
        <w:widowControl/>
      </w:pPr>
      <w:r w:rsidRPr="006B3F43">
        <w:t>–</w:t>
      </w:r>
      <w:r w:rsidRPr="006B3F43">
        <w:tab/>
        <w:t xml:space="preserve">като взе предвид </w:t>
      </w:r>
      <w:r w:rsidR="008008B5" w:rsidRPr="006B3F43">
        <w:rPr>
          <w:bCs/>
        </w:rPr>
        <w:t>временното споразумение</w:t>
      </w:r>
      <w:r w:rsidR="008008B5" w:rsidRPr="006B3F43">
        <w:t xml:space="preserve">, одобрено от компетентната комисия съгласно член </w:t>
      </w:r>
      <w:r w:rsidR="008008B5" w:rsidRPr="00056AF2">
        <w:t>74</w:t>
      </w:r>
      <w:r w:rsidR="008008B5" w:rsidRPr="006B3F43">
        <w:t xml:space="preserve">, параграф </w:t>
      </w:r>
      <w:r w:rsidR="008008B5" w:rsidRPr="00056AF2">
        <w:t>4</w:t>
      </w:r>
      <w:r w:rsidR="008008B5" w:rsidRPr="006B3F43">
        <w:t xml:space="preserve"> </w:t>
      </w:r>
      <w:r w:rsidR="008008B5" w:rsidRPr="006B3F43">
        <w:rPr>
          <w:bCs/>
        </w:rPr>
        <w:t>от своя Правилник за дейността,</w:t>
      </w:r>
      <w:r w:rsidR="008008B5" w:rsidRPr="006B3F43">
        <w:t xml:space="preserve"> и поетия с писма от </w:t>
      </w:r>
      <w:r w:rsidR="008008B5" w:rsidRPr="00056AF2">
        <w:t>16</w:t>
      </w:r>
      <w:r w:rsidR="008008B5" w:rsidRPr="006B3F43">
        <w:t xml:space="preserve"> октомври</w:t>
      </w:r>
      <w:r w:rsidRPr="006B3F43">
        <w:t xml:space="preserve"> </w:t>
      </w:r>
      <w:r w:rsidRPr="00056AF2">
        <w:t>2024</w:t>
      </w:r>
      <w:r w:rsidRPr="006B3F43">
        <w:t xml:space="preserve"> г. </w:t>
      </w:r>
      <w:r w:rsidR="008008B5" w:rsidRPr="006B3F43">
        <w:t xml:space="preserve">и </w:t>
      </w:r>
      <w:r w:rsidR="008008B5" w:rsidRPr="00056AF2">
        <w:t>4</w:t>
      </w:r>
      <w:r w:rsidR="008008B5" w:rsidRPr="006B3F43">
        <w:t xml:space="preserve"> декември </w:t>
      </w:r>
      <w:r w:rsidR="008008B5" w:rsidRPr="00056AF2">
        <w:t>2024</w:t>
      </w:r>
      <w:r w:rsidR="008008B5" w:rsidRPr="006B3F43">
        <w:t xml:space="preserve"> г. </w:t>
      </w:r>
      <w:r w:rsidRPr="006B3F43">
        <w:t xml:space="preserve">ангажимент на представителя на Съвета за одобряване на позицията на Парламента в съответствие с член </w:t>
      </w:r>
      <w:r w:rsidRPr="00056AF2">
        <w:t>294</w:t>
      </w:r>
      <w:r w:rsidRPr="006B3F43">
        <w:t xml:space="preserve">, параграф </w:t>
      </w:r>
      <w:r w:rsidRPr="00056AF2">
        <w:t>4</w:t>
      </w:r>
      <w:r w:rsidRPr="006B3F43">
        <w:t xml:space="preserve"> от Договора за функционирането на Европейския съюз,</w:t>
      </w:r>
    </w:p>
    <w:p w:rsidR="009F28EF" w:rsidRPr="006B3F43" w:rsidRDefault="00642DD8" w:rsidP="00642DD8">
      <w:pPr>
        <w:pStyle w:val="Normal12"/>
        <w:rPr>
          <w:lang w:val="bg-BG"/>
        </w:rPr>
      </w:pPr>
      <w:r w:rsidRPr="006B3F43">
        <w:rPr>
          <w:lang w:val="bg-BG"/>
        </w:rPr>
        <w:lastRenderedPageBreak/>
        <w:t>–</w:t>
      </w:r>
      <w:r w:rsidRPr="006B3F43">
        <w:rPr>
          <w:lang w:val="bg-BG"/>
        </w:rPr>
        <w:tab/>
        <w:t>като взе предвид член</w:t>
      </w:r>
      <w:r w:rsidR="008008B5" w:rsidRPr="006B3F43">
        <w:rPr>
          <w:lang w:val="bg-BG"/>
        </w:rPr>
        <w:t>ове </w:t>
      </w:r>
      <w:r w:rsidR="008008B5" w:rsidRPr="00056AF2">
        <w:rPr>
          <w:lang w:val="bg-BG"/>
        </w:rPr>
        <w:t>60</w:t>
      </w:r>
      <w:r w:rsidR="008008B5" w:rsidRPr="006B3F43">
        <w:rPr>
          <w:lang w:val="bg-BG"/>
        </w:rPr>
        <w:t xml:space="preserve"> и </w:t>
      </w:r>
      <w:r w:rsidR="008008B5" w:rsidRPr="00056AF2">
        <w:rPr>
          <w:lang w:val="bg-BG"/>
        </w:rPr>
        <w:t>170</w:t>
      </w:r>
      <w:r w:rsidRPr="006B3F43">
        <w:rPr>
          <w:lang w:val="bg-BG"/>
        </w:rPr>
        <w:t xml:space="preserve"> от своя Правилник за дейността,</w:t>
      </w:r>
    </w:p>
    <w:p w:rsidR="00642DD8" w:rsidRPr="006B3F43" w:rsidRDefault="00642DD8" w:rsidP="00642DD8">
      <w:pPr>
        <w:pStyle w:val="NormalHanging12a"/>
        <w:widowControl/>
      </w:pPr>
      <w:r w:rsidRPr="00056AF2">
        <w:t>1</w:t>
      </w:r>
      <w:r w:rsidRPr="006B3F43">
        <w:t>.</w:t>
      </w:r>
      <w:r w:rsidRPr="006B3F43">
        <w:tab/>
        <w:t>приема изложената по-долу позиция на първо четене</w:t>
      </w:r>
      <w:r w:rsidR="008008B5" w:rsidRPr="006B3F43">
        <w:rPr>
          <w:rStyle w:val="FootnoteReference"/>
        </w:rPr>
        <w:footnoteReference w:id="2"/>
      </w:r>
      <w:r w:rsidRPr="006B3F43">
        <w:t>;</w:t>
      </w:r>
    </w:p>
    <w:p w:rsidR="008008B5" w:rsidRPr="006B3F43" w:rsidRDefault="008008B5" w:rsidP="008008B5">
      <w:pPr>
        <w:pStyle w:val="NormalHanging12a"/>
        <w:widowControl/>
      </w:pPr>
      <w:r w:rsidRPr="00056AF2">
        <w:t>2</w:t>
      </w:r>
      <w:r w:rsidRPr="006B3F43">
        <w:t>.</w:t>
      </w:r>
      <w:r w:rsidRPr="006B3F43">
        <w:tab/>
        <w:t>приема за сведение изявлението на Комисията, приложено към настоящата резолюция;</w:t>
      </w:r>
    </w:p>
    <w:p w:rsidR="00642DD8" w:rsidRPr="006B3F43" w:rsidRDefault="008008B5" w:rsidP="00642DD8">
      <w:pPr>
        <w:pStyle w:val="NormalHanging12a"/>
        <w:widowControl/>
      </w:pPr>
      <w:r w:rsidRPr="00056AF2">
        <w:t>3</w:t>
      </w:r>
      <w:r w:rsidR="00642DD8" w:rsidRPr="006B3F43">
        <w:t>.</w:t>
      </w:r>
      <w:r w:rsidR="00642DD8" w:rsidRPr="006B3F43">
        <w:tab/>
        <w:t>приканва Комисията да се отнесе до него отново, в случай че замени своето предложение с друг текст, внесе или възнамерява да внесе съществени промени в това предложение;</w:t>
      </w:r>
    </w:p>
    <w:p w:rsidR="00642DD8" w:rsidRPr="006B3F43" w:rsidRDefault="008008B5" w:rsidP="00642DD8">
      <w:pPr>
        <w:pStyle w:val="NormalHanging12a"/>
        <w:widowControl/>
      </w:pPr>
      <w:r w:rsidRPr="00056AF2">
        <w:t>4</w:t>
      </w:r>
      <w:r w:rsidR="00642DD8" w:rsidRPr="006B3F43">
        <w:t>.</w:t>
      </w:r>
      <w:r w:rsidR="00642DD8" w:rsidRPr="006B3F43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642DD8" w:rsidRPr="006B3F43" w:rsidRDefault="00642DD8" w:rsidP="00642DD8">
      <w:pPr>
        <w:rPr>
          <w:lang w:val="bg-BG"/>
        </w:rPr>
      </w:pPr>
    </w:p>
    <w:p w:rsidR="00642DD8" w:rsidRPr="006B3F43" w:rsidRDefault="00642DD8" w:rsidP="00642DD8">
      <w:pPr>
        <w:pStyle w:val="Normal12"/>
        <w:rPr>
          <w:szCs w:val="24"/>
          <w:lang w:val="bg-BG"/>
        </w:rPr>
        <w:sectPr w:rsidR="00642DD8" w:rsidRPr="006B3F43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:rsidR="00642DD8" w:rsidRPr="006B3F43" w:rsidRDefault="006B3F43" w:rsidP="006B3F43">
      <w:pPr>
        <w:widowControl w:val="0"/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bg-BG"/>
        </w:rPr>
      </w:pPr>
      <w:r w:rsidRPr="006B3F43">
        <w:rPr>
          <w:rFonts w:eastAsia="Calibri"/>
          <w:b/>
          <w:bCs/>
          <w:color w:val="000000"/>
          <w:szCs w:val="24"/>
          <w:lang w:val="bg-BG"/>
        </w:rPr>
        <w:lastRenderedPageBreak/>
        <w:t>P</w:t>
      </w:r>
      <w:r w:rsidRPr="00056AF2">
        <w:rPr>
          <w:rFonts w:eastAsia="Calibri"/>
          <w:b/>
          <w:bCs/>
          <w:color w:val="000000"/>
          <w:szCs w:val="24"/>
          <w:lang w:val="bg-BG"/>
        </w:rPr>
        <w:t>10</w:t>
      </w:r>
      <w:r w:rsidRPr="006B3F43">
        <w:rPr>
          <w:rFonts w:eastAsia="Calibri"/>
          <w:b/>
          <w:bCs/>
          <w:color w:val="000000"/>
          <w:szCs w:val="24"/>
          <w:lang w:val="bg-BG"/>
        </w:rPr>
        <w:t>_TC</w:t>
      </w:r>
      <w:r w:rsidRPr="00056AF2">
        <w:rPr>
          <w:rFonts w:eastAsia="Calibri"/>
          <w:b/>
          <w:bCs/>
          <w:color w:val="000000"/>
          <w:szCs w:val="24"/>
          <w:lang w:val="bg-BG"/>
        </w:rPr>
        <w:t>1</w:t>
      </w:r>
      <w:r w:rsidRPr="006B3F43">
        <w:rPr>
          <w:rFonts w:eastAsia="Calibri"/>
          <w:b/>
          <w:bCs/>
          <w:color w:val="000000"/>
          <w:szCs w:val="24"/>
          <w:lang w:val="bg-BG"/>
        </w:rPr>
        <w:t>-COD(</w:t>
      </w:r>
      <w:r w:rsidRPr="00056AF2">
        <w:rPr>
          <w:rFonts w:eastAsia="Calibri"/>
          <w:b/>
          <w:bCs/>
          <w:color w:val="000000"/>
          <w:szCs w:val="24"/>
          <w:lang w:val="bg-BG"/>
        </w:rPr>
        <w:t>2024</w:t>
      </w:r>
      <w:r w:rsidRPr="006B3F43">
        <w:rPr>
          <w:rFonts w:eastAsia="Calibri"/>
          <w:b/>
          <w:bCs/>
          <w:color w:val="000000"/>
          <w:szCs w:val="24"/>
          <w:lang w:val="bg-BG"/>
        </w:rPr>
        <w:t>)</w:t>
      </w:r>
      <w:r w:rsidRPr="00056AF2">
        <w:rPr>
          <w:rFonts w:eastAsia="Calibri"/>
          <w:b/>
          <w:bCs/>
          <w:color w:val="000000"/>
          <w:szCs w:val="24"/>
          <w:lang w:val="bg-BG"/>
        </w:rPr>
        <w:t>0249</w:t>
      </w:r>
    </w:p>
    <w:p w:rsidR="006B3F43" w:rsidRDefault="00642DD8" w:rsidP="006B3F43">
      <w:pPr>
        <w:pStyle w:val="Normal12"/>
        <w:rPr>
          <w:rFonts w:eastAsia="Calibri"/>
          <w:b/>
          <w:color w:val="000000"/>
          <w:szCs w:val="22"/>
          <w:lang w:val="bg-BG" w:eastAsia="en-US"/>
        </w:rPr>
      </w:pPr>
      <w:r w:rsidRPr="006B3F43">
        <w:rPr>
          <w:b/>
          <w:szCs w:val="24"/>
          <w:lang w:val="bg-BG"/>
        </w:rPr>
        <w:t xml:space="preserve">Позиция на Европейския парламент, приета на първо четене на </w:t>
      </w:r>
      <w:r w:rsidR="006B3F43" w:rsidRPr="00056AF2">
        <w:rPr>
          <w:b/>
          <w:szCs w:val="24"/>
          <w:lang w:val="bg-BG"/>
        </w:rPr>
        <w:t>17</w:t>
      </w:r>
      <w:r w:rsidR="006B3F43" w:rsidRPr="006B3F43">
        <w:rPr>
          <w:b/>
          <w:szCs w:val="24"/>
          <w:lang w:val="bg-BG"/>
        </w:rPr>
        <w:t xml:space="preserve"> декември</w:t>
      </w:r>
      <w:r w:rsidRPr="006B3F43">
        <w:rPr>
          <w:b/>
          <w:szCs w:val="24"/>
          <w:lang w:val="bg-BG"/>
        </w:rPr>
        <w:t xml:space="preserve"> </w:t>
      </w:r>
      <w:r w:rsidRPr="00056AF2">
        <w:rPr>
          <w:b/>
          <w:szCs w:val="24"/>
          <w:lang w:val="bg-BG"/>
        </w:rPr>
        <w:t>2024</w:t>
      </w:r>
      <w:r w:rsidRPr="006B3F43">
        <w:rPr>
          <w:b/>
          <w:szCs w:val="24"/>
          <w:lang w:val="bg-BG"/>
        </w:rPr>
        <w:t xml:space="preserve"> г. с оглед на приемането на </w:t>
      </w:r>
      <w:r w:rsidR="006B3F43" w:rsidRPr="006B3F43">
        <w:rPr>
          <w:b/>
          <w:szCs w:val="24"/>
          <w:lang w:val="bg-BG"/>
        </w:rPr>
        <w:t xml:space="preserve">Регламент (ЕС) </w:t>
      </w:r>
      <w:r w:rsidR="006B3F43" w:rsidRPr="00056AF2">
        <w:rPr>
          <w:b/>
          <w:szCs w:val="24"/>
          <w:lang w:val="bg-BG"/>
        </w:rPr>
        <w:t>2024</w:t>
      </w:r>
      <w:r w:rsidR="006B3F43" w:rsidRPr="006B3F43">
        <w:rPr>
          <w:b/>
          <w:szCs w:val="24"/>
          <w:lang w:val="bg-BG"/>
        </w:rPr>
        <w:t xml:space="preserve">/... на Европейския парламент и на Съвета </w:t>
      </w:r>
      <w:r w:rsidR="006B3F43" w:rsidRPr="006B3F43">
        <w:rPr>
          <w:rFonts w:eastAsia="Calibri"/>
          <w:b/>
          <w:color w:val="000000"/>
          <w:szCs w:val="22"/>
          <w:lang w:val="bg-BG" w:eastAsia="en-US"/>
        </w:rPr>
        <w:t>за изменение на Регламент (ЕС) </w:t>
      </w:r>
      <w:r w:rsidR="006B3F43" w:rsidRPr="00056AF2">
        <w:rPr>
          <w:rFonts w:eastAsia="Calibri"/>
          <w:b/>
          <w:color w:val="000000"/>
          <w:szCs w:val="22"/>
          <w:lang w:val="bg-BG" w:eastAsia="en-US"/>
        </w:rPr>
        <w:t>2023</w:t>
      </w:r>
      <w:r w:rsidR="006B3F43" w:rsidRPr="006B3F43">
        <w:rPr>
          <w:rFonts w:eastAsia="Calibri"/>
          <w:b/>
          <w:color w:val="000000"/>
          <w:szCs w:val="22"/>
          <w:lang w:val="bg-BG" w:eastAsia="en-US"/>
        </w:rPr>
        <w:t>/</w:t>
      </w:r>
      <w:r w:rsidR="006B3F43" w:rsidRPr="00056AF2">
        <w:rPr>
          <w:rFonts w:eastAsia="Calibri"/>
          <w:b/>
          <w:color w:val="000000"/>
          <w:szCs w:val="22"/>
          <w:lang w:val="bg-BG" w:eastAsia="en-US"/>
        </w:rPr>
        <w:t>1115</w:t>
      </w:r>
      <w:r w:rsidR="006B3F43" w:rsidRPr="006B3F43">
        <w:rPr>
          <w:rFonts w:eastAsia="Calibri"/>
          <w:b/>
          <w:color w:val="000000"/>
          <w:szCs w:val="22"/>
          <w:lang w:val="bg-BG" w:eastAsia="en-US"/>
        </w:rPr>
        <w:t xml:space="preserve"> по отношение на разпоредбите, свързани с датата на прилагане</w:t>
      </w:r>
    </w:p>
    <w:p w:rsidR="00383EA4" w:rsidRPr="00383EA4" w:rsidRDefault="00383EA4" w:rsidP="00383EA4">
      <w:pPr>
        <w:pStyle w:val="Normal12"/>
        <w:rPr>
          <w:i/>
          <w:szCs w:val="24"/>
          <w:lang w:val="lt-LT"/>
        </w:rPr>
      </w:pPr>
      <w:r w:rsidRPr="0051470D">
        <w:rPr>
          <w:i/>
          <w:szCs w:val="24"/>
          <w:lang w:val="bg-BG"/>
        </w:rPr>
        <w:t>(Тъй като беше постигнато споразумение между Парламента и Съвета, позицията на Парламента съответства на окончателния законодателе</w:t>
      </w:r>
      <w:r w:rsidRPr="00383EA4">
        <w:rPr>
          <w:i/>
          <w:szCs w:val="24"/>
          <w:lang w:val="bg-BG"/>
        </w:rPr>
        <w:t xml:space="preserve">н акт, </w:t>
      </w:r>
      <w:r w:rsidRPr="00383EA4">
        <w:rPr>
          <w:i/>
          <w:szCs w:val="24"/>
          <w:lang w:val="lt-LT"/>
        </w:rPr>
        <w:t xml:space="preserve">Регламент (ЕС) </w:t>
      </w:r>
      <w:r w:rsidRPr="00383EA4">
        <w:rPr>
          <w:i/>
        </w:rPr>
        <w:t>2024/3234</w:t>
      </w:r>
      <w:r w:rsidRPr="00383EA4">
        <w:rPr>
          <w:i/>
          <w:szCs w:val="24"/>
          <w:lang w:val="lt-LT"/>
        </w:rPr>
        <w:t>.)</w:t>
      </w:r>
    </w:p>
    <w:p w:rsidR="00383EA4" w:rsidRDefault="00383EA4">
      <w:pPr>
        <w:rPr>
          <w:i/>
          <w:snapToGrid w:val="0"/>
          <w:szCs w:val="24"/>
          <w:highlight w:val="yellow"/>
          <w:lang w:val="lt-LT"/>
        </w:rPr>
      </w:pPr>
      <w:r>
        <w:rPr>
          <w:i/>
          <w:szCs w:val="24"/>
          <w:highlight w:val="yellow"/>
          <w:lang w:val="lt-LT"/>
        </w:rPr>
        <w:br w:type="page"/>
      </w:r>
    </w:p>
    <w:p w:rsidR="006B3F43" w:rsidRPr="006B3F43" w:rsidRDefault="006B3F43" w:rsidP="00383EA4">
      <w:pPr>
        <w:pStyle w:val="Normal12"/>
        <w:jc w:val="right"/>
        <w:rPr>
          <w:bCs/>
          <w:szCs w:val="24"/>
          <w:lang w:val="bg-BG"/>
        </w:rPr>
      </w:pPr>
      <w:r w:rsidRPr="006B3F43">
        <w:rPr>
          <w:bCs/>
          <w:szCs w:val="24"/>
          <w:lang w:val="bg-BG"/>
        </w:rPr>
        <w:lastRenderedPageBreak/>
        <w:t>ПРИЛОЖЕНИЕ КЪМ ЗАКОНОДАТЕЛНАТА РЕЗОЛЮЦИЯ</w:t>
      </w:r>
    </w:p>
    <w:p w:rsidR="006B3F43" w:rsidRPr="006B3F43" w:rsidRDefault="006B3F43" w:rsidP="006B3F43">
      <w:pPr>
        <w:spacing w:before="240" w:after="120" w:line="360" w:lineRule="auto"/>
        <w:rPr>
          <w:b/>
          <w:bCs/>
          <w:szCs w:val="24"/>
          <w:lang w:val="bg-BG"/>
        </w:rPr>
      </w:pPr>
      <w:bookmarkStart w:id="9" w:name="DocEPLastPosition"/>
      <w:bookmarkEnd w:id="9"/>
      <w:r w:rsidRPr="006B3F43">
        <w:rPr>
          <w:b/>
          <w:szCs w:val="24"/>
          <w:lang w:val="bg-BG"/>
        </w:rPr>
        <w:t xml:space="preserve">Изявление на Комисията по повод на приемането на Регламент (ЕС) </w:t>
      </w:r>
      <w:r w:rsidR="00383EA4" w:rsidRPr="00383EA4">
        <w:rPr>
          <w:b/>
          <w:szCs w:val="24"/>
          <w:lang w:val="bg-BG"/>
        </w:rPr>
        <w:t>2024/3234</w:t>
      </w:r>
      <w:r w:rsidRPr="006B3F43">
        <w:rPr>
          <w:b/>
          <w:szCs w:val="24"/>
          <w:lang w:val="bg-BG"/>
        </w:rPr>
        <w:t xml:space="preserve"> на Европейския парламент и на Съвета от </w:t>
      </w:r>
      <w:r w:rsidR="00383EA4">
        <w:rPr>
          <w:b/>
          <w:szCs w:val="24"/>
          <w:lang w:val="bg-BG"/>
        </w:rPr>
        <w:t>19 декември 2024 г.</w:t>
      </w:r>
      <w:r w:rsidRPr="006B3F43">
        <w:rPr>
          <w:b/>
          <w:szCs w:val="24"/>
          <w:lang w:val="bg-BG"/>
        </w:rPr>
        <w:t xml:space="preserve"> за изменение на Регламент (ЕС) </w:t>
      </w:r>
      <w:r w:rsidRPr="00056AF2">
        <w:rPr>
          <w:b/>
          <w:szCs w:val="24"/>
          <w:lang w:val="bg-BG"/>
        </w:rPr>
        <w:t>2023</w:t>
      </w:r>
      <w:r w:rsidRPr="006B3F43">
        <w:rPr>
          <w:b/>
          <w:szCs w:val="24"/>
          <w:lang w:val="bg-BG"/>
        </w:rPr>
        <w:t>/</w:t>
      </w:r>
      <w:r w:rsidRPr="00056AF2">
        <w:rPr>
          <w:b/>
          <w:szCs w:val="24"/>
          <w:lang w:val="bg-BG"/>
        </w:rPr>
        <w:t>1115</w:t>
      </w:r>
      <w:r w:rsidRPr="006B3F43">
        <w:rPr>
          <w:b/>
          <w:szCs w:val="24"/>
          <w:lang w:val="bg-BG"/>
        </w:rPr>
        <w:t xml:space="preserve"> по отношение на разпоредбите, свързани с датата на прилагане</w:t>
      </w:r>
      <w:r w:rsidR="00383EA4">
        <w:rPr>
          <w:rStyle w:val="FootnoteReference"/>
          <w:b/>
          <w:szCs w:val="24"/>
          <w:lang w:val="bg-BG"/>
        </w:rPr>
        <w:footnoteReference w:id="3"/>
      </w:r>
    </w:p>
    <w:p w:rsidR="006B3F43" w:rsidRPr="006B3F43" w:rsidRDefault="006B3F43" w:rsidP="00383EA4">
      <w:pPr>
        <w:spacing w:before="240" w:after="120" w:line="360" w:lineRule="auto"/>
        <w:rPr>
          <w:lang w:val="bg-BG"/>
        </w:rPr>
      </w:pPr>
      <w:r w:rsidRPr="006B3F43">
        <w:rPr>
          <w:lang w:val="bg-BG"/>
        </w:rPr>
        <w:t xml:space="preserve">Комисията запазва ангажимента си да облекчи тежестта за предприятията, като намали административните изисквания и премахне ненужната бюрокрация. </w:t>
      </w:r>
    </w:p>
    <w:p w:rsidR="006B3F43" w:rsidRPr="006B3F43" w:rsidRDefault="006B3F43" w:rsidP="00383EA4">
      <w:pPr>
        <w:spacing w:before="240" w:after="120" w:line="360" w:lineRule="auto"/>
        <w:rPr>
          <w:lang w:val="bg-BG"/>
        </w:rPr>
      </w:pPr>
      <w:r w:rsidRPr="006B3F43">
        <w:rPr>
          <w:lang w:val="bg-BG"/>
        </w:rPr>
        <w:t xml:space="preserve">За да бъде постигната тази цел по отношение на Регламент (ЕС) </w:t>
      </w:r>
      <w:r w:rsidRPr="00056AF2">
        <w:rPr>
          <w:lang w:val="bg-BG"/>
        </w:rPr>
        <w:t>2023</w:t>
      </w:r>
      <w:r w:rsidRPr="006B3F43">
        <w:rPr>
          <w:lang w:val="bg-BG"/>
        </w:rPr>
        <w:t>/</w:t>
      </w:r>
      <w:r w:rsidRPr="00056AF2">
        <w:rPr>
          <w:lang w:val="bg-BG"/>
        </w:rPr>
        <w:t>1115</w:t>
      </w:r>
      <w:r w:rsidRPr="006B3F43">
        <w:rPr>
          <w:lang w:val="bg-BG"/>
        </w:rPr>
        <w:t xml:space="preserve">, Комисията ще предостави допълнителни разяснения и ще потърси допълнителни възможности за опростяване, както и ще рационализира задълженията за докладване и документиране, за да ги сведе до необходимия минимум, в пълно съответствие с целите на регламента. Поради това и за да се справи с тези проблеми, Комисията ще публикува актуализация на насоките и на често задаваните въпроси. Комисията също така ще продължи да реагира на обратната информация от заинтересованите страни и държавите членки, да подпомага търговците и операторите при изпълнението, по-специално по отношение на задължението за представяне на декларации за надлежна проверка по цялата верига за създаване на стойност. </w:t>
      </w:r>
    </w:p>
    <w:p w:rsidR="006B3F43" w:rsidRPr="006B3F43" w:rsidRDefault="006B3F43" w:rsidP="00383EA4">
      <w:pPr>
        <w:spacing w:before="240" w:after="120" w:line="360" w:lineRule="auto"/>
        <w:rPr>
          <w:lang w:val="bg-BG"/>
        </w:rPr>
      </w:pPr>
      <w:r w:rsidRPr="006B3F43">
        <w:rPr>
          <w:lang w:val="bg-BG"/>
        </w:rPr>
        <w:t xml:space="preserve">За да могат търговците и операторите — в сътрудничество с компетентните органи — да бъдат в състояние да изпълняват изискванията на регламента, Комисията отдава приоритет на привеждането в действие на информационната система. Категоризацията на риска също е от ключово значение, за да се гарантира предвидимост при прилагането на регламента за операторите, търговците, държавите производителки и компетентните органи. Комисията е твърдо ангажирана да гарантира, че и информационната система, и предложението относно класификацията на риска ще бъдат на разположение възможно най-скоро и не по-късно от шест месеца преди регламентът да започне да се прилага. </w:t>
      </w:r>
    </w:p>
    <w:p w:rsidR="006B3F43" w:rsidRPr="00383EA4" w:rsidRDefault="006B3F43" w:rsidP="00383EA4">
      <w:pPr>
        <w:spacing w:before="240" w:after="120" w:line="360" w:lineRule="auto"/>
        <w:rPr>
          <w:lang w:val="bg-BG"/>
        </w:rPr>
      </w:pPr>
      <w:r w:rsidRPr="006B3F43">
        <w:rPr>
          <w:lang w:val="bg-BG"/>
        </w:rPr>
        <w:t xml:space="preserve">В рамките на общия преглед на регламента, очакван не по-късно от </w:t>
      </w:r>
      <w:r w:rsidRPr="00056AF2">
        <w:rPr>
          <w:lang w:val="bg-BG"/>
        </w:rPr>
        <w:t>30</w:t>
      </w:r>
      <w:r w:rsidRPr="006B3F43">
        <w:rPr>
          <w:lang w:val="bg-BG"/>
        </w:rPr>
        <w:t xml:space="preserve"> юни </w:t>
      </w:r>
      <w:r w:rsidRPr="00056AF2">
        <w:rPr>
          <w:lang w:val="bg-BG"/>
        </w:rPr>
        <w:t>2028</w:t>
      </w:r>
      <w:r w:rsidRPr="006B3F43">
        <w:rPr>
          <w:lang w:val="bg-BG"/>
        </w:rPr>
        <w:t xml:space="preserve"> г., Комисията ще анализира, когато е целесъобразно въз основа на оценка на </w:t>
      </w:r>
      <w:r w:rsidRPr="006B3F43">
        <w:rPr>
          <w:lang w:val="bg-BG"/>
        </w:rPr>
        <w:lastRenderedPageBreak/>
        <w:t>въздействието, допълнителни мерки за опростяване и намаляване на административната тежест. Този анализ ще обхване необходимостта и осъществимостта на по-облекчените изисквания по отношение на снабдяването от държави и части от тях, които са постигнали положителни резултати в съответствие с целите на регламента.</w:t>
      </w:r>
    </w:p>
    <w:sectPr w:rsidR="006B3F43" w:rsidRPr="00383EA4" w:rsidSect="00642DD8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DD8" w:rsidRDefault="00642DD8" w:rsidP="009C4014">
      <w:r>
        <w:separator/>
      </w:r>
    </w:p>
  </w:endnote>
  <w:endnote w:type="continuationSeparator" w:id="0">
    <w:p w:rsidR="00642DD8" w:rsidRDefault="00642DD8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DD8" w:rsidRDefault="00642DD8" w:rsidP="009C4014">
      <w:r>
        <w:separator/>
      </w:r>
    </w:p>
  </w:footnote>
  <w:footnote w:type="continuationSeparator" w:id="0">
    <w:p w:rsidR="00642DD8" w:rsidRDefault="00642DD8" w:rsidP="009C4014">
      <w:r>
        <w:continuationSeparator/>
      </w:r>
    </w:p>
  </w:footnote>
  <w:footnote w:id="1">
    <w:p w:rsidR="008008B5" w:rsidRPr="008008B5" w:rsidRDefault="008008B5" w:rsidP="008008B5">
      <w:pPr>
        <w:pStyle w:val="FootnoteText"/>
        <w:ind w:left="567" w:hanging="567"/>
        <w:rPr>
          <w:sz w:val="24"/>
          <w:szCs w:val="24"/>
          <w:lang w:val="bg-BG"/>
        </w:rPr>
      </w:pPr>
      <w:r w:rsidRPr="008008B5">
        <w:rPr>
          <w:rStyle w:val="FootnoteReference"/>
          <w:sz w:val="24"/>
          <w:szCs w:val="24"/>
        </w:rPr>
        <w:footnoteRef/>
      </w:r>
      <w:r w:rsidRPr="008008B5">
        <w:rPr>
          <w:sz w:val="24"/>
          <w:szCs w:val="24"/>
        </w:rPr>
        <w:t xml:space="preserve"> </w:t>
      </w:r>
      <w:r w:rsidRPr="008008B5">
        <w:rPr>
          <w:sz w:val="24"/>
          <w:szCs w:val="24"/>
          <w:lang w:val="bg-BG"/>
        </w:rPr>
        <w:tab/>
        <w:t xml:space="preserve">Все още непубликувано в Официален вестник. </w:t>
      </w:r>
    </w:p>
  </w:footnote>
  <w:footnote w:id="2">
    <w:p w:rsidR="008008B5" w:rsidRPr="008008B5" w:rsidRDefault="008008B5" w:rsidP="008008B5">
      <w:pPr>
        <w:pStyle w:val="FootnoteText"/>
        <w:ind w:left="567" w:hanging="567"/>
        <w:rPr>
          <w:sz w:val="24"/>
          <w:szCs w:val="24"/>
          <w:lang w:val="bg-BG"/>
        </w:rPr>
      </w:pPr>
      <w:r w:rsidRPr="008008B5">
        <w:rPr>
          <w:rStyle w:val="FootnoteReference"/>
          <w:sz w:val="24"/>
          <w:szCs w:val="24"/>
          <w:lang w:val="bg-BG"/>
        </w:rPr>
        <w:footnoteRef/>
      </w:r>
      <w:r w:rsidRPr="008008B5">
        <w:rPr>
          <w:sz w:val="24"/>
          <w:szCs w:val="24"/>
          <w:lang w:val="bg-BG"/>
        </w:rPr>
        <w:t xml:space="preserve"> </w:t>
      </w:r>
      <w:r w:rsidRPr="008008B5">
        <w:rPr>
          <w:sz w:val="24"/>
          <w:szCs w:val="24"/>
          <w:lang w:val="bg-BG"/>
        </w:rPr>
        <w:tab/>
        <w:t xml:space="preserve">Тази позиция заменя измененията, приети на </w:t>
      </w:r>
      <w:r w:rsidRPr="00056AF2">
        <w:rPr>
          <w:sz w:val="24"/>
          <w:szCs w:val="24"/>
          <w:lang w:val="bg-BG"/>
        </w:rPr>
        <w:t>14</w:t>
      </w:r>
      <w:r w:rsidRPr="008008B5">
        <w:rPr>
          <w:sz w:val="24"/>
          <w:szCs w:val="24"/>
          <w:lang w:val="bg-BG"/>
        </w:rPr>
        <w:t xml:space="preserve"> ноември </w:t>
      </w:r>
      <w:r w:rsidRPr="00056AF2">
        <w:rPr>
          <w:sz w:val="24"/>
          <w:szCs w:val="24"/>
          <w:lang w:val="bg-BG"/>
        </w:rPr>
        <w:t>202</w:t>
      </w:r>
      <w:r w:rsidR="006B3F43" w:rsidRPr="00056AF2">
        <w:rPr>
          <w:sz w:val="24"/>
          <w:szCs w:val="24"/>
          <w:lang w:val="bg-BG"/>
        </w:rPr>
        <w:t>4</w:t>
      </w:r>
      <w:r w:rsidR="006B3F43">
        <w:rPr>
          <w:sz w:val="24"/>
          <w:szCs w:val="24"/>
          <w:lang w:val="bg-BG"/>
        </w:rPr>
        <w:t> </w:t>
      </w:r>
      <w:r w:rsidRPr="008008B5">
        <w:rPr>
          <w:sz w:val="24"/>
          <w:szCs w:val="24"/>
          <w:lang w:val="bg-BG"/>
        </w:rPr>
        <w:t>г. (Приети текстове, P</w:t>
      </w:r>
      <w:r w:rsidRPr="00056AF2">
        <w:rPr>
          <w:sz w:val="24"/>
          <w:szCs w:val="24"/>
          <w:lang w:val="bg-BG"/>
        </w:rPr>
        <w:t>10</w:t>
      </w:r>
      <w:r w:rsidRPr="008008B5">
        <w:rPr>
          <w:sz w:val="24"/>
          <w:szCs w:val="24"/>
          <w:lang w:val="bg-BG"/>
        </w:rPr>
        <w:t>_TA(</w:t>
      </w:r>
      <w:r w:rsidRPr="00056AF2">
        <w:rPr>
          <w:sz w:val="24"/>
          <w:szCs w:val="24"/>
          <w:lang w:val="bg-BG"/>
        </w:rPr>
        <w:t>2024</w:t>
      </w:r>
      <w:r w:rsidRPr="008008B5">
        <w:rPr>
          <w:sz w:val="24"/>
          <w:szCs w:val="24"/>
          <w:lang w:val="bg-BG"/>
        </w:rPr>
        <w:t>)</w:t>
      </w:r>
      <w:r w:rsidRPr="00056AF2">
        <w:rPr>
          <w:sz w:val="24"/>
          <w:szCs w:val="24"/>
          <w:lang w:val="bg-BG"/>
        </w:rPr>
        <w:t>0031</w:t>
      </w:r>
      <w:r w:rsidRPr="008008B5">
        <w:rPr>
          <w:sz w:val="24"/>
          <w:szCs w:val="24"/>
          <w:lang w:val="bg-BG"/>
        </w:rPr>
        <w:t>).</w:t>
      </w:r>
    </w:p>
  </w:footnote>
  <w:footnote w:id="3">
    <w:p w:rsidR="00383EA4" w:rsidRPr="00383EA4" w:rsidRDefault="00383EA4">
      <w:pPr>
        <w:pStyle w:val="FootnoteText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ab/>
      </w:r>
      <w:r>
        <w:rPr>
          <w:sz w:val="24"/>
          <w:szCs w:val="24"/>
        </w:rPr>
        <w:t>ОВ</w:t>
      </w:r>
      <w:r w:rsidRPr="008920B6">
        <w:rPr>
          <w:sz w:val="24"/>
          <w:szCs w:val="24"/>
        </w:rPr>
        <w:t xml:space="preserve"> L, 2024/3234, 23.12.2024</w:t>
      </w:r>
      <w:r>
        <w:rPr>
          <w:sz w:val="24"/>
          <w:szCs w:val="24"/>
          <w:lang w:val="bg-BG"/>
        </w:rPr>
        <w:t> г.</w:t>
      </w:r>
      <w:r w:rsidRPr="008920B6">
        <w:rPr>
          <w:sz w:val="24"/>
          <w:szCs w:val="24"/>
        </w:rPr>
        <w:t xml:space="preserve">, ELI: </w:t>
      </w:r>
      <w:hyperlink r:id="rId1" w:history="1">
        <w:r w:rsidRPr="00DB7AB9">
          <w:rPr>
            <w:rStyle w:val="Hyperlink"/>
            <w:sz w:val="24"/>
            <w:szCs w:val="24"/>
          </w:rPr>
          <w:t>http://data.europa.eu/eli/reg/2024/3234/oj</w:t>
        </w:r>
      </w:hyperlink>
      <w:r w:rsidRPr="008920B6">
        <w:rPr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mirrorMargins/>
  <w:activeWritingStyle w:appName="MSWord" w:lang="fr-FR" w:vendorID="9" w:dllVersion="512" w:checkStyle="0"/>
  <w:activeWritingStyle w:appName="MSWord" w:lang="pt-PT" w:vendorID="13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DD8"/>
    <w:rsid w:val="00013B2A"/>
    <w:rsid w:val="00056AF2"/>
    <w:rsid w:val="000C2BFE"/>
    <w:rsid w:val="000F27A9"/>
    <w:rsid w:val="000F6208"/>
    <w:rsid w:val="000F6603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83EA4"/>
    <w:rsid w:val="00397B2A"/>
    <w:rsid w:val="003E1189"/>
    <w:rsid w:val="003F4DFE"/>
    <w:rsid w:val="00425111"/>
    <w:rsid w:val="00451C48"/>
    <w:rsid w:val="0047030E"/>
    <w:rsid w:val="00492918"/>
    <w:rsid w:val="004D0DC2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42DD8"/>
    <w:rsid w:val="006656E5"/>
    <w:rsid w:val="00666512"/>
    <w:rsid w:val="00683F78"/>
    <w:rsid w:val="006A1E82"/>
    <w:rsid w:val="006A7C85"/>
    <w:rsid w:val="006A7CE5"/>
    <w:rsid w:val="006B1646"/>
    <w:rsid w:val="006B3F43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008B5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265B2"/>
    <w:rsid w:val="00B54C72"/>
    <w:rsid w:val="00B85C1E"/>
    <w:rsid w:val="00BA09C9"/>
    <w:rsid w:val="00BA185C"/>
    <w:rsid w:val="00C15516"/>
    <w:rsid w:val="00C16C81"/>
    <w:rsid w:val="00C57739"/>
    <w:rsid w:val="00C65BE8"/>
    <w:rsid w:val="00CA44A3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2FEF7A"/>
  <w15:chartTrackingRefBased/>
  <w15:docId w15:val="{F9CC82D5-BF67-4DC2-9676-5A017DD53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Hanging12a">
    <w:name w:val="NormalHanging12a"/>
    <w:basedOn w:val="Normal"/>
    <w:rsid w:val="00642DD8"/>
    <w:pPr>
      <w:widowControl w:val="0"/>
      <w:spacing w:after="240"/>
      <w:ind w:left="567" w:hanging="567"/>
    </w:pPr>
    <w:rPr>
      <w:lang w:val="bg-BG"/>
    </w:rPr>
  </w:style>
  <w:style w:type="paragraph" w:styleId="BalloonText">
    <w:name w:val="Balloon Text"/>
    <w:basedOn w:val="Normal"/>
    <w:link w:val="BalloonTextChar"/>
    <w:rsid w:val="00CA44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A44A3"/>
    <w:rPr>
      <w:rFonts w:ascii="Segoe UI" w:hAnsi="Segoe UI" w:cs="Segoe UI"/>
      <w:sz w:val="18"/>
      <w:szCs w:val="18"/>
      <w:lang w:val="fr-FR"/>
    </w:rPr>
  </w:style>
  <w:style w:type="character" w:customStyle="1" w:styleId="Hyperlink1">
    <w:name w:val="Hyperlink1"/>
    <w:basedOn w:val="DefaultParagraphFont"/>
    <w:uiPriority w:val="99"/>
    <w:unhideWhenUsed/>
    <w:rsid w:val="006B3F43"/>
    <w:rPr>
      <w:color w:val="0563C1"/>
      <w:u w:val="single"/>
    </w:rPr>
  </w:style>
  <w:style w:type="character" w:styleId="Hyperlink">
    <w:name w:val="Hyperlink"/>
    <w:basedOn w:val="DefaultParagraphFont"/>
    <w:rsid w:val="006B3F4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383EA4"/>
    <w:rPr>
      <w:sz w:val="16"/>
      <w:szCs w:val="16"/>
    </w:rPr>
  </w:style>
  <w:style w:type="paragraph" w:styleId="CommentText">
    <w:name w:val="annotation text"/>
    <w:basedOn w:val="Normal"/>
    <w:link w:val="CommentTextChar"/>
    <w:rsid w:val="00383EA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83EA4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3234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27139-BF79-4168-AF4F-BC46F96D9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5</Pages>
  <Words>722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Kiril GIRGINOV</dc:creator>
  <cp:keywords/>
  <cp:lastModifiedBy>GIRGINOV Kiril</cp:lastModifiedBy>
  <cp:revision>2</cp:revision>
  <cp:lastPrinted>2014-08-07T13:15:00Z</cp:lastPrinted>
  <dcterms:created xsi:type="dcterms:W3CDTF">2025-02-04T16:21:00Z</dcterms:created>
  <dcterms:modified xsi:type="dcterms:W3CDTF">2025-02-04T16:21:00Z</dcterms:modified>
</cp:coreProperties>
</file>